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1748.xml.htm"/>
      <w:bookmarkStart w:id="1" w:name="kswkform4_17897617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Schumacher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 PIONEER CREEK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MAPLE PLAIN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Proto Labs Inc</w:t>
              </w:r>
            </w:hyperlink>
            <w:r>
              <w:rPr/>
              <w:t xml:space="preserve"> [ </w:t>
            </w:r>
            <w:r>
              <w:rPr>
                <w:rFonts w:ascii="Times;serif" w:hAnsi="Times;serif"/>
                <w:color w:val="0000FF"/>
                <w:sz w:val="24"/>
                <w:shd w:fill="FFFFFF" w:val="clear"/>
              </w:rPr>
              <w:t>PRLB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44,919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85.2113</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40,019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 1 trading plan adopted by the Reporting Person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of 4,900 shares of common stock of Proto Labs Inc. sold by the reporting person in multiple transactions on September 17, 2026, with sale prices ranging from $85.00 to $85.50 per share. The reporting person undertakes to provide upon request by the U.S. Securities and Exchange Commission staff, the issuer, or a security holder of the issuer,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 Morgan Burns,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94753" TargetMode="External"/><Relationship Id="rId5" Type="http://schemas.openxmlformats.org/officeDocument/2006/relationships/hyperlink" Target="http://www.sec.gov/cgi-bin/browse-edgar?action=getcompany&amp;CIK=00014436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3611</Characters>
  <CharactersWithSpaces>4205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