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80" w:right="170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6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w w:val="91"/>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Proto Labs,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472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Maple Plain, Minnesota</w:t>
            </w:r>
          </w:p>
        </w:tc>
        <w:tc>
          <w:tcPr>
            <w:tcW w:w="472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1"/>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Arial" w:cs="Arial" w:eastAsia="Arial" w:hAnsi="Arial"/>
                <w:sz w:val="18"/>
                <w:szCs w:val="18"/>
                <w:b w:val="1"/>
                <w:bCs w:val="1"/>
                <w:color w:val="auto"/>
                <w:w w:val="92"/>
              </w:rPr>
              <w:t>(763) 479-3680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33"/>
        </w:trPr>
        <w:tc>
          <w:tcPr>
            <w:tcW w:w="3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Title of each class</w:t>
            </w:r>
          </w:p>
        </w:tc>
        <w:tc>
          <w:tcPr>
            <w:tcW w:w="6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1"/>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$0.001 Per Share</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93" w:lineRule="exact"/>
              <w:rPr>
                <w:sz w:val="20"/>
                <w:szCs w:val="20"/>
                <w:color w:val="auto"/>
              </w:rPr>
            </w:pPr>
            <w:r>
              <w:rPr>
                <w:rFonts w:ascii="Arial" w:cs="Arial" w:eastAsia="Arial" w:hAnsi="Arial"/>
                <w:sz w:val="18"/>
                <w:szCs w:val="18"/>
                <w:color w:val="auto"/>
                <w:w w:val="97"/>
              </w:rPr>
              <w:t>PRLB</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left="140" w:right="1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left="140" w:right="260" w:firstLine="486"/>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82" w:lineRule="exact"/>
        <w:rPr>
          <w:sz w:val="24"/>
          <w:szCs w:val="24"/>
          <w:color w:val="auto"/>
        </w:rPr>
      </w:pPr>
    </w:p>
    <w:p>
      <w:pPr>
        <w:ind w:left="140" w:right="640" w:firstLine="486"/>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40"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ind w:left="140" w:right="24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27,689,746 shares of Common Stock, par value $0.001 per share, were outstanding at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677"/>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0"/>
              </w:rPr>
              <w:t>Proto Labs,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9"/>
              </w:rPr>
              <w:t>TABLE OF CONTENTS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w:t>
            </w:r>
          </w:p>
        </w:tc>
        <w:tc>
          <w:tcPr>
            <w:tcW w:w="866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385"/>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7"/>
          </w:tcPr>
          <w:p>
            <w:pPr>
              <w:jc w:val="center"/>
              <w:ind w:right="402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Borders>
              <w:top w:val="single" w:sz="8" w:color="0000EE"/>
            </w:tcBorders>
            <w:gridSpan w:val="3"/>
          </w:tcPr>
          <w:p>
            <w:pPr>
              <w:spacing w:after="0"/>
              <w:rPr>
                <w:sz w:val="17"/>
                <w:szCs w:val="17"/>
                <w:color w:val="auto"/>
              </w:rPr>
            </w:pPr>
          </w:p>
        </w:tc>
        <w:tc>
          <w:tcPr>
            <w:tcW w:w="4060" w:type="dxa"/>
            <w:vAlign w:val="bottom"/>
            <w:gridSpan w:val="3"/>
          </w:tcPr>
          <w:p>
            <w:pPr>
              <w:spacing w:after="0"/>
              <w:rPr>
                <w:sz w:val="17"/>
                <w:szCs w:val="17"/>
                <w:color w:val="auto"/>
              </w:rPr>
            </w:pPr>
          </w:p>
        </w:tc>
        <w:tc>
          <w:tcPr>
            <w:tcW w:w="840" w:type="dxa"/>
            <w:vAlign w:val="bottom"/>
            <w:gridSpan w:val="5"/>
          </w:tcPr>
          <w:p>
            <w:pPr>
              <w:jc w:val="center"/>
              <w:ind w:left="57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4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280" w:type="dxa"/>
            <w:vAlign w:val="bottom"/>
            <w:gridSpan w:val="6"/>
          </w:tcPr>
          <w:p>
            <w:pPr>
              <w:jc w:val="center"/>
              <w:ind w:left="13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3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40" w:type="dxa"/>
            <w:vAlign w:val="bottom"/>
            <w:gridSpan w:val="7"/>
          </w:tcPr>
          <w:p>
            <w:pPr>
              <w:jc w:val="center"/>
              <w:ind w:right="4040"/>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PART II</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2700" w:type="dxa"/>
            <w:vAlign w:val="bottom"/>
            <w:gridSpan w:val="4"/>
          </w:tcPr>
          <w:p>
            <w:pPr>
              <w:spacing w:after="0"/>
              <w:rPr>
                <w:sz w:val="17"/>
                <w:szCs w:val="17"/>
                <w:color w:val="auto"/>
              </w:rPr>
            </w:pPr>
          </w:p>
        </w:tc>
        <w:tc>
          <w:tcPr>
            <w:tcW w:w="600" w:type="dxa"/>
            <w:vAlign w:val="bottom"/>
            <w:tcBorders>
              <w:top w:val="single" w:sz="8" w:color="0000EE"/>
            </w:tcBorders>
            <w:gridSpan w:val="5"/>
          </w:tcPr>
          <w:p>
            <w:pPr>
              <w:spacing w:after="0"/>
              <w:rPr>
                <w:sz w:val="17"/>
                <w:szCs w:val="17"/>
                <w:color w:val="auto"/>
              </w:rPr>
            </w:pPr>
          </w:p>
        </w:tc>
        <w:tc>
          <w:tcPr>
            <w:tcW w:w="40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0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6"/>
              </w:rPr>
              <w:t>1A.</w:t>
            </w:r>
          </w:p>
        </w:tc>
        <w:tc>
          <w:tcPr>
            <w:tcW w:w="132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Pr>
          <w:p>
            <w:pPr>
              <w:spacing w:after="0"/>
              <w:rPr>
                <w:sz w:val="17"/>
                <w:szCs w:val="17"/>
                <w:color w:val="auto"/>
              </w:rPr>
            </w:pPr>
          </w:p>
        </w:tc>
        <w:tc>
          <w:tcPr>
            <w:tcW w:w="634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88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r>
      <w:tr>
        <w:trPr>
          <w:trHeight w:val="696"/>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gridSpan w:val="10"/>
          </w:tcPr>
          <w:p>
            <w:pPr>
              <w:jc w:val="center"/>
              <w:ind w:left="335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127,603</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34,088</w:t>
            </w:r>
          </w:p>
        </w:tc>
      </w:tr>
      <w:tr>
        <w:trPr>
          <w:trHeight w:val="202"/>
        </w:trPr>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$2,011 and $1,781 as of March 31, 2021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57,877</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10,862</w:t>
            </w: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11,032</w:t>
            </w:r>
          </w:p>
        </w:tc>
      </w:tr>
      <w:tr>
        <w:trPr>
          <w:trHeight w:val="210"/>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158,516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242,002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279,901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282,666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14,350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59,357</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9,855</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4,826</w:t>
            </w:r>
          </w:p>
        </w:tc>
      </w:tr>
      <w:tr>
        <w:trPr>
          <w:trHeight w:val="249"/>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934,448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744,204</w:t>
            </w:r>
          </w:p>
        </w:tc>
      </w:tr>
      <w:tr>
        <w:trPr>
          <w:trHeight w:val="197"/>
        </w:trPr>
        <w:tc>
          <w:tcPr>
            <w:tcW w:w="8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18,248</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11,989</w:t>
            </w: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16,193</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Current contingent consideration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3,272</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Current finance lease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16"/>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3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50,254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contingent consideration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7,586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36,899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33,854</w:t>
            </w:r>
          </w:p>
        </w:tc>
      </w:tr>
      <w:tr>
        <w:trPr>
          <w:trHeight w:val="216"/>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6,235</w:t>
            </w:r>
          </w:p>
        </w:tc>
      </w:tr>
      <w:tr>
        <w:trPr>
          <w:trHeight w:val="209"/>
        </w:trPr>
        <w:tc>
          <w:tcPr>
            <w:tcW w:w="83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99,848</w:t>
            </w: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2"/>
        </w:trPr>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Preferred stock, $0.001 par value, authorized 10,000,000 shares; issued and outstanding 0 shares as of each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2021 and December 31, 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4"/>
              </w:rPr>
              <w:t>Common stock, $0.001 par value, authorized 150,000,000 shares; issued and outstanding 27,689,746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26,776,796 shares as of March 31, 2021 and December 31, 2020,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284,848</w:t>
            </w: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366,613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362,901</w:t>
            </w:r>
          </w:p>
        </w:tc>
      </w:tr>
      <w:tr>
        <w:trPr>
          <w:trHeight w:val="216"/>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10"/>
        </w:trPr>
        <w:tc>
          <w:tcPr>
            <w:tcW w:w="834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813,431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644,356</w:t>
            </w:r>
          </w:p>
        </w:tc>
      </w:tr>
      <w:tr>
        <w:trPr>
          <w:trHeight w:val="249"/>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934,448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744,204</w:t>
            </w:r>
          </w:p>
        </w:tc>
      </w:tr>
      <w:tr>
        <w:trPr>
          <w:trHeight w:val="251"/>
        </w:trPr>
        <w:tc>
          <w:tcPr>
            <w:tcW w:w="834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09"/>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116,126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115,108</w:t>
            </w:r>
          </w:p>
        </w:tc>
      </w:tr>
      <w:tr>
        <w:trPr>
          <w:trHeight w:val="216"/>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57,008</w:t>
            </w: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Gross profit</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58,100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8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18,180</w:t>
            </w:r>
          </w:p>
        </w:tc>
      </w:tr>
      <w:tr>
        <w:trPr>
          <w:trHeight w:val="216"/>
        </w:trPr>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8,987</w:t>
            </w:r>
          </w:p>
        </w:tc>
      </w:tr>
      <w:tr>
        <w:trPr>
          <w:trHeight w:val="216"/>
        </w:trPr>
        <w:tc>
          <w:tcPr>
            <w:tcW w:w="5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19,408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14,108</w:t>
            </w:r>
          </w:p>
        </w:tc>
      </w:tr>
      <w:tr>
        <w:trPr>
          <w:trHeight w:val="209"/>
        </w:trPr>
        <w:tc>
          <w:tcPr>
            <w:tcW w:w="5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41,275</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16,825</w:t>
            </w:r>
          </w:p>
        </w:tc>
      </w:tr>
      <w:tr>
        <w:trPr>
          <w:trHeight w:val="216"/>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(loss) income, net</w:t>
            </w:r>
          </w:p>
        </w:tc>
        <w:tc>
          <w:tcPr>
            <w:tcW w:w="2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17,879</w:t>
            </w:r>
          </w:p>
        </w:tc>
      </w:tr>
      <w:tr>
        <w:trPr>
          <w:trHeight w:val="216"/>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2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3,712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13,984</w:t>
            </w:r>
          </w:p>
        </w:tc>
      </w:tr>
      <w:tr>
        <w:trPr>
          <w:trHeight w:val="20"/>
        </w:trPr>
        <w:tc>
          <w:tcPr>
            <w:tcW w:w="5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income per share:</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196"/>
        </w:trPr>
        <w:tc>
          <w:tcPr>
            <w:tcW w:w="58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8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0.52</w:t>
            </w:r>
          </w:p>
        </w:tc>
      </w:tr>
      <w:tr>
        <w:trPr>
          <w:trHeight w:val="20"/>
        </w:trPr>
        <w:tc>
          <w:tcPr>
            <w:tcW w:w="5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27,464,136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26,776,806</w:t>
            </w:r>
          </w:p>
        </w:tc>
      </w:tr>
      <w:tr>
        <w:trPr>
          <w:trHeight w:val="216"/>
        </w:trPr>
        <w:tc>
          <w:tcPr>
            <w:tcW w:w="58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27,698,195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26,929,640</w:t>
            </w:r>
          </w:p>
        </w:tc>
      </w:tr>
      <w:tr>
        <w:trPr>
          <w:trHeight w:val="216"/>
        </w:trPr>
        <w:tc>
          <w:tcPr>
            <w:tcW w:w="5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Comprehensive (Loss) Income (net of tax)</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11,004</w:t>
            </w:r>
          </w:p>
        </w:tc>
      </w:tr>
      <w:tr>
        <w:trPr>
          <w:trHeight w:val="250"/>
        </w:trPr>
        <w:tc>
          <w:tcPr>
            <w:tcW w:w="5880" w:type="dxa"/>
            <w:vAlign w:val="bottom"/>
            <w:tcBorders>
              <w:top w:val="single" w:sz="8" w:color="CCEEFF"/>
              <w:bottom w:val="single" w:sz="8" w:color="auto"/>
            </w:tcBorders>
          </w:tcPr>
          <w:p>
            <w:pPr>
              <w:spacing w:after="0"/>
              <w:rPr>
                <w:sz w:val="21"/>
                <w:szCs w:val="21"/>
                <w:color w:val="auto"/>
              </w:rPr>
            </w:pPr>
          </w:p>
        </w:tc>
        <w:tc>
          <w:tcPr>
            <w:tcW w:w="2560" w:type="dxa"/>
            <w:vAlign w:val="bottom"/>
            <w:tcBorders>
              <w:top w:val="single" w:sz="8" w:color="CCEEFF"/>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26,776,796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284,848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644,356</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48,955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issued for 3D Hubs acquisition</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863,995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166,708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166,709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comprehensive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27,689,746</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366,613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813,431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620" w:type="dxa"/>
            <w:vAlign w:val="bottom"/>
          </w:tcPr>
          <w:p>
            <w:pPr>
              <w:spacing w:after="0"/>
              <w:rPr>
                <w:sz w:val="24"/>
                <w:szCs w:val="24"/>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26,786,459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585,790</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26,648,524</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329,137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587,740</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09"/>
        </w:trPr>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3,712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13,984</w:t>
            </w: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7,958</w:t>
            </w:r>
          </w:p>
        </w:tc>
      </w:tr>
      <w:tr>
        <w:trPr>
          <w:trHeight w:val="216"/>
        </w:trPr>
        <w:tc>
          <w:tcPr>
            <w:tcW w:w="7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r>
      <w:tr>
        <w:trPr>
          <w:trHeight w:val="216"/>
        </w:trPr>
        <w:tc>
          <w:tcPr>
            <w:tcW w:w="7300" w:type="dxa"/>
            <w:vAlign w:val="bottom"/>
          </w:tcPr>
          <w:p>
            <w:pPr>
              <w:ind w:left="500"/>
              <w:spacing w:after="0"/>
              <w:rPr>
                <w:sz w:val="20"/>
                <w:szCs w:val="20"/>
                <w:color w:val="auto"/>
              </w:rPr>
            </w:pPr>
            <w:r>
              <w:rPr>
                <w:rFonts w:ascii="Arial" w:cs="Arial" w:eastAsia="Arial" w:hAnsi="Arial"/>
                <w:sz w:val="18"/>
                <w:szCs w:val="18"/>
                <w:color w:val="auto"/>
              </w:rPr>
              <w:t>Deferred taxes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3,392</w:t>
            </w:r>
          </w:p>
        </w:tc>
      </w:tr>
      <w:tr>
        <w:trPr>
          <w:trHeight w:val="216"/>
        </w:trPr>
        <w:tc>
          <w:tcPr>
            <w:tcW w:w="7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marketable securities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7300" w:type="dxa"/>
            <w:vAlign w:val="bottom"/>
          </w:tcPr>
          <w:p>
            <w:pPr>
              <w:ind w:left="500"/>
              <w:spacing w:after="0"/>
              <w:rPr>
                <w:sz w:val="20"/>
                <w:szCs w:val="20"/>
                <w:color w:val="auto"/>
              </w:rPr>
            </w:pPr>
            <w:r>
              <w:rPr>
                <w:rFonts w:ascii="Arial" w:cs="Arial" w:eastAsia="Arial" w:hAnsi="Arial"/>
                <w:sz w:val="18"/>
                <w:szCs w:val="18"/>
                <w:color w:val="auto"/>
              </w:rPr>
              <w:t>Realized gain on available-sale-securities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73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16"/>
        </w:trPr>
        <w:tc>
          <w:tcPr>
            <w:tcW w:w="73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16"/>
        </w:trPr>
        <w:tc>
          <w:tcPr>
            <w:tcW w:w="730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16"/>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r>
      <w:tr>
        <w:trPr>
          <w:trHeight w:val="216"/>
        </w:trPr>
        <w:tc>
          <w:tcPr>
            <w:tcW w:w="7300" w:type="dxa"/>
            <w:vAlign w:val="bottom"/>
          </w:tcPr>
          <w:p>
            <w:pPr>
              <w:ind w:left="660"/>
              <w:spacing w:after="0"/>
              <w:rPr>
                <w:sz w:val="20"/>
                <w:szCs w:val="20"/>
                <w:color w:val="auto"/>
              </w:rPr>
            </w:pPr>
            <w:r>
              <w:rPr>
                <w:rFonts w:ascii="Arial" w:cs="Arial" w:eastAsia="Arial" w:hAnsi="Arial"/>
                <w:sz w:val="18"/>
                <w:szCs w:val="18"/>
                <w:color w:val="auto"/>
              </w:rPr>
              <w:t>Accrued liabilities and other</w:t>
            </w: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r>
      <w:tr>
        <w:trPr>
          <w:trHeight w:val="210"/>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22,410</w:t>
            </w:r>
          </w:p>
        </w:tc>
      </w:tr>
      <w:tr>
        <w:trPr>
          <w:trHeight w:val="210"/>
        </w:trPr>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Purchases of property, equipment and other capital assets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(13,421)</w:t>
            </w: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for acquisitions, net of cash acquired</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Purchases of other assets and investments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(37,629)</w:t>
            </w: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Proceeds from sales of marketable securities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1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10,700</w:t>
            </w:r>
          </w:p>
        </w:tc>
      </w:tr>
      <w:tr>
        <w:trPr>
          <w:trHeight w:val="209"/>
        </w:trPr>
        <w:tc>
          <w:tcPr>
            <w:tcW w:w="73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(43,350)</w:t>
            </w:r>
          </w:p>
        </w:tc>
      </w:tr>
      <w:tr>
        <w:trPr>
          <w:trHeight w:val="210"/>
        </w:trPr>
        <w:tc>
          <w:tcPr>
            <w:tcW w:w="7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Purchases of shares withheld for tax obligations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Principal repayments of finance lease obligations</w:t>
            </w: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(12,098)</w:t>
            </w:r>
          </w:p>
        </w:tc>
      </w:tr>
      <w:tr>
        <w:trPr>
          <w:trHeight w:val="209"/>
        </w:trPr>
        <w:tc>
          <w:tcPr>
            <w:tcW w:w="73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127,603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125,225</w:t>
            </w:r>
          </w:p>
        </w:tc>
      </w:tr>
      <w:tr>
        <w:trPr>
          <w:trHeight w:val="24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43,774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91,905</w:t>
            </w:r>
          </w:p>
        </w:tc>
      </w:tr>
      <w:tr>
        <w:trPr>
          <w:trHeight w:val="250"/>
        </w:trPr>
        <w:tc>
          <w:tcPr>
            <w:tcW w:w="7300" w:type="dxa"/>
            <w:vAlign w:val="bottom"/>
            <w:tcBorders>
              <w:top w:val="single" w:sz="8" w:color="CCEEFF"/>
              <w:bottom w:val="single" w:sz="8" w:color="auto"/>
            </w:tcBorders>
          </w:tcPr>
          <w:p>
            <w:pPr>
              <w:spacing w:after="0"/>
              <w:rPr>
                <w:sz w:val="21"/>
                <w:szCs w:val="21"/>
                <w:color w:val="auto"/>
              </w:rPr>
            </w:pPr>
          </w:p>
        </w:tc>
        <w:tc>
          <w:tcPr>
            <w:tcW w:w="1140" w:type="dxa"/>
            <w:vAlign w:val="bottom"/>
            <w:tcBorders>
              <w:top w:val="single" w:sz="8" w:color="CCEEFF"/>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2020 as filed with the Securities and Exchange Commission (SEC) on February 19, 2021.</w:t>
      </w:r>
    </w:p>
    <w:p>
      <w:pPr>
        <w:spacing w:after="0" w:line="188"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accompanying Consolidated Balance Sheet as of December 31, 2020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19, 2021 as referenced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(ASU) 2019-12, </w:t>
      </w:r>
      <w:r>
        <w:rPr>
          <w:rFonts w:ascii="Arial" w:cs="Arial" w:eastAsia="Arial" w:hAnsi="Arial"/>
          <w:sz w:val="17"/>
          <w:szCs w:val="17"/>
          <w:i w:val="1"/>
          <w:iCs w:val="1"/>
          <w:color w:val="auto"/>
        </w:rPr>
        <w:t>Income Taxes (Topic 740):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Accounting for Income Taxes </w:t>
      </w:r>
      <w:r>
        <w:rPr>
          <w:rFonts w:ascii="Arial" w:cs="Arial" w:eastAsia="Arial" w:hAnsi="Arial"/>
          <w:sz w:val="17"/>
          <w:szCs w:val="17"/>
          <w:color w:val="auto"/>
        </w:rPr>
        <w:t>(ASU 2019-12). ASU 2019-12 attempts to simplify aspects of accounting for franchise taxes and enacted changes in tax</w:t>
      </w:r>
      <w:r>
        <w:rPr>
          <w:rFonts w:ascii="Arial" w:cs="Arial" w:eastAsia="Arial" w:hAnsi="Arial"/>
          <w:sz w:val="17"/>
          <w:szCs w:val="17"/>
          <w:i w:val="1"/>
          <w:iCs w:val="1"/>
          <w:color w:val="auto"/>
        </w:rPr>
        <w:t xml:space="preserve"> </w:t>
      </w:r>
      <w:r>
        <w:rPr>
          <w:rFonts w:ascii="Arial" w:cs="Arial" w:eastAsia="Arial" w:hAnsi="Arial"/>
          <w:sz w:val="17"/>
          <w:szCs w:val="17"/>
          <w:color w:val="auto"/>
        </w:rPr>
        <w:t>laws or rates and clarifies the accounting for transactions that result in a step-up in the tax basis of goodwill. ASU 2019-12 is effective for public business entities for fiscal years beginning after December 15, 2020, including interim periods within that fiscal year. The Company adopted ASU 2019-12 on January 1, 2021 and there was no material impact on the Company’s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Income per Common Share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restricted stock units and restricted stock awards granted under stock-based compensation plans and shares committed to be purchased under the employee stock purchase plan. Performance stock units are excluded from the calculation of dilutive potential common shares until the performance conditions have been satisfied.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(in thousands, except share and per share amounts)</w:t>
            </w:r>
          </w:p>
        </w:tc>
        <w:tc>
          <w:tcPr>
            <w:tcW w:w="2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27,464,136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26,776,806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2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234,059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152,834</w:t>
            </w:r>
          </w:p>
        </w:tc>
        <w:tc>
          <w:tcPr>
            <w:tcW w:w="0" w:type="dxa"/>
            <w:vAlign w:val="bottom"/>
          </w:tcPr>
          <w:p>
            <w:pPr>
              <w:spacing w:after="0"/>
              <w:rPr>
                <w:sz w:val="1"/>
                <w:szCs w:val="1"/>
                <w:color w:val="auto"/>
              </w:rPr>
            </w:pPr>
          </w:p>
        </w:tc>
      </w:tr>
      <w:tr>
        <w:trPr>
          <w:trHeight w:val="209"/>
        </w:trPr>
        <w:tc>
          <w:tcPr>
            <w:tcW w:w="5840" w:type="dxa"/>
            <w:vAlign w:val="bottom"/>
            <w:gridSpan w:val="2"/>
          </w:tcPr>
          <w:p>
            <w:pPr>
              <w:spacing w:after="0"/>
              <w:rPr>
                <w:sz w:val="20"/>
                <w:szCs w:val="20"/>
                <w:color w:val="auto"/>
              </w:rPr>
            </w:pPr>
            <w:r>
              <w:rPr>
                <w:rFonts w:ascii="Arial" w:cs="Arial" w:eastAsia="Arial" w:hAnsi="Arial"/>
                <w:sz w:val="18"/>
                <w:szCs w:val="18"/>
                <w:color w:val="auto"/>
              </w:rPr>
              <w:t>Diluted - weighted-average shares outstanding:</w:t>
            </w:r>
          </w:p>
        </w:tc>
        <w:tc>
          <w:tcPr>
            <w:tcW w:w="2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27,698,195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26,929,640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Basic</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24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top w:val="single" w:sz="8" w:color="CCEEFF"/>
              <w:bottom w:val="single" w:sz="8" w:color="auto"/>
            </w:tcBorders>
          </w:tcPr>
          <w:p>
            <w:pPr>
              <w:spacing w:after="0"/>
              <w:rPr>
                <w:sz w:val="17"/>
                <w:szCs w:val="17"/>
                <w:color w:val="auto"/>
              </w:rPr>
            </w:pPr>
          </w:p>
        </w:tc>
        <w:tc>
          <w:tcPr>
            <w:tcW w:w="21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January 22, 2021, the Company acquired all outstanding shares of 3D Hubs, Inc. (“3D Hubs”), for $294.4 million, consisting of $127.7 million in cash and 863,995 shares of the Company's common stock valued at $166.7 million on the date of close. Up to an additional $52.8 million of contingent consideration is payable after closing, subject to the satisfaction of performance-based targets during fiscal year 2021 and fiscal year 2022, consisting of up to $25.0 million in cash and up to 143,983 shares of the Company's common stock valued at $27.8 million on the date of close.</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3D Hubs is based in Amsterdam, Netherlands and is a leading online manufacturing platform that provides customers with on-demand access to a global network of approximately 240 premium manufacturing partners. The acquisition enhances the Company’s customer value proposition by enabling the Company to more holistically serve customers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the consideration paid for this acquisition has been allocated on a preliminary basis to the assets purchased and liabilities assumed based on their estimated fair values as of the acquisition date, with any excess recorded as goodwill. The goodwill associated with the acquisition represents the strategic and growth opportunities by significantly expanding the customer offering with a network of premium manufacturing partners. The goodwill related to the acquisition is not deductible for tax purposes.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 preliminary basis, the Company recorded a contingent consideration liability of $10.3 million as of the acquisition date representing the amounts payable to former shareholders, as outlined under the terms of the merger agreement, payable subject to the satisfaction of performance-based targets during fiscal year 2021 and fiscal year 2022, consisting of up to $25.0 million in cash and up to 143,983 shares of the Company's common stock valued at $27.8 million on the date of close. The fair value of the contingent consideration (Level 3) is determined using a Monte Carlo pricing model. Once final, subsequent changes in the fair value of the contingent consideration liabilities will be recorded in the Consolidated Statements of Comprehensive Income. Fluctuations due to foreign currency translation will be recorded in the Consolidated Statements of Shareholders’ Equity.</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results of 3D Hubs since the date of acquisition have been included with Protolabs' results. Pro forma disclosures of the consolidated results of the Company with the full year effects of 3D Hubs, as if the acquisition had occurred on January 1, 2020, have not been separately presented since the impact to the Company's results of operations was not material.</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acquisition has been accounted for under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 of March 31, the allocation of purchase price to assets and liabilities is preliminary. The purchase price allocation will be finalized in 2021. The preliminary allocation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57150</wp:posOffset>
            </wp:positionV>
            <wp:extent cx="6772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8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3D Hubs</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Acquisition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Current assets</w:t>
            </w:r>
          </w:p>
        </w:tc>
        <w:tc>
          <w:tcPr>
            <w:tcW w:w="3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Total assets acquired</w:t>
            </w:r>
          </w:p>
        </w:tc>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313,744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contingent consideration</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180"/>
          </w:cols>
          <w:pgMar w:left="320" w:top="125" w:right="3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Long-term contingent consideration</w:t>
            </w:r>
          </w:p>
        </w:tc>
        <w:tc>
          <w:tcPr>
            <w:tcW w:w="5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assumed</w:t>
            </w:r>
          </w:p>
        </w:tc>
        <w:tc>
          <w:tcPr>
            <w:tcW w:w="5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Net assets acquired</w:t>
            </w:r>
          </w:p>
        </w:tc>
        <w:tc>
          <w:tcPr>
            <w:tcW w:w="5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paid</w:t>
            </w:r>
          </w:p>
        </w:tc>
        <w:tc>
          <w:tcPr>
            <w:tcW w:w="5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134,143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5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Net cash consideration</w:t>
            </w:r>
          </w:p>
        </w:tc>
        <w:tc>
          <w:tcPr>
            <w:tcW w:w="5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127,709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portion of purchase price</w:t>
            </w:r>
          </w:p>
        </w:tc>
        <w:tc>
          <w:tcPr>
            <w:tcW w:w="5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166,709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purchase consideration</w:t>
            </w:r>
          </w:p>
        </w:tc>
        <w:tc>
          <w:tcPr>
            <w:tcW w:w="5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294,418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140" w:type="dxa"/>
            <w:vAlign w:val="bottom"/>
          </w:tcPr>
          <w:p>
            <w:pPr>
              <w:jc w:val="right"/>
              <w:ind w:right="361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Goodwill at March 31, 2021 and December 31,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234950</wp:posOffset>
            </wp:positionV>
            <wp:extent cx="6412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Balance as of the beginning of the period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acquired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Foreign currency translation adjustments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Balance 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412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020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920" w:hanging="91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128,752</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275,438</w:t>
      </w:r>
    </w:p>
    <w:p>
      <w:pPr>
        <w:spacing w:after="0" w:line="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(4,764)</w:t>
      </w:r>
    </w:p>
    <w:p>
      <w:pPr>
        <w:spacing w:after="0" w:line="21" w:lineRule="exact"/>
        <w:rPr>
          <w:sz w:val="20"/>
          <w:szCs w:val="20"/>
          <w:color w:val="auto"/>
        </w:rPr>
      </w:pPr>
    </w:p>
    <w:p>
      <w:pPr>
        <w:ind w:left="920" w:hanging="91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399,426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20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0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1020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340" w:space="720"/>
            <w:col w:w="2160"/>
          </w:cols>
          <w:pgMar w:left="320" w:top="125" w:right="359" w:bottom="1440" w:gutter="0" w:footer="0" w:header="0"/>
        </w:sectPr>
      </w:pPr>
    </w:p>
    <w:p>
      <w:pPr>
        <w:spacing w:after="0" w:line="3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Goodwill increased $275.4 million during the three months ended March 31, 2021 as a result of our acquisition of 3D Hubs. Goodwill has been allocated to the acquired 3D Hubs entities consisting of goodwill of €104.0 million in Europe and $148.8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 The goodwill related to the acquisition is not deductible for tax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March 31, 2021 and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December 31, 2020</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Useful Life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(in</w:t>
            </w: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Gross</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Gross</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lives: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Marketing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3.0</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2.0 - 5.0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3.5</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Software technology</w:t>
            </w: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9,584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7.3</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 platform</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30,916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30,318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9.8</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7"/>
              </w:rPr>
              <w:t>3.0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2.8</w:t>
            </w: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12,281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3.0 - 9.0</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2.6</w:t>
            </w:r>
          </w:p>
        </w:tc>
      </w:tr>
      <w:tr>
        <w:trPr>
          <w:trHeight w:val="210"/>
        </w:trPr>
        <w:tc>
          <w:tcPr>
            <w:tcW w:w="26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58,570</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46,883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24,499</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(10,149)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14,350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Intangible assets increased $34.7 million during the three months ended March 31, 2021 as a result of our acquisition of 3D Hubs. Intangible assets have been allocated to the acquired 3D Hubs entities consisting of intangible assets of €13.1 million in Europe and $18.7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$0.6 million as of March 31, 2021. There was no foreign currency translation impact as of December 31, 2020. Amortization expense for intangible assets was $1.5 million and $0.8 million for the three months ended March 31, 2021 and 2020, respectively.</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186055</wp:posOffset>
            </wp:positionV>
            <wp:extent cx="6412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5,311</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7,082</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4,665</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4,577</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18,369</w:t>
            </w: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46,883</w:t>
            </w: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 xml:space="preserve">Accounting Standards Codification,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assets and liabilities that are required to be measured or disclosed at fair value on a recurring basis include cash and cash equivalents, marketable securities and contingent consideration.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 The Company's contingent consideration is owed to the former shareholders of 3D Hubs and is determined using the Monte Carlo pricing model (Level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assets as of March 31, 2021 and December 31, 2020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March 31, 2021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Borders>
              <w:bottom w:val="single" w:sz="8" w:color="auto"/>
            </w:tcBorders>
          </w:tcPr>
          <w:p>
            <w:pPr>
              <w:spacing w:after="0"/>
              <w:rPr>
                <w:sz w:val="20"/>
                <w:szCs w:val="20"/>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12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mutual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26,545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26,545</w:t>
            </w: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4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10,010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In the first quarter of 2021, the Company sold held-to-maturity securities in order to partially fund the acquisition of 3D Hubs. As a result of the sale, all remaining marketable securities were reclassified to available-for-sale securities and reported at fair value.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recorded a contingent consideration liability at the acquisition date of 3D Hubs representing the amounts payable to former shareholders, as outlined under the terms of the merger agreement, payable subject to the satisfaction of performance-based targets during fiscal year 2021 and fiscal year 2022, consisting of up to $25.0 million in cash and up to 143,983 shares of the Company's common stock valued at $27.8 million on the date of close. The fair value of the contingent consideration (Level 3) is determined using a Monte Carlo pricing model. Subsequent changes in the fair value of the contingent consideration liabilities will be recorded in the Consolidated Statements of Comprehensive Income. Fluctuations due to foreign currency translation will be recorded in the Consolidated Statements of Shareholders’ Equity.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Marketable Securities</w:t>
      </w:r>
    </w:p>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invests in short-term and long-term agency, municipal, corporate and other debt securities. As of March 31, 2021 the securities are categorized as available-for-sale and are recorded at fair value. As of December 31, 2020, the securities were categorized as held-to-maturity and were recorded at amortized cost, net of an allowance for credit losses. The change in categorization was a result of the sale of securities in the first quarter of 2021 in order to partially fund the acquisition of 3D Hubs and did not have a material impact on our financial statements. The following table summarizes information regarding the Company’s short-term and long-term marketable securities as of March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180340</wp:posOffset>
            </wp:positionV>
            <wp:extent cx="6412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19,327</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20,058</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5,468</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49,186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49,352</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237490</wp:posOffset>
            </wp:positionV>
            <wp:extent cx="6412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December 31, 2020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42,248</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18,496</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5,488</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93,445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93,815</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March 31, 2021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156210</wp:posOffset>
            </wp:positionV>
            <wp:extent cx="5709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8"/>
                <w:szCs w:val="18"/>
                <w:color w:val="auto"/>
              </w:rPr>
            </w:pPr>
          </w:p>
        </w:tc>
      </w:tr>
      <w:tr>
        <w:trPr>
          <w:trHeight w:val="234"/>
        </w:trPr>
        <w:tc>
          <w:tcPr>
            <w:tcW w:w="7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29,760</w:t>
            </w:r>
          </w:p>
        </w:tc>
        <w:tc>
          <w:tcPr>
            <w:tcW w:w="20" w:type="dxa"/>
            <w:vAlign w:val="bottom"/>
          </w:tcPr>
          <w:p>
            <w:pPr>
              <w:spacing w:after="0"/>
              <w:rPr>
                <w:sz w:val="18"/>
                <w:szCs w:val="18"/>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49,352</w:t>
            </w:r>
          </w:p>
        </w:tc>
        <w:tc>
          <w:tcPr>
            <w:tcW w:w="20" w:type="dxa"/>
            <w:vAlign w:val="bottom"/>
          </w:tcPr>
          <w:p>
            <w:pPr>
              <w:spacing w:after="0"/>
              <w:rPr>
                <w:sz w:val="21"/>
                <w:szCs w:val="2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Inventory</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220345</wp:posOffset>
            </wp:positionV>
            <wp:extent cx="5709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20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$5.6 million and $3.0 million for the three months ended March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86.46</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25,642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169.32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101.21</w:t>
            </w: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99.34</w:t>
            </w:r>
          </w:p>
        </w:tc>
      </w:tr>
      <w:tr>
        <w:trPr>
          <w:trHeight w:val="197"/>
        </w:trPr>
        <w:tc>
          <w:tcPr>
            <w:tcW w:w="73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100,932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77.31</w:t>
            </w:r>
          </w:p>
        </w:tc>
      </w:tr>
      <w:tr>
        <w:trPr>
          <w:trHeight w:val="196"/>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outstanding options generally have a term of ten years. For employees, options granted become exercisable ratably over the vesting period, which is generally a period from four to five years, beginning on the first anniversary of the grant date, subject to the employee’s continuing service to the Company. For directors, options generally become exercisable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three months ended March 31, 2021 was $75.19.</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117475</wp:posOffset>
            </wp:positionV>
            <wp:extent cx="6412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2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 - 0.96%</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1.47%</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45.28% - 45.35%</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42.40%</w:t>
            </w: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2021, there was $5.3 million of unrecognized compensation expense related to unvested stock options, which is expected to be recognized over a weighted-average period of 2.9 years.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three to five years, beginning on the first anniversary of the grant date, subject to the employee's continuing service to the Company. For directors, restrictions generally lapse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307,199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98.87</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74,411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187.04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84.32</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100.95</w:t>
            </w:r>
          </w:p>
        </w:tc>
      </w:tr>
      <w:tr>
        <w:trPr>
          <w:trHeight w:val="249"/>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at March 31,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342,910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119.21</w:t>
            </w: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2021, there was $31.1 million of unrecognized compensation expense related to non-vested restricted stock, which is expected to be recognized over a weighted-average period of 2.7 years.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certain PSUs granted in 2021 are based on market conditions and the related compensation cost is based on the fair value at grant date calculated using a Monte Carlo 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stock activity during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118.66</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203.64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Performance change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380" w:type="dxa"/>
            <w:vAlign w:val="bottom"/>
            <w:gridSpan w:val="2"/>
          </w:tcPr>
          <w:p>
            <w:pPr>
              <w:spacing w:after="0"/>
              <w:rPr>
                <w:sz w:val="20"/>
                <w:szCs w:val="20"/>
                <w:color w:val="auto"/>
              </w:rPr>
            </w:pPr>
            <w:r>
              <w:rPr>
                <w:rFonts w:ascii="Arial" w:cs="Arial" w:eastAsia="Arial" w:hAnsi="Arial"/>
                <w:sz w:val="18"/>
                <w:szCs w:val="18"/>
                <w:color w:val="auto"/>
              </w:rPr>
              <w:t>Performance stock at March 31, 2021</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35,034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155.23</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jc w:val="both"/>
        <w:ind w:left="140" w:right="380" w:hanging="161"/>
        <w:spacing w:after="0" w:line="277" w:lineRule="auto"/>
        <w:rPr>
          <w:sz w:val="20"/>
          <w:szCs w:val="20"/>
          <w:color w:val="auto"/>
        </w:rPr>
      </w:pPr>
      <w:r>
        <w:rPr>
          <w:rFonts w:ascii="Arial" w:cs="Arial" w:eastAsia="Arial" w:hAnsi="Arial"/>
          <w:sz w:val="18"/>
          <w:szCs w:val="18"/>
          <w:color w:val="auto"/>
        </w:rPr>
        <w:t>The following table provides the assumptions used in the Monte Carlo pricing model valuation of PSUs during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186055</wp:posOffset>
            </wp:positionV>
            <wp:extent cx="6772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100" w:type="dxa"/>
            <w:vAlign w:val="bottom"/>
            <w:gridSpan w:val="3"/>
          </w:tcPr>
          <w:p>
            <w:pPr>
              <w:ind w:left="30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1.41%</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life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2.87</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2.88</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51.40%</w:t>
            </w:r>
          </w:p>
        </w:tc>
        <w:tc>
          <w:tcPr>
            <w:tcW w:w="1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38.70%</w:t>
            </w: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128270</wp:posOffset>
            </wp:positionV>
            <wp:extent cx="6772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March 31, 2021, there was $4.1 million of unrecognized compensation expense related to non-vested performance stock, which is expected to be recognized over a weighted-average period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assumptions used to estimate the fair value of the ESPP during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159385</wp:posOffset>
            </wp:positionV>
            <wp:extent cx="6772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9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60" w:type="dxa"/>
            <w:vAlign w:val="bottom"/>
            <w:gridSpan w:val="2"/>
            <w:shd w:val="clear" w:color="auto" w:fill="CCEEFF"/>
          </w:tcPr>
          <w:p>
            <w:pPr>
              <w:jc w:val="center"/>
              <w:ind w:left="4150"/>
              <w:spacing w:after="0"/>
              <w:rPr>
                <w:sz w:val="20"/>
                <w:szCs w:val="20"/>
                <w:color w:val="auto"/>
              </w:rPr>
            </w:pPr>
            <w:r>
              <w:rPr>
                <w:rFonts w:ascii="Arial" w:cs="Arial" w:eastAsia="Arial" w:hAnsi="Arial"/>
                <w:sz w:val="18"/>
                <w:szCs w:val="18"/>
                <w:color w:val="auto"/>
                <w:w w:val="90"/>
              </w:rPr>
              <w:t>0.12%</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1.59%</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life (months)</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1"/>
              </w:rPr>
              <w:t>6.00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gridSpan w:val="2"/>
            <w:shd w:val="clear" w:color="auto" w:fill="CCEEFF"/>
          </w:tcPr>
          <w:p>
            <w:pPr>
              <w:jc w:val="center"/>
              <w:ind w:left="4130"/>
              <w:spacing w:after="0"/>
              <w:rPr>
                <w:sz w:val="20"/>
                <w:szCs w:val="20"/>
                <w:color w:val="auto"/>
              </w:rPr>
            </w:pPr>
            <w:r>
              <w:rPr>
                <w:rFonts w:ascii="Arial" w:cs="Arial" w:eastAsia="Arial" w:hAnsi="Arial"/>
                <w:sz w:val="18"/>
                <w:szCs w:val="18"/>
                <w:color w:val="auto"/>
                <w:w w:val="91"/>
              </w:rPr>
              <w:t>50.85%</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42.63%</w:t>
            </w: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2"/>
              </w:rPr>
              <w:t>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40" w:type="dxa"/>
            <w:vAlign w:val="bottom"/>
          </w:tcPr>
          <w:p>
            <w:pPr>
              <w:jc w:val="right"/>
              <w:ind w:right="2210"/>
              <w:spacing w:after="0"/>
              <w:rPr>
                <w:sz w:val="20"/>
                <w:szCs w:val="20"/>
                <w:color w:val="auto"/>
              </w:rPr>
            </w:pPr>
            <w:r>
              <w:rPr>
                <w:rFonts w:ascii="Arial" w:cs="Arial" w:eastAsia="Arial" w:hAnsi="Arial"/>
                <w:sz w:val="18"/>
                <w:szCs w:val="18"/>
                <w:color w:val="auto"/>
              </w:rPr>
              <w:t>13</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Note 10 – Accumulated Other Comprehensive Income (Loss)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Other comprehensive income (loss) is comprised of foreign currency translation adjustments and net unrealized gains (losses) on investments in securities. The following table presents the changes in accumulated other comprehensive income (loss) balances during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rPr>
              <w:t>(in thousands)</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(7,018)</w:t>
            </w:r>
          </w:p>
        </w:tc>
      </w:tr>
      <w:tr>
        <w:trPr>
          <w:trHeight w:val="216"/>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16"/>
        </w:trPr>
        <w:tc>
          <w:tcPr>
            <w:tcW w:w="676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1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Net unrealized gains (losses) on investments in securities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7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r>
      <w:tr>
        <w:trPr>
          <w:trHeight w:val="251"/>
        </w:trPr>
        <w:tc>
          <w:tcPr>
            <w:tcW w:w="6760" w:type="dxa"/>
            <w:vAlign w:val="bottom"/>
            <w:tcBorders>
              <w:top w:val="single" w:sz="8" w:color="CCEEFF"/>
              <w:bottom w:val="single" w:sz="8" w:color="auto"/>
            </w:tcBorders>
          </w:tcPr>
          <w:p>
            <w:pPr>
              <w:spacing w:after="0"/>
              <w:rPr>
                <w:sz w:val="21"/>
                <w:szCs w:val="21"/>
                <w:color w:val="auto"/>
              </w:rPr>
            </w:pPr>
          </w:p>
        </w:tc>
        <w:tc>
          <w:tcPr>
            <w:tcW w:w="1680" w:type="dxa"/>
            <w:vAlign w:val="bottom"/>
            <w:tcBorders>
              <w:top w:val="single" w:sz="8" w:color="CCEEFF"/>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is subject to income tax in multiple jurisdictions and the use of estimates is required to determine the provision for income taxes. For the three months ended March 31, 2021 and 2020, the Company recorded an income tax provision of $0.2 million and $3.9 million, respectively. The income tax provision is based on the estimated annual effective tax rate for the year applied to pre-tax income. The results for the three months ended March 31, 2021 reflect losses in jurisdictions that are not eligible for tax benefits on account of valuation allowances. The effective income tax rate for the three months ended March 31, 2021 was 6.0 percent compared to 21.8 percent in the same period of the prior year. The effective tax rate decreased by 15.8 percent for the three months ended March 31, 2021 when compared to the same period in 2020, primarily due to an increase in tax benefits from the vesting of restricted stock and the exercise of stock options.</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income tax rate for the three months ended March 31, 2021 differs from the U.S. federal statutory rate of 21.0 percent due to various factors, including operating in multiple state and foreign jurisdictions and tax credits for which the Company qualifies.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had unrecognized tax benefits totaling $4.9 million as of March 31, 2021 and $4.8 million as of December 31, 2020, respectively, all of which, if recognized, would affect the Company’s effective tax rate. The Company recognizes interest and penalties related to income tax matters in income tax expense, and reports the liability in current or long-term income taxes payable as appropriate.</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11, 2021, the President signed into law the ARP Act, a legislative package which is generally not significant to the Company's current tax footprint; however, the Company will continue to assess the ARP Act on an ongoing basis. Similar tax provisions and other stimulus measures have been granted either before or after March 31, 2021 by certain foreign and U.S. state jurisdictions, which the Company continues to evaluate and apply, if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12 – Segment Reporting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and income from operations by reportable segment for the three months ended March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91,053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90,076</w:t>
            </w:r>
          </w:p>
        </w:tc>
      </w:tr>
      <w:tr>
        <w:trPr>
          <w:trHeight w:val="216"/>
        </w:trPr>
        <w:tc>
          <w:tcPr>
            <w:tcW w:w="300" w:type="dxa"/>
            <w:vAlign w:val="bottom"/>
            <w:shd w:val="clear" w:color="auto" w:fill="CCEEFF"/>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20,787</w:t>
            </w:r>
          </w:p>
        </w:tc>
      </w:tr>
      <w:tr>
        <w:trPr>
          <w:trHeight w:val="216"/>
        </w:trPr>
        <w:tc>
          <w:tcPr>
            <w:tcW w:w="30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Japan</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4,245</w:t>
            </w:r>
          </w:p>
        </w:tc>
      </w:tr>
      <w:tr>
        <w:trPr>
          <w:trHeight w:val="249"/>
        </w:trPr>
        <w:tc>
          <w:tcPr>
            <w:tcW w:w="300" w:type="dxa"/>
            <w:vAlign w:val="bottom"/>
            <w:shd w:val="clear" w:color="auto" w:fill="CCEEFF"/>
          </w:tcPr>
          <w:p>
            <w:pPr>
              <w:spacing w:after="0"/>
              <w:rPr>
                <w:sz w:val="21"/>
                <w:szCs w:val="21"/>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115,108</w:t>
            </w:r>
          </w:p>
        </w:tc>
      </w:tr>
      <w:tr>
        <w:trPr>
          <w:trHeight w:val="251"/>
        </w:trPr>
        <w:tc>
          <w:tcPr>
            <w:tcW w:w="300" w:type="dxa"/>
            <w:vAlign w:val="bottom"/>
            <w:tcBorders>
              <w:top w:val="single" w:sz="8" w:color="CCEEFF"/>
              <w:bottom w:val="single" w:sz="8" w:color="auto"/>
            </w:tcBorders>
          </w:tcPr>
          <w:p>
            <w:pPr>
              <w:spacing w:after="0"/>
              <w:rPr>
                <w:sz w:val="21"/>
                <w:szCs w:val="21"/>
                <w:color w:val="auto"/>
              </w:rPr>
            </w:pPr>
          </w:p>
        </w:tc>
        <w:tc>
          <w:tcPr>
            <w:tcW w:w="4660" w:type="dxa"/>
            <w:vAlign w:val="bottom"/>
            <w:tcBorders>
              <w:top w:val="single" w:sz="8" w:color="CCEEFF"/>
              <w:bottom w:val="single" w:sz="8" w:color="auto"/>
            </w:tcBorders>
          </w:tcPr>
          <w:p>
            <w:pPr>
              <w:spacing w:after="0"/>
              <w:rPr>
                <w:sz w:val="21"/>
                <w:szCs w:val="21"/>
                <w:color w:val="auto"/>
              </w:rPr>
            </w:pPr>
          </w:p>
        </w:tc>
        <w:tc>
          <w:tcPr>
            <w:tcW w:w="348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466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09"/>
        </w:trPr>
        <w:tc>
          <w:tcPr>
            <w:tcW w:w="6800" w:type="dxa"/>
            <w:vAlign w:val="bottom"/>
            <w:gridSpan w:val="3"/>
          </w:tcPr>
          <w:p>
            <w:pPr>
              <w:ind w:left="28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w w:val="73"/>
              </w:rPr>
              <w:t>2020</w:t>
            </w:r>
          </w:p>
        </w:tc>
      </w:tr>
      <w:tr>
        <w:trPr>
          <w:trHeight w:val="210"/>
        </w:trPr>
        <w:tc>
          <w:tcPr>
            <w:tcW w:w="30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500" w:type="dxa"/>
            <w:vAlign w:val="bottom"/>
            <w:gridSpan w:val="2"/>
          </w:tcPr>
          <w:p>
            <w:pPr>
              <w:ind w:left="4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22,503</w:t>
            </w:r>
          </w:p>
        </w:tc>
        <w:tc>
          <w:tcPr>
            <w:tcW w:w="6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25,089</w:t>
            </w:r>
          </w:p>
        </w:tc>
      </w:tr>
      <w:tr>
        <w:trPr>
          <w:trHeight w:val="216"/>
        </w:trPr>
        <w:tc>
          <w:tcPr>
            <w:tcW w:w="300" w:type="dxa"/>
            <w:vAlign w:val="bottom"/>
          </w:tcPr>
          <w:p>
            <w:pPr>
              <w:spacing w:after="0"/>
              <w:rPr>
                <w:sz w:val="18"/>
                <w:szCs w:val="18"/>
                <w:color w:val="auto"/>
              </w:rPr>
            </w:pPr>
          </w:p>
        </w:tc>
        <w:tc>
          <w:tcPr>
            <w:tcW w:w="6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w:t>
            </w:r>
          </w:p>
        </w:tc>
      </w:tr>
      <w:tr>
        <w:trPr>
          <w:trHeight w:val="216"/>
        </w:trPr>
        <w:tc>
          <w:tcPr>
            <w:tcW w:w="300" w:type="dxa"/>
            <w:vAlign w:val="bottom"/>
          </w:tcPr>
          <w:p>
            <w:pPr>
              <w:spacing w:after="0"/>
              <w:rPr>
                <w:sz w:val="18"/>
                <w:szCs w:val="18"/>
                <w:color w:val="auto"/>
              </w:rPr>
            </w:pPr>
          </w:p>
        </w:tc>
        <w:tc>
          <w:tcPr>
            <w:tcW w:w="6500" w:type="dxa"/>
            <w:vAlign w:val="bottom"/>
            <w:gridSpan w:val="2"/>
          </w:tcPr>
          <w:p>
            <w:pPr>
              <w:ind w:left="480"/>
              <w:spacing w:after="0"/>
              <w:rPr>
                <w:sz w:val="20"/>
                <w:szCs w:val="20"/>
                <w:color w:val="auto"/>
              </w:rPr>
            </w:pPr>
            <w:r>
              <w:rPr>
                <w:rFonts w:ascii="Arial" w:cs="Arial" w:eastAsia="Arial" w:hAnsi="Arial"/>
                <w:sz w:val="18"/>
                <w:szCs w:val="18"/>
                <w:color w:val="auto"/>
              </w:rPr>
              <w:t>Corporate Unallocated and Japan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(16,871)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(12,628)</w:t>
            </w:r>
          </w:p>
        </w:tc>
      </w:tr>
      <w:tr>
        <w:trPr>
          <w:trHeight w:val="250"/>
        </w:trPr>
        <w:tc>
          <w:tcPr>
            <w:tcW w:w="300" w:type="dxa"/>
            <w:vAlign w:val="bottom"/>
          </w:tcPr>
          <w:p>
            <w:pPr>
              <w:spacing w:after="0"/>
              <w:rPr>
                <w:sz w:val="21"/>
                <w:szCs w:val="21"/>
                <w:color w:val="auto"/>
              </w:rPr>
            </w:pPr>
          </w:p>
        </w:tc>
        <w:tc>
          <w:tcPr>
            <w:tcW w:w="6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Income from Operations</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6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r>
      <w:tr>
        <w:trPr>
          <w:trHeight w:val="196"/>
        </w:trPr>
        <w:tc>
          <w:tcPr>
            <w:tcW w:w="300" w:type="dxa"/>
            <w:vAlign w:val="bottom"/>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56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r>
      <w:tr>
        <w:trPr>
          <w:trHeight w:val="426"/>
        </w:trPr>
        <w:tc>
          <w:tcPr>
            <w:tcW w:w="6800" w:type="dxa"/>
            <w:vAlign w:val="bottom"/>
            <w:gridSpan w:val="3"/>
          </w:tcPr>
          <w:p>
            <w:pPr>
              <w:spacing w:after="0"/>
              <w:rPr>
                <w:sz w:val="20"/>
                <w:szCs w:val="20"/>
                <w:color w:val="auto"/>
              </w:rPr>
            </w:pPr>
            <w:r>
              <w:rPr>
                <w:rFonts w:ascii="Arial" w:cs="Arial" w:eastAsia="Arial" w:hAnsi="Arial"/>
                <w:sz w:val="18"/>
                <w:szCs w:val="18"/>
                <w:color w:val="auto"/>
              </w:rPr>
              <w:t>Total long-lived assets at March 31, 2021 and December 31, 2020 were as follows: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407"/>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213,434</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215,721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59,388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6,672</w:t>
            </w: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7,557</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279,901</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282,666</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7"/>
        </w:trPr>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for the three months ended March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(in thousands)</w:t>
            </w:r>
          </w:p>
        </w:tc>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Injection Molding</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56,359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54,776</w:t>
            </w: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CNC Machining</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37,885</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3D Printing</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15,948</w:t>
            </w: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Sheet Metal</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5,649</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r>
      <w:tr>
        <w:trPr>
          <w:trHeight w:val="25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115,108</w:t>
            </w:r>
          </w:p>
        </w:tc>
      </w:tr>
      <w:tr>
        <w:trPr>
          <w:trHeight w:val="250"/>
        </w:trPr>
        <w:tc>
          <w:tcPr>
            <w:tcW w:w="3580" w:type="dxa"/>
            <w:vAlign w:val="bottom"/>
            <w:tcBorders>
              <w:top w:val="single" w:sz="8" w:color="CCEEFF"/>
              <w:bottom w:val="single" w:sz="8" w:color="auto"/>
            </w:tcBorders>
          </w:tcPr>
          <w:p>
            <w:pPr>
              <w:spacing w:after="0"/>
              <w:rPr>
                <w:sz w:val="21"/>
                <w:szCs w:val="21"/>
                <w:color w:val="auto"/>
              </w:rPr>
            </w:pPr>
          </w:p>
        </w:tc>
        <w:tc>
          <w:tcPr>
            <w:tcW w:w="486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r>
      <w:tr>
        <w:trPr>
          <w:trHeight w:val="479"/>
        </w:trPr>
        <w:tc>
          <w:tcPr>
            <w:tcW w:w="3580" w:type="dxa"/>
            <w:vAlign w:val="bottom"/>
          </w:tcPr>
          <w:p>
            <w:pPr>
              <w:spacing w:after="0"/>
              <w:rPr>
                <w:sz w:val="24"/>
                <w:szCs w:val="24"/>
                <w:color w:val="auto"/>
              </w:rPr>
            </w:pPr>
          </w:p>
        </w:tc>
        <w:tc>
          <w:tcPr>
            <w:tcW w:w="4860" w:type="dxa"/>
            <w:vAlign w:val="bottom"/>
          </w:tcPr>
          <w:p>
            <w:pPr>
              <w:jc w:val="right"/>
              <w:ind w:right="26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58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the world’s largest and fastest digital manufacturer of custom prototypes and on-demand production parts. We manufacture prototypes and low-volume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In January 2021, we acquired 3D Hubs, a leading online manufacturing platform based in Amsterdam, Netherlands, that provides customers with on-demand access to a global network of premium manufacturing partners. This acquisition creates the world's largest digital manufacturing platform, offering the broadest set of manufacturing services with the help of a global network of premium manufacturing providers. Our customers conduct nearly all of their business with us over the Internet. We target our products to the millions of product developers and engineers who use three-dimensional computer-aided design (3D CAD) software to design products across a diverse range of end-markets.</w:t>
      </w:r>
    </w:p>
    <w:p>
      <w:pPr>
        <w:spacing w:after="0" w:line="1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The acquisition of 3D Hubs broadens our offer beyond our current manufacturing capabilities and provides a broader range of price and lead time options by leveraging a network of manufacturing partners to meet the holistic needs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Prototype quantities typically range from 25 to 100 parts. Because we retain possession of the molds, customers who need short-run production often come back to Protolabs’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product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product developer or engineer. CNC turning with live tooling combines both lathe and mill capabilities to machine parts with cylindrical features from metal rod stock. Our efficiencies derive from the automation of the programming of these machines and a proprietary fixturing process.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Quick-turn CNC machining works best for prototyping, form and fit testing, jigs and fixtures and functional components for end-use applications.</w:t>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Printing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3D Printing product line includes stereolithography, selective laser sintering, direct metal laser sintering, Multi Jet Fusion, PolyJet and digital light synthesis processes, which offer customers a wide-variety of high-quality, precision rapid prototyping and low-volume production. These processes create parts with a high level of accuracy, detail, strength and durability. Industrial 3D Printing is best suited for functional prototypes, complex designs and end-use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Sheet Metal product line includes quick-turn and e-commerce-enabled custom sheet metal parts, which provides customers with prototype and low-volume production parts. The rapid prototype sheet metal process is most often used when form, fit and function are all a priority. Our manufacturing process uses customer 3D CAD models uploaded by the product developer or engineer to fabricate quick-turn prototype sheet metal or short-run production parts.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expanding the breadth of our product offerings, gaining new customers and selling to our existing customer base by increasing marketing and selling activities, including:</w:t>
      </w:r>
    </w:p>
    <w:p>
      <w:pPr>
        <w:spacing w:after="0" w:line="192"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scope of each of our product lines by adding more sizes and materials to our offerings;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Manufacturing Group, LLC (RAPID) in 2017</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 and</w:t>
      </w:r>
    </w:p>
    <w:p>
      <w:pPr>
        <w:spacing w:after="0" w:line="225" w:lineRule="exact"/>
        <w:rPr>
          <w:rFonts w:ascii="Arial" w:cs="Arial" w:eastAsia="Arial" w:hAnsi="Arial"/>
          <w:sz w:val="18"/>
          <w:szCs w:val="18"/>
          <w:color w:val="auto"/>
        </w:rPr>
      </w:pPr>
    </w:p>
    <w:p>
      <w:pPr>
        <w:ind w:left="820" w:right="380" w:hanging="488"/>
        <w:spacing w:after="0" w:line="182" w:lineRule="auto"/>
        <w:tabs>
          <w:tab w:leader="none" w:pos="820"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color w:val="auto"/>
        </w:rPr>
        <w:t>providing customers with on-demand access to a global network of premium manufacturing partners through our acquisition of 3D Hubs in January 2021.</w:t>
      </w:r>
    </w:p>
    <w:p>
      <w:pPr>
        <w:spacing w:after="0" w:line="2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three months ended March 31, 2021, we served 22,605 unique product developers and engineers who purchased our products through our web-based customer interface, an increase of 8.3% over the same period in 2020. The increase in product developers was driven by our acquisition of 3D Hubs. Excluding the impact of 3D Hubs, our product developers declined 6.8% during the three months ended March 31, 2021 when compared to the same period in 2020.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benefits, stock-based compensation, facilities costs, overhead allocations and outsourced manufacturing costs associated with the manufacturing process for molds and custom parts. We expect our personnel-related costs to increase in order to retain and attract top talent and remain competitive in the market. Overall, we expect cost of revenue to increase in absolute dollars, but remain relatively constant as a percentage of total revenue.</w:t>
      </w:r>
    </w:p>
    <w:p>
      <w:pPr>
        <w:spacing w:after="0" w:line="1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and foreign exchange rates.</w:t>
      </w: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recent growth in operating expenses is mainly due to the launch of our Protolabs 2.0 project in the fourth quarter of 2020. Expenses that were previously capitalizable as part of the project were expensed after the system was placed in service in November 2020. Our business strategy is to continue to be a leading online and technology-enabled manufacturer of quick-turn, on-demand injection-molded, CNC-machined, CNC-turned, 3D-printed and sheet metal custom parts for prototyping and low-volume production. In order to achieve our goals, we anticipate continued substantial investments in technology and personnel, resulting in increased operating expenses.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Marketing and sales expense consists primarily of employee compensation, benefits, commissions,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we expect our effective tax rate for 2021 and beyond will remain consistent based on the current tax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Borders>
              <w:bottom w:val="single" w:sz="8" w:color="auto"/>
            </w:tcBorders>
          </w:tcPr>
          <w:p>
            <w:pPr>
              <w:spacing w:after="0"/>
              <w:rPr>
                <w:sz w:val="20"/>
                <w:szCs w:val="20"/>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116,126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115,108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60,796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57,008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r>
      <w:tr>
        <w:trPr>
          <w:trHeight w:val="216"/>
        </w:trPr>
        <w:tc>
          <w:tcPr>
            <w:tcW w:w="5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35.5</w:t>
            </w:r>
          </w:p>
        </w:tc>
      </w:tr>
      <w:tr>
        <w:trPr>
          <w:trHeight w:val="216"/>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37.6</w:t>
            </w:r>
          </w:p>
        </w:tc>
      </w:tr>
      <w:tr>
        <w:trPr>
          <w:trHeight w:val="210"/>
        </w:trPr>
        <w:tc>
          <w:tcPr>
            <w:tcW w:w="522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23.7</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(loss) income, net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(129.7)</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(93.9)</w:t>
            </w:r>
          </w:p>
        </w:tc>
      </w:tr>
      <w:tr>
        <w:trPr>
          <w:trHeight w:val="24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51"/>
        </w:trPr>
        <w:tc>
          <w:tcPr>
            <w:tcW w:w="522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months ended March 31,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117475</wp:posOffset>
            </wp:positionV>
            <wp:extent cx="67722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3"/>
              </w:rPr>
              <w:t>Three Months Ended March 31,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3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4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4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39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 and sales</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3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Total stock-based compensation expense</w:t>
            </w:r>
          </w:p>
        </w:tc>
        <w:tc>
          <w:tcPr>
            <w:tcW w:w="4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920" w:type="dxa"/>
            <w:vAlign w:val="bottom"/>
          </w:tcPr>
          <w:p>
            <w:pPr>
              <w:jc w:val="right"/>
              <w:ind w:right="249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March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4"/>
            <w:vMerge w:val="restart"/>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91,053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78.4%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90,076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21,449</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20,787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vMerge w:val="restart"/>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3,624</w:t>
            </w:r>
          </w:p>
        </w:tc>
        <w:tc>
          <w:tcPr>
            <w:tcW w:w="8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4"/>
                <w:szCs w:val="14"/>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9"/>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jc w:val="right"/>
              <w:ind w:right="79"/>
              <w:spacing w:after="0" w:line="68" w:lineRule="exact"/>
              <w:rPr>
                <w:sz w:val="20"/>
                <w:szCs w:val="20"/>
                <w:color w:val="auto"/>
              </w:rPr>
            </w:pPr>
            <w:r>
              <w:rPr>
                <w:rFonts w:ascii="Arial" w:cs="Arial" w:eastAsia="Arial" w:hAnsi="Arial"/>
                <w:sz w:val="7"/>
                <w:szCs w:val="7"/>
                <w:color w:val="auto"/>
              </w:rPr>
              <w:t>(14.6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115,108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revenue increased $1.0 million, or 0.9%, for the three months ended March 31, 2021 compared to the same period in 2020. Our revenue for the three months ended March 31, 2021 includes revenue of $5.8 million provided by our acquisition of 3D Hubs. By reportable segment, revenue in the United States increased $1.0 million, or 1.1%, for the three months ended March 31, 2021 compared to the same period in 2020. Revenue in Europe increased $0.6 million, or 3.2%, and revenue in Japan decreased $0.6 million, or 14.6%, in each case for the three months ended March 31, 2021 compared to the same period in 2020. International revenue was positively impacted by $1.6 million during the three months ended March 31, 2021 compared to the same period in 2020 as a result of foreign currency movements, primarily the strengthening of the British Pound and Euro relative to the United States Dollar.</w:t>
      </w:r>
    </w:p>
    <w:p>
      <w:pPr>
        <w:spacing w:after="0" w:line="16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During the three months ended March 31, 2021, we served 22,605 unique product developers and engineers, an increase of 8.3% over the same period in 2020. The increase in product developers was driven by our acquisition of 3D Hubs. Excluding the impact of 3D Hubs, our product developers declined</w:t>
      </w:r>
    </w:p>
    <w:p>
      <w:pPr>
        <w:ind w:right="100"/>
        <w:spacing w:after="0" w:line="290" w:lineRule="auto"/>
        <w:rPr>
          <w:sz w:val="20"/>
          <w:szCs w:val="20"/>
          <w:color w:val="auto"/>
        </w:rPr>
      </w:pPr>
      <w:r>
        <w:rPr>
          <w:rFonts w:ascii="Arial" w:cs="Arial" w:eastAsia="Arial" w:hAnsi="Arial"/>
          <w:sz w:val="16"/>
          <w:szCs w:val="16"/>
          <w:color w:val="auto"/>
        </w:rPr>
        <w:t>6.8% during the three months ended March 31, 2021 when compared to the same period in 2020.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March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56,359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48.5%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54,776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36,703</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37,885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17,235</w:t>
            </w:r>
          </w:p>
        </w:tc>
        <w:tc>
          <w:tcPr>
            <w:tcW w:w="1280" w:type="dxa"/>
            <w:vAlign w:val="bottom"/>
            <w:gridSpan w:val="3"/>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15,948</w:t>
            </w:r>
          </w:p>
        </w:tc>
        <w:tc>
          <w:tcPr>
            <w:tcW w:w="1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r>
      <w:tr>
        <w:trPr>
          <w:trHeight w:val="250"/>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115,108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197"/>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By product line, our revenue increase was driven by an 8.1% increase in 3D Printing revenue and a 2.9% increase in Injection Molding revenue, which was partially offset by a 3.1% decrease in CNC Machining revenue, a 7.6% decrease in Sheet Metal revenue and a 28.2% decrease in Other Revenue, in each case for the three months ended March 31, 2021 compared to the same period in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$3.8 million, or 6.6%, for the three months ended March 31, 2021 compared to the same period in 2020,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greater than the rate of revenue increase of 0.9% for the three months ended March 31, 2021 compared to the same period in 2020. The increase in cost of revenue was driven by a $5.1 million increase resulting from our recent acquisition of 3D Hubs. The increase was partially offset by our legacy business where there was a decrease in headcount resulting in personnel and related cost decreases of $1.0 million, as well as a decrease in raw material and product costs of $0.5 million, which were partially offset by an increase in equipment and facility related costs of $0.2 million.</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decreased from $58.1 million in the three months ended March 31, 2020 to $55.3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primarily due to the mix of revenue. Gross margin decreased from 50.5% in the three months ended March 31, 2020 to 47.6% in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(Loss) Income, net and Provision for Income Taxes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Marketing and sales expenses increased $1.3 million, or 7.2%, during the three months ended March 31,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increase is primarily driven by our acquisition of 3D Hubs which provided $1.0 million in marketing and sales expense during the three months ended March 31, 2021. In our legacy business, personnel and related cost increases of $1.0 million were partially offset by marketing program cost decreases of $0.7 million.</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$3.2 million, or 35.5%, during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primarily due to personnel and related cost increases of $2.8 million driven by personnel and contractor resources dedicated to the launch of our Protolabs 2.0 system. Expenses that were previously capitalizable as part of the project were expensed after the system was placed in service in November 2020. In addition, increases of $0.5 million resulted from our acquisition of 3D Hubs, which were partially offset by decreases of $0.1 in professional service costs.</w:t>
      </w:r>
    </w:p>
    <w:p>
      <w:pPr>
        <w:spacing w:after="0" w:line="18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$5.3 million, or 37.6%, during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2020 primarily due to an increase of $2.1 million resulting from our recent acquisition of 3D Hubs, $2.5 million in transaction costs associated with the acquisition, other professional service cost increases of $0.3 million and stock-based compensation cost increases of $1.7 million, which were partially offset by administrative cost decreases of $0.9 million and personnel and related cost decreases of $0.4 million.</w:t>
      </w:r>
    </w:p>
    <w:p>
      <w:pPr>
        <w:spacing w:after="0" w:line="15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Other (Loss) Income, net. </w:t>
      </w:r>
      <w:r>
        <w:rPr>
          <w:rFonts w:ascii="Arial" w:cs="Arial" w:eastAsia="Arial" w:hAnsi="Arial"/>
          <w:sz w:val="17"/>
          <w:szCs w:val="17"/>
          <w:color w:val="auto"/>
        </w:rPr>
        <w:t>We recognized other loss, net of $0.3 million for the three months ended March 31, 2021, a decrease of $1.4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income, net of $1.1 million for the three months ended March 31, 2020. Other loss, net for the three months ended March 31, 2021 primarily consisted of a $0.5 million loss on foreign currency, which was partially offset by $0.1 million in interest income on investments and $0.1 million in other income. Other income, net for the three months ended March 31, 2020 primarily consisted of $0.6 million in interest income on investments and a $0.7 million gain on foreign currency, which was partially offset by a $0.2 million in other expense.</w:t>
      </w:r>
    </w:p>
    <w:p>
      <w:pPr>
        <w:spacing w:after="0" w:line="17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of 6.0% for the three months ended March 31, 2021 decreased 15.8% compared to 21.8%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2020. The decrease in the effective tax rate is primarily due to an increase in tax benefits from the vesting of restricted stock and the exercise of stock options. Our income tax provision of $0.2 million for the three months ended March 31, 2021 decreased $3.7 million compared to our income tax provision of $3.9 million for the three months ended March 31, 2020, due to a combination of lower pre-tax income and the lower effective tax rate.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during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22,410</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(43,350)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49"/>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(33,320)</w:t>
            </w:r>
          </w:p>
        </w:tc>
      </w:tr>
      <w:tr>
        <w:trPr>
          <w:trHeight w:val="197"/>
        </w:trPr>
        <w:tc>
          <w:tcPr>
            <w:tcW w:w="20" w:type="dxa"/>
            <w:vAlign w:val="bottom"/>
          </w:tcPr>
          <w:p>
            <w:pPr>
              <w:spacing w:after="0"/>
              <w:rPr>
                <w:sz w:val="17"/>
                <w:szCs w:val="17"/>
                <w:color w:val="auto"/>
              </w:rPr>
            </w:pPr>
          </w:p>
        </w:tc>
        <w:tc>
          <w:tcPr>
            <w:tcW w:w="5520" w:type="dxa"/>
            <w:vAlign w:val="bottom"/>
            <w:tcBorders>
              <w:top w:val="single" w:sz="8" w:color="CCEEFF"/>
              <w:bottom w:val="single" w:sz="8" w:color="auto"/>
            </w:tcBorders>
          </w:tcPr>
          <w:p>
            <w:pPr>
              <w:spacing w:after="0"/>
              <w:rPr>
                <w:sz w:val="17"/>
                <w:szCs w:val="17"/>
                <w:color w:val="auto"/>
              </w:rPr>
            </w:pPr>
          </w:p>
        </w:tc>
        <w:tc>
          <w:tcPr>
            <w:tcW w:w="166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Historically, we have primarily financed our operations and capital expenditures through cash flow from operations. We had cash and cash equivalents of $43.8 million as of March 31, 2021, a decrease of $83.8 million from December 31, 2020. The decrease in our cash was primarily due to cash used in investing activity for our acquisition of 3D Hubs of $127.7 million and purchases of property, equipment and other capital assets of $6.5 million, which were partially offset by net proceeds from investments in marketable securities of $44.1 million and cash generated through operations of $6.4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Cash flows from operating activities were $6.4 million during the three months ended March 31, 2021 and primarily consisted of net income of $3.7 million, adjusted for certain non-cash items, including depreciation and amortization of $10.1 million and stock-based compensation expense of $5.6 million, which were partially offset by changes in operating assets and liabilities and other items totaling $13.0 million. Cash flows from operating activities were $22.4 million during the three months ended March 31, 2020 and primarily consisted of net income of $14.0 million, adjusted for certain non-cash items, including depreciation and amortization of $8.0 million, stock-based compensation expense of $3.0 million and deferred taxes of $3.4 million, which were partially offset by changes in operating assets and liabilities and other items totaling $6.0 million.</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Cash flows from operating activities decreased $16.0 million during the three months ended March 31, 2021 compared to the same period in 2020, primarily due to decreases in net income of $10.3 million, decreases in changes in operating assets and liabilities of $7.7 million driven by timing of cash receipts and payments, and decreases in deferred taxes of $3.5 million, which were partially offset by increases in depreciation and amortization of $2.1 million, increases in stock-based compensation of $2.6 million and increases of $0.8 million in other items.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Cash used in investing activities was $90.1 million during the three months ended March 31, 2021, consisting of $127.7 million in cash used for acquisitions, net of cash acquired and $6.5 million for the purchases of property, equipment and other capital assets, which were partially offset by $44.1 million for net proceeds from investments in marketable securities.</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Cash used in investing activities was $43.3 million during the three months ended March 31, 2020, consisting of $37.6 million for the purchases of marketable securities, $13.4 million for the purchases of property, equipment and other capital assets and $3.0 million for purchases of other assets and investments, which were partially offset by $10.7 million in net proceeds from maturities of marketable securities.</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used in financing activities was $0.4 million during the three months ended March 31, 2021, consisting of $2.0 million in purchases of shares withheld for tax obligations associated with equity transactions and $0.1 million for repayments of finance lease obligations, which were partially offset by $1.7 million in proceeds from the exercise of stock options.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used in financing activities was $12.1 million during the three months ended March 31, 2020, consisting of $11.2 million in repurchases of common stock and $1.0 million in purchases of shares withheld for tax obligations associated with equity transactions, which were partially offset by $0.1 million in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$0.5 million and foreign currency gains of $0.7 million during the three months ended March 31, 2021 and 2020, respectively. The changes in foreign exchange rates had a positive impact of $1.6 million and negative impact of $0.6 million for the three months ended March 31, 2021 and 2020, respectively.</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quarter of 2021, the Company completed the implementation of Protolabs 2.0, an internal business systems project impacting both external customer-facing and internal back-end systems. Emphasis has been on the maintenance of effective internal controls throughout development and deployment of all phases. The Company evaluated and concluded the implementation of Protolabs 2.0 has not materially affected the Company's internal control over financial reporting. Based on this evaluation, 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Part I, Item 1A. “Risk Factors” in our Annual Report on Form 10-K for the year ended December 31, 2020 includes a discussion of our risk factors. There have been no material changes from the risk factors described 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9, 2017, we announced that our board of directors had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This authorization increases the stock repurchase program to $100 million. The timing and amount of any share repurchases will be determined by our management based on market conditions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repurchases in the first quarter of 2021. We have $35.2 million remaining under this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10420" w:type="dxa"/>
            <w:vAlign w:val="bottom"/>
            <w:gridSpan w:val="9"/>
          </w:tcPr>
          <w:p>
            <w:pPr>
              <w:ind w:left="436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9"/>
                <w:szCs w:val="19"/>
                <w:color w:val="auto"/>
                <w:vertAlign w:val="subscript"/>
              </w:rPr>
              <w:t>3.1</w:t>
            </w:r>
            <w:r>
              <w:rPr>
                <w:rFonts w:ascii="Arial" w:cs="Arial" w:eastAsia="Arial" w:hAnsi="Arial"/>
                <w:sz w:val="9"/>
                <w:szCs w:val="9"/>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tcBorders>
              <w:top w:val="single" w:sz="8" w:color="auto"/>
            </w:tcBorders>
            <w:gridSpan w:val="9"/>
          </w:tcPr>
          <w:p>
            <w:pPr>
              <w:spacing w:after="0" w:line="169" w:lineRule="exact"/>
              <w:rPr>
                <w:rFonts w:ascii="Arial" w:cs="Arial" w:eastAsia="Arial" w:hAnsi="Arial"/>
                <w:sz w:val="18"/>
                <w:szCs w:val="18"/>
                <w:color w:val="0000EE"/>
              </w:rPr>
            </w:pPr>
            <w:hyperlink r:id="rId66">
              <w:r>
                <w:rPr>
                  <w:rFonts w:ascii="Arial" w:cs="Arial" w:eastAsia="Arial" w:hAnsi="Arial"/>
                  <w:sz w:val="18"/>
                  <w:szCs w:val="18"/>
                  <w:color w:val="0000EE"/>
                </w:rPr>
                <w:t>Third Amended and Restated Articles of Incorporation of Proto Labs, Inc.</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22"/>
                <w:szCs w:val="22"/>
                <w:color w:val="auto"/>
                <w:vertAlign w:val="subscript"/>
              </w:rPr>
              <w:t>3.2</w:t>
            </w:r>
            <w:r>
              <w:rPr>
                <w:rFonts w:ascii="Arial" w:cs="Arial" w:eastAsia="Arial" w:hAnsi="Arial"/>
                <w:sz w:val="10"/>
                <w:szCs w:val="10"/>
                <w:color w:val="auto"/>
              </w:rPr>
              <w:t>(2)</w:t>
            </w:r>
          </w:p>
        </w:tc>
        <w:tc>
          <w:tcPr>
            <w:tcW w:w="120" w:type="dxa"/>
            <w:vAlign w:val="bottom"/>
          </w:tcPr>
          <w:p>
            <w:pPr>
              <w:spacing w:after="0"/>
              <w:rPr>
                <w:sz w:val="17"/>
                <w:szCs w:val="17"/>
                <w:color w:val="auto"/>
              </w:rPr>
            </w:pPr>
          </w:p>
        </w:tc>
        <w:tc>
          <w:tcPr>
            <w:tcW w:w="8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Articles of Amendment to Third Amended and Restated Articles of Incorporation of Proto Labs, Inc. dated May 20, 2015</w:t>
              </w:r>
            </w:hyperlink>
          </w:p>
        </w:tc>
        <w:tc>
          <w:tcPr>
            <w:tcW w:w="1680" w:type="dxa"/>
            <w:vAlign w:val="bottom"/>
            <w:gridSpan w:val="2"/>
          </w:tcPr>
          <w:p>
            <w:pPr>
              <w:spacing w:after="0"/>
              <w:rPr>
                <w:sz w:val="17"/>
                <w:szCs w:val="17"/>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7"/>
                <w:szCs w:val="17"/>
                <w:color w:val="auto"/>
                <w:w w:val="86"/>
              </w:rPr>
              <w:t>3.3</w:t>
            </w:r>
            <w:r>
              <w:rPr>
                <w:rFonts w:ascii="Arial" w:cs="Arial" w:eastAsia="Arial" w:hAnsi="Arial"/>
                <w:sz w:val="22"/>
                <w:szCs w:val="22"/>
                <w:color w:val="auto"/>
                <w:w w:val="86"/>
                <w:vertAlign w:val="superscript"/>
              </w:rPr>
              <w:t>(3)</w:t>
            </w:r>
          </w:p>
        </w:tc>
        <w:tc>
          <w:tcPr>
            <w:tcW w:w="120" w:type="dxa"/>
            <w:vAlign w:val="bottom"/>
          </w:tcPr>
          <w:p>
            <w:pPr>
              <w:spacing w:after="0"/>
              <w:rPr>
                <w:sz w:val="17"/>
                <w:szCs w:val="17"/>
                <w:color w:val="auto"/>
              </w:rPr>
            </w:pPr>
          </w:p>
        </w:tc>
        <w:tc>
          <w:tcPr>
            <w:tcW w:w="72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Second Amended and Restated By-Laws of Proto Labs, Inc., as amended through November 8, 2016</w:t>
              </w:r>
            </w:hyperlink>
          </w:p>
        </w:tc>
        <w:tc>
          <w:tcPr>
            <w:tcW w:w="3160" w:type="dxa"/>
            <w:vAlign w:val="bottom"/>
            <w:gridSpan w:val="5"/>
          </w:tcPr>
          <w:p>
            <w:pPr>
              <w:spacing w:after="0"/>
              <w:rPr>
                <w:sz w:val="17"/>
                <w:szCs w:val="17"/>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4"/>
                <w:szCs w:val="14"/>
                <w:color w:val="auto"/>
              </w:rPr>
              <w:t>10.1</w:t>
            </w:r>
            <w:r>
              <w:rPr>
                <w:rFonts w:ascii="Arial" w:cs="Arial" w:eastAsia="Arial" w:hAnsi="Arial"/>
                <w:sz w:val="22"/>
                <w:szCs w:val="22"/>
                <w:color w:val="auto"/>
                <w:vertAlign w:val="superscript"/>
              </w:rPr>
              <w:t>(4)</w:t>
            </w:r>
          </w:p>
        </w:tc>
        <w:tc>
          <w:tcPr>
            <w:tcW w:w="120" w:type="dxa"/>
            <w:vAlign w:val="bottom"/>
          </w:tcPr>
          <w:p>
            <w:pPr>
              <w:spacing w:after="0"/>
              <w:rPr>
                <w:sz w:val="17"/>
                <w:szCs w:val="17"/>
                <w:color w:val="auto"/>
              </w:rPr>
            </w:pPr>
          </w:p>
        </w:tc>
        <w:tc>
          <w:tcPr>
            <w:tcW w:w="10440" w:type="dxa"/>
            <w:vAlign w:val="bottom"/>
            <w:gridSpan w:val="1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Executive Employment Agreement, dated January 29, 2021, by and between Proto Labs, Inc. and Robert Bodor</w:t>
              </w:r>
            </w:hyperlink>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4"/>
                <w:szCs w:val="14"/>
                <w:color w:val="auto"/>
              </w:rPr>
              <w:t>10.2</w:t>
            </w:r>
            <w:r>
              <w:rPr>
                <w:rFonts w:ascii="Arial" w:cs="Arial" w:eastAsia="Arial" w:hAnsi="Arial"/>
                <w:sz w:val="22"/>
                <w:szCs w:val="22"/>
                <w:color w:val="auto"/>
                <w:vertAlign w:val="superscript"/>
              </w:rPr>
              <w:t>(5)</w:t>
            </w:r>
          </w:p>
        </w:tc>
        <w:tc>
          <w:tcPr>
            <w:tcW w:w="12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Consulting Agreement, dated February 4, 2021, by and between Proto Labs, Inc. and Victoria M. Holt</w:t>
              </w:r>
            </w:hyperlink>
          </w:p>
        </w:tc>
        <w:tc>
          <w:tcPr>
            <w:tcW w:w="680" w:type="dxa"/>
            <w:vAlign w:val="bottom"/>
            <w:tcBorders>
              <w:top w:val="single" w:sz="8" w:color="0000EE"/>
            </w:tcBorders>
          </w:tcPr>
          <w:p>
            <w:pPr>
              <w:spacing w:after="0"/>
              <w:rPr>
                <w:sz w:val="17"/>
                <w:szCs w:val="17"/>
                <w:color w:val="auto"/>
              </w:rPr>
            </w:pPr>
          </w:p>
        </w:tc>
        <w:tc>
          <w:tcPr>
            <w:tcW w:w="2400" w:type="dxa"/>
            <w:vAlign w:val="bottom"/>
            <w:gridSpan w:val="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6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the Chief Executive Officer pursuant to Section 302 of the Sarbanes-Oxley Act</w:t>
              </w:r>
            </w:hyperlink>
          </w:p>
        </w:tc>
        <w:tc>
          <w:tcPr>
            <w:tcW w:w="3580" w:type="dxa"/>
            <w:vAlign w:val="bottom"/>
            <w:gridSpan w:val="6"/>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10440" w:type="dxa"/>
            <w:vAlign w:val="bottom"/>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 of the Chief Financial Officer pursuant to Section 302 of the Sarbanes-Oxley Act</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gridSpan w:val="3"/>
            <w:shd w:val="clear" w:color="auto" w:fill="0000EE"/>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7"/>
                <w:szCs w:val="17"/>
                <w:color w:val="auto"/>
              </w:rPr>
            </w:pPr>
          </w:p>
        </w:tc>
        <w:tc>
          <w:tcPr>
            <w:tcW w:w="10440" w:type="dxa"/>
            <w:vAlign w:val="bottom"/>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the Chief Executive Officer and the Chief Financial Officer pursuant to Section 906 of the Sarbanes-Oxley Act</w:t>
              </w:r>
            </w:hyperlink>
          </w:p>
        </w:tc>
      </w:tr>
      <w:tr>
        <w:trPr>
          <w:trHeight w:val="20"/>
        </w:trPr>
        <w:tc>
          <w:tcPr>
            <w:tcW w:w="800" w:type="dxa"/>
            <w:vAlign w:val="bottom"/>
            <w:gridSpan w:val="2"/>
          </w:tcPr>
          <w:p>
            <w:pPr>
              <w:spacing w:after="0" w:line="20" w:lineRule="exact"/>
              <w:rPr>
                <w:sz w:val="1"/>
                <w:szCs w:val="1"/>
                <w:color w:val="auto"/>
              </w:rPr>
            </w:pPr>
          </w:p>
        </w:tc>
        <w:tc>
          <w:tcPr>
            <w:tcW w:w="9140" w:type="dxa"/>
            <w:vAlign w:val="bottom"/>
            <w:gridSpan w:val="9"/>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0440" w:type="dxa"/>
            <w:vAlign w:val="bottom"/>
            <w:gridSpan w:val="10"/>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104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4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4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4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4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800" w:hanging="590"/>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380" w:right="640" w:hanging="372"/>
        <w:spacing w:after="0" w:line="221"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3.2 to the Company’s Registration Statement on Form S-1/A (File No. 333-175745), filed with the Commission on February 13, 2012, and incorporated by reference herein.</w:t>
      </w:r>
    </w:p>
    <w:p>
      <w:pPr>
        <w:spacing w:after="0" w:line="1" w:lineRule="exact"/>
        <w:rPr>
          <w:rFonts w:ascii="Arial" w:cs="Arial" w:eastAsia="Arial" w:hAnsi="Arial"/>
          <w:sz w:val="24"/>
          <w:szCs w:val="24"/>
          <w:color w:val="auto"/>
          <w:vertAlign w:val="superscript"/>
        </w:rPr>
      </w:pPr>
    </w:p>
    <w:p>
      <w:pPr>
        <w:ind w:left="380" w:right="280" w:hanging="372"/>
        <w:spacing w:after="0" w:line="214"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May 21, 2015 and incorporated by reference herein.</w:t>
      </w:r>
    </w:p>
    <w:p>
      <w:pPr>
        <w:spacing w:after="0" w:line="1" w:lineRule="exact"/>
        <w:rPr>
          <w:rFonts w:ascii="Arial" w:cs="Arial" w:eastAsia="Arial" w:hAnsi="Arial"/>
          <w:sz w:val="24"/>
          <w:szCs w:val="24"/>
          <w:color w:val="auto"/>
          <w:vertAlign w:val="superscript"/>
        </w:rPr>
      </w:pPr>
    </w:p>
    <w:p>
      <w:pPr>
        <w:ind w:left="380" w:right="180" w:hanging="372"/>
        <w:spacing w:after="0" w:line="214"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November 8, 2016 and incorporated by reference herein.</w:t>
      </w:r>
    </w:p>
    <w:p>
      <w:pPr>
        <w:spacing w:after="0" w:line="1" w:lineRule="exact"/>
        <w:rPr>
          <w:rFonts w:ascii="Arial" w:cs="Arial" w:eastAsia="Arial" w:hAnsi="Arial"/>
          <w:sz w:val="24"/>
          <w:szCs w:val="24"/>
          <w:color w:val="auto"/>
          <w:vertAlign w:val="superscript"/>
        </w:rPr>
      </w:pPr>
    </w:p>
    <w:p>
      <w:pPr>
        <w:ind w:left="380" w:right="200" w:hanging="372"/>
        <w:spacing w:after="0" w:line="214"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10.1 to the Company's Form 8-K (File No. 001-35435), filed with the Commission on February 4, 2021 and incorporated by reference herein.</w:t>
      </w:r>
    </w:p>
    <w:p>
      <w:pPr>
        <w:spacing w:after="0" w:line="1" w:lineRule="exact"/>
        <w:rPr>
          <w:rFonts w:ascii="Arial" w:cs="Arial" w:eastAsia="Arial" w:hAnsi="Arial"/>
          <w:sz w:val="24"/>
          <w:szCs w:val="24"/>
          <w:color w:val="auto"/>
          <w:vertAlign w:val="superscript"/>
        </w:rPr>
      </w:pPr>
    </w:p>
    <w:p>
      <w:pPr>
        <w:ind w:left="380" w:right="200" w:hanging="372"/>
        <w:spacing w:after="0" w:line="214"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10.2 to the Company's Form 8-K (File No. 001-35435), filed with the Commission on February 4, 2021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Proto Labs,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10, 2021</w:t>
            </w:r>
          </w:p>
        </w:tc>
        <w:tc>
          <w:tcPr>
            <w:tcW w:w="21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r>
      <w:tr>
        <w:trPr>
          <w:trHeight w:val="195"/>
        </w:trPr>
        <w:tc>
          <w:tcPr>
            <w:tcW w:w="3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10, 2021</w:t>
            </w:r>
          </w:p>
        </w:tc>
        <w:tc>
          <w:tcPr>
            <w:tcW w:w="21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Way</w:t>
            </w:r>
          </w:p>
        </w:tc>
      </w:tr>
      <w:tr>
        <w:trPr>
          <w:trHeight w:val="195"/>
        </w:trPr>
        <w:tc>
          <w:tcPr>
            <w:tcW w:w="3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3500" w:type="dxa"/>
            <w:vAlign w:val="bottom"/>
          </w:tcPr>
          <w:p>
            <w:pPr>
              <w:spacing w:after="0"/>
              <w:rPr>
                <w:sz w:val="24"/>
                <w:szCs w:val="24"/>
                <w:color w:val="auto"/>
              </w:rPr>
            </w:pPr>
          </w:p>
        </w:tc>
        <w:tc>
          <w:tcPr>
            <w:tcW w:w="6620" w:type="dxa"/>
            <w:vAlign w:val="bottom"/>
            <w:gridSpan w:val="2"/>
          </w:tcPr>
          <w:p>
            <w:pPr>
              <w:jc w:val="right"/>
              <w:ind w:right="431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00"/>
          </w:cols>
          <w:pgMar w:left="320" w:top="125" w:right="379" w:bottom="1440" w:gutter="0" w:footer="0" w:header="0"/>
        </w:sectPr>
      </w:pPr>
    </w:p>
    <w:bookmarkStart w:id="30" w:name="page31"/>
    <w:bookmarkEnd w:id="30"/>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May 10, 2021</w:t>
            </w:r>
          </w:p>
        </w:tc>
        <w:tc>
          <w:tcPr>
            <w:tcW w:w="7540" w:type="dxa"/>
            <w:vAlign w:val="bottom"/>
            <w:gridSpan w:val="2"/>
          </w:tcPr>
          <w:p>
            <w:pPr>
              <w:ind w:left="2240"/>
              <w:spacing w:after="0"/>
              <w:rPr>
                <w:sz w:val="20"/>
                <w:szCs w:val="20"/>
                <w:color w:val="auto"/>
              </w:rPr>
            </w:pPr>
            <w:r>
              <w:rPr>
                <w:rFonts w:ascii="Arial" w:cs="Arial" w:eastAsia="Arial" w:hAnsi="Arial"/>
                <w:sz w:val="18"/>
                <w:szCs w:val="18"/>
                <w:color w:val="auto"/>
              </w:rPr>
              <w:t>By: /s/ Robert Bodor</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May 10, 2021</w:t>
            </w:r>
          </w:p>
        </w:tc>
        <w:tc>
          <w:tcPr>
            <w:tcW w:w="7540" w:type="dxa"/>
            <w:vAlign w:val="bottom"/>
            <w:gridSpan w:val="2"/>
          </w:tcPr>
          <w:p>
            <w:pPr>
              <w:ind w:left="2240"/>
              <w:spacing w:after="0"/>
              <w:rPr>
                <w:sz w:val="20"/>
                <w:szCs w:val="20"/>
                <w:color w:val="auto"/>
              </w:rPr>
            </w:pPr>
            <w:r>
              <w:rPr>
                <w:rFonts w:ascii="Arial" w:cs="Arial" w:eastAsia="Arial" w:hAnsi="Arial"/>
                <w:sz w:val="18"/>
                <w:szCs w:val="18"/>
                <w:color w:val="auto"/>
              </w:rPr>
              <w:t>By: /s/ John A. Way</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74"/>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Robert Bodor, certify, pursuant to 18 U.S.C. Section 1350, as adopted pursuant to Section 906 of the Sarbanes-Oxley Act of 2002, that the Quarterly Report of Proto Labs, Inc. on Form 10-Q for the fiscal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Robert Bodor</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Robert Bodor</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John A. Way, certify, pursuant to 18 U.S.C. Section 1350, as adopted pursuant to Section 906 of the Sarbanes-Oxley Act of 2002, that the Quarterly Report of Proto Labs, Inc. on Form 10-Q for the fiscal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John A. Way</w:t>
            </w:r>
          </w:p>
        </w:tc>
      </w:tr>
      <w:tr>
        <w:trPr>
          <w:trHeight w:val="195"/>
        </w:trPr>
        <w:tc>
          <w:tcPr>
            <w:tcW w:w="6920" w:type="dxa"/>
            <w:vAlign w:val="bottom"/>
          </w:tcPr>
          <w:p>
            <w:pPr>
              <w:ind w:left="644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A. Way</w:t>
            </w:r>
          </w:p>
        </w:tc>
      </w:t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574"/>
        </w:trPr>
        <w:tc>
          <w:tcPr>
            <w:tcW w:w="6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1" Type="http://schemas.openxmlformats.org/officeDocument/2006/relationships/image" Target="media/image59.png"/><Relationship Id="rId66" Type="http://schemas.openxmlformats.org/officeDocument/2006/relationships/hyperlink" Target="http://www.sec.gov/Archives/edgar/data/1443669/000119312512054357/d199869dex32.htm" TargetMode="External"/><Relationship Id="rId67" Type="http://schemas.openxmlformats.org/officeDocument/2006/relationships/hyperlink" Target="http://www.sec.gov/Archives/edgar/data/1443669/000143774915010824/ex3-1.htm" TargetMode="External"/><Relationship Id="rId68" Type="http://schemas.openxmlformats.org/officeDocument/2006/relationships/hyperlink" Target="http://www.sec.gov/Archives/edgar/data/1443669/000143774916041414/ex3-1.htm" TargetMode="External"/><Relationship Id="rId69" Type="http://schemas.openxmlformats.org/officeDocument/2006/relationships/hyperlink" Target="http://www.sec.gov/Archives/edgar/data/1443669/000143774921002024/ex_224239.htm" TargetMode="External"/><Relationship Id="rId70" Type="http://schemas.openxmlformats.org/officeDocument/2006/relationships/hyperlink" Target="http://www.sec.gov/Archives/edgar/data/1443669/000143774921002024/ex_2242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2021-05-10T17:05:22Z</dcterms:created>
  <dcterms:modified xsi:type="dcterms:W3CDTF">2021-05-10T17:05:22Z</dcterms:modified>
</cp:coreProperties>
</file>