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70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33"/>
        </w:trPr>
        <w:tc>
          <w:tcPr>
            <w:tcW w:w="3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Title of each class</w:t>
            </w:r>
          </w:p>
        </w:tc>
        <w:tc>
          <w:tcPr>
            <w:tcW w:w="66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1"/>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Arial" w:cs="Arial" w:eastAsia="Arial" w:hAnsi="Arial"/>
                <w:sz w:val="18"/>
                <w:szCs w:val="18"/>
                <w:color w:val="auto"/>
                <w:w w:val="97"/>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left="140"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26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580" w:firstLine="486"/>
        <w:spacing w:after="0" w:line="28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24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27,589,649 shares of Common Stock, par value $0.001 per share, were outstanding at October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677"/>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0"/>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866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80" w:type="dxa"/>
            <w:vAlign w:val="bottom"/>
            <w:gridSpan w:val="6"/>
          </w:tcPr>
          <w:p>
            <w:pPr>
              <w:jc w:val="center"/>
              <w:ind w:left="13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PART II</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6"/>
              </w:rPr>
              <w:t>1A.</w:t>
            </w:r>
          </w:p>
        </w:tc>
        <w:tc>
          <w:tcPr>
            <w:tcW w:w="1320" w:type="dxa"/>
            <w:vAlign w:val="bottom"/>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2"/>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r>
      <w:tr>
        <w:trPr>
          <w:trHeight w:val="696"/>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127,603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34,088</w:t>
            </w:r>
          </w:p>
        </w:tc>
      </w:tr>
      <w:tr>
        <w:trPr>
          <w:trHeight w:val="202"/>
        </w:trPr>
        <w:tc>
          <w:tcPr>
            <w:tcW w:w="8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$1,993 and $1,781 as of September 30, 2021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57,877</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10,862</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11,032</w:t>
            </w:r>
          </w:p>
        </w:tc>
      </w:tr>
      <w:tr>
        <w:trPr>
          <w:trHeight w:val="210"/>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242,002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283,019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282,666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14,350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59,357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9,855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4,826</w:t>
            </w:r>
          </w:p>
        </w:tc>
      </w:tr>
      <w:tr>
        <w:trPr>
          <w:trHeight w:val="249"/>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930,311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744,204</w:t>
            </w:r>
          </w:p>
        </w:tc>
      </w:tr>
      <w:tr>
        <w:trPr>
          <w:trHeight w:val="197"/>
        </w:trPr>
        <w:tc>
          <w:tcPr>
            <w:tcW w:w="84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18,248</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11,989</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other</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r>
      <w:tr>
        <w:trPr>
          <w:trHeight w:val="209"/>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50,254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Long-term contingent consideration</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Long-term finance lease liabilities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6,235</w:t>
            </w:r>
          </w:p>
        </w:tc>
      </w:tr>
      <w:tr>
        <w:trPr>
          <w:trHeight w:val="210"/>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99,848</w:t>
            </w: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2"/>
        </w:trPr>
        <w:tc>
          <w:tcPr>
            <w:tcW w:w="8440" w:type="dxa"/>
            <w:vAlign w:val="bottom"/>
          </w:tcPr>
          <w:p>
            <w:pPr>
              <w:ind w:left="340"/>
              <w:spacing w:after="0" w:line="201" w:lineRule="exact"/>
              <w:rPr>
                <w:sz w:val="20"/>
                <w:szCs w:val="20"/>
                <w:color w:val="auto"/>
              </w:rPr>
            </w:pPr>
            <w:r>
              <w:rPr>
                <w:rFonts w:ascii="Arial" w:cs="Arial" w:eastAsia="Arial" w:hAnsi="Arial"/>
                <w:sz w:val="18"/>
                <w:szCs w:val="18"/>
                <w:color w:val="auto"/>
                <w:w w:val="90"/>
              </w:rPr>
              <w:t>Preferred stock, $0.001 par value, authorized 10,000,000 shares; issued and outstanding 0 shares as of each of</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September 30, 2021 and December 31, 2020</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authorized 150,000,000 shares; issued and outstanding 27,603,649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26,776,796 shares as of September 30, 2021 and December 31, 2020,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464,900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284,848</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362,901</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r>
      <w:tr>
        <w:trPr>
          <w:trHeight w:val="209"/>
        </w:trPr>
        <w:tc>
          <w:tcPr>
            <w:tcW w:w="8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824,621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644,356</w:t>
            </w:r>
          </w:p>
        </w:tc>
      </w:tr>
      <w:tr>
        <w:trPr>
          <w:trHeight w:val="210"/>
        </w:trPr>
        <w:tc>
          <w:tcPr>
            <w:tcW w:w="8440" w:type="dxa"/>
            <w:vAlign w:val="bottom"/>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930,311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744,204</w:t>
            </w: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125,342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107,504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364,516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329,187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197,237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163,988</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55,324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167,279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165,199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51,821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25,550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16,361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44,186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38,983</w:t>
            </w:r>
          </w:p>
        </w:tc>
      </w:tr>
      <w:tr>
        <w:trPr>
          <w:trHeight w:val="209"/>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48,397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139,987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116,354</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27,292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48,845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27,252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51,394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10,106</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4,835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14,697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21,462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41,288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0.55</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0.77</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1.54</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27,713,229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26,736,709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27,638,611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26,724,715</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27,730,105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26,886,433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27,707,784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26,861,647</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41,782</w:t>
            </w:r>
          </w:p>
        </w:tc>
      </w:tr>
      <w:tr>
        <w:trPr>
          <w:trHeight w:val="250"/>
        </w:trPr>
        <w:tc>
          <w:tcPr>
            <w:tcW w:w="598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26,776,796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284,848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644,356</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issued for Hubs acquisition</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166,709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comprehensive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27,689,746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366,613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813,431</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85,317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27,761,063</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461,597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378,467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831,977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comprehensive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27,603,649</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373,151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824,621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26,786,459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585,790</w:t>
            </w:r>
          </w:p>
        </w:tc>
        <w:tc>
          <w:tcPr>
            <w:tcW w:w="0" w:type="dxa"/>
            <w:vAlign w:val="bottom"/>
          </w:tcPr>
          <w:p>
            <w:pPr>
              <w:spacing w:after="0"/>
              <w:rPr>
                <w:sz w:val="1"/>
                <w:szCs w:val="1"/>
                <w:color w:val="auto"/>
              </w:rPr>
            </w:pP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26,648,524</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329,137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587,740</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96,186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26,706,556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338,625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601,249</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1"/>
              </w:rPr>
              <w:t>Common shares issued on exercise of options and other, net</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of shares withheld for tax obligations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46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14,697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17,807</w:t>
            </w: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26,753,545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278,996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353,322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$ 625,821</w:t>
            </w:r>
          </w:p>
        </w:tc>
      </w:tr>
      <w:tr>
        <w:trPr>
          <w:trHeight w:val="250"/>
        </w:trPr>
        <w:tc>
          <w:tcPr>
            <w:tcW w:w="4620" w:type="dxa"/>
            <w:vAlign w:val="bottom"/>
            <w:tcBorders>
              <w:top w:val="single" w:sz="8" w:color="CCEEFF"/>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2020</w:t>
            </w:r>
          </w:p>
        </w:tc>
      </w:tr>
      <w:tr>
        <w:trPr>
          <w:trHeight w:val="209"/>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21,462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41,288</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23,891</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6,578</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marketable 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Realized gain on available-sale-securities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16"/>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16"/>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8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16"/>
        </w:trPr>
        <w:tc>
          <w:tcPr>
            <w:tcW w:w="844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8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r>
      <w:tr>
        <w:trPr>
          <w:trHeight w:val="210"/>
        </w:trPr>
        <w:tc>
          <w:tcPr>
            <w:tcW w:w="84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82,375</w:t>
            </w:r>
          </w:p>
        </w:tc>
      </w:tr>
      <w:tr>
        <w:trPr>
          <w:trHeight w:val="209"/>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(40,489)</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Cash used for acquisitions, net of cash acquired</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(90,596)</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marketable 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15,114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56,428</w:t>
            </w:r>
          </w:p>
        </w:tc>
      </w:tr>
      <w:tr>
        <w:trPr>
          <w:trHeight w:val="21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(77,657)</w:t>
            </w:r>
          </w:p>
        </w:tc>
      </w:tr>
      <w:tr>
        <w:trPr>
          <w:trHeight w:val="210"/>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5,674</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shares withheld for tax obligations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(14,686)</w:t>
            </w:r>
          </w:p>
        </w:tc>
      </w:tr>
      <w:tr>
        <w:trPr>
          <w:trHeight w:val="216"/>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repayments of finance lease obligations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(12,379)</w:t>
            </w:r>
          </w:p>
        </w:tc>
      </w:tr>
      <w:tr>
        <w:trPr>
          <w:trHeight w:val="21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(6,971)</w:t>
            </w: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127,603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125,225</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47,802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118,254</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2020 as filed with the Securities and Exchange Commission (SEC) on February 19, 2021.</w:t>
      </w:r>
    </w:p>
    <w:p>
      <w:pPr>
        <w:spacing w:after="0" w:line="18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accompanying Consolidated Balance Sheet as of December 31, 2020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19, 2021 as referenced above.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(ASU) 2019-12, </w:t>
      </w:r>
      <w:r>
        <w:rPr>
          <w:rFonts w:ascii="Arial" w:cs="Arial" w:eastAsia="Arial" w:hAnsi="Arial"/>
          <w:sz w:val="17"/>
          <w:szCs w:val="17"/>
          <w:i w:val="1"/>
          <w:iCs w:val="1"/>
          <w:color w:val="auto"/>
        </w:rPr>
        <w:t>Income Taxes (Topic 740):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Accounting for Income Taxes </w:t>
      </w:r>
      <w:r>
        <w:rPr>
          <w:rFonts w:ascii="Arial" w:cs="Arial" w:eastAsia="Arial" w:hAnsi="Arial"/>
          <w:sz w:val="17"/>
          <w:szCs w:val="17"/>
          <w:color w:val="auto"/>
        </w:rPr>
        <w:t>(ASU 2019-12). ASU 2019-12 attempts to simplify aspects of accounting for franchise taxes and enacted changes in tax</w:t>
      </w:r>
      <w:r>
        <w:rPr>
          <w:rFonts w:ascii="Arial" w:cs="Arial" w:eastAsia="Arial" w:hAnsi="Arial"/>
          <w:sz w:val="17"/>
          <w:szCs w:val="17"/>
          <w:i w:val="1"/>
          <w:iCs w:val="1"/>
          <w:color w:val="auto"/>
        </w:rPr>
        <w:t xml:space="preserve"> </w:t>
      </w:r>
      <w:r>
        <w:rPr>
          <w:rFonts w:ascii="Arial" w:cs="Arial" w:eastAsia="Arial" w:hAnsi="Arial"/>
          <w:sz w:val="17"/>
          <w:szCs w:val="17"/>
          <w:color w:val="auto"/>
        </w:rPr>
        <w:t>laws or rates, and clarifies the accounting for transactions that result in a step-up in the tax basis of goodwill. ASU 2019-12 is effective for public business entities for fiscal years beginning after December 15, 2020, including interim periods within that fiscal year. The Company adopted ASU 2019-12 on January 1, 2021 and there was no material impact on the Company’s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27,713,229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26,736,709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27,638,611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26,724,715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16,876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136,932</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27,730,105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26,886,433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27,707,784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26,861,647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0.55</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January 22, 2021, the Company acquired all of the outstanding shares of 3D Hubs, Inc. (Hubs), for $294.1 million, consisting of $127.4 million in cash and 863,995 shares of the Company's common stock valued at $166.7 million on the date of close. Up to an additional $52.8 million of contingent consideration is payable after closing, subject to the satisfaction of performance-based targets during fiscal year 2021 and fiscal year 2022, consisting of up to $25.0 million in cash and up to 143,983 shares of the Company's common stock valued at $27.8 million on the date of close.</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the consideration paid for this acquisition has been allocated on a preliminary basis to the assets purchased and liabilities assumed based on their estimated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recorded a contingent consideration liability of $13.6 million as of the acquisition date representing the estimated fair value of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During the three and nine months ended September 30, 2021, the Company recorded a $0.8 million and $8.5 million decrease, respectively, to the estimated fair value of the contingent consideration liability, which was included as a decrease in general and administrative expense in the Consolidated Statements of Comprehensive Income. Fluctuations due to foreign currency translation have been recorded in the Consolidated Statements of Shareholders’ Equity.</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Hubs since the date of acquisition have been included with Protolabs' results. Pro forma disclosures of the consolidated results of the Company with the full year effects of Hubs, as if the acquisition had occurred on January 1, 2020, are not required and have not been separately presented since the impact to the Company's results of operations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acquisition has been accounted for under the acquisition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In the second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2021, the Company recorded adjustments to the preliminary allocation, including a $3.9 million decrease to intangible assets, a $6.4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to goodwill, a $3.3 million increase to contingent consideration, a $0.5 million decrease to deferred tax liabilities, and a decrease to cash paid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The adjustments were driven by changes to the preliminary valuation and finalization of the working capital calculation. No adjustments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in the third quarter of 2021. As of September 30, 2021, the allocation of purchase price to assets and liabilities is preliminary.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allocation will be finalized in 2021. The preliminary allocation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74295</wp:posOffset>
            </wp:positionV>
            <wp:extent cx="6772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0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Acquisition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3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Goodwill</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contingent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contingent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deferred tax liabilities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3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294,122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acquired</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consideration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Equity portion of purchase price</w:t>
            </w:r>
          </w:p>
        </w:tc>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166,709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 consideration</w:t>
            </w:r>
          </w:p>
        </w:tc>
        <w:tc>
          <w:tcPr>
            <w:tcW w:w="3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bottom w:val="single" w:sz="8" w:color="auto"/>
            </w:tcBorders>
          </w:tcPr>
          <w:p>
            <w:pPr>
              <w:spacing w:after="0"/>
              <w:rPr>
                <w:sz w:val="17"/>
                <w:szCs w:val="17"/>
                <w:color w:val="auto"/>
              </w:rPr>
            </w:pPr>
          </w:p>
        </w:tc>
        <w:tc>
          <w:tcPr>
            <w:tcW w:w="324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nine months ended September 30,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6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Ended September</w:t>
            </w:r>
          </w:p>
        </w:tc>
      </w:tr>
      <w:tr>
        <w:trPr>
          <w:trHeight w:val="234"/>
        </w:trPr>
        <w:tc>
          <w:tcPr>
            <w:tcW w:w="85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30, 2021</w:t>
            </w: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128,752</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Goodwill acquired during the period</w:t>
            </w:r>
          </w:p>
        </w:tc>
        <w:tc>
          <w:tcPr>
            <w:tcW w:w="1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281,845</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r>
      <w:tr>
        <w:trPr>
          <w:trHeight w:val="209"/>
        </w:trPr>
        <w:tc>
          <w:tcPr>
            <w:tcW w:w="8500" w:type="dxa"/>
            <w:vAlign w:val="bottom"/>
            <w:gridSpan w:val="2"/>
          </w:tcPr>
          <w:p>
            <w:pPr>
              <w:spacing w:after="0"/>
              <w:rPr>
                <w:sz w:val="20"/>
                <w:szCs w:val="20"/>
                <w:color w:val="auto"/>
              </w:rPr>
            </w:pPr>
            <w:r>
              <w:rPr>
                <w:rFonts w:ascii="Arial" w:cs="Arial" w:eastAsia="Arial" w:hAnsi="Arial"/>
                <w:sz w:val="18"/>
                <w:szCs w:val="18"/>
                <w:color w:val="auto"/>
              </w:rPr>
              <w:t>Balance as of the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404,240</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increased $281.8 million during the nine months ended September 30, 2021 as a result of our acquisition of Hubs. Goodwill has been allocated to the acquired Hubs entities consisting of goodwill of €106.5 million in Europe and $152.2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September 30, 2021 and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4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274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Marketing assets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3.1</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Software technology</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(4,672)</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8,557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9,584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6.8</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Software platform</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9.3</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Tradenames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2.3</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2.1</w:t>
            </w:r>
          </w:p>
        </w:tc>
      </w:tr>
      <w:tr>
        <w:trPr>
          <w:trHeight w:val="210"/>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85"/>
              </w:rPr>
              <w:t>$ 54,570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(14,754)</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$ 39,816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9"/>
              </w:rPr>
              <w:t>$ 24,499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(10,149)</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$ 14,350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Intangible assets increased $30.8 million during the nine months ended September 30, 2021 as a result of our acquisition of Hubs. Intangible assets have been allocated to the acquired Hubs entities consisting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$0.7 million as of September 30, 2021. There was no foreign currency translation impact as of December 31, 2020. Amortization expense for intangible assets was $1.6 million and $0.8 million for the three months ended September 30, 2021 and 2020, respectively, and $4.6 million and $2.3 million for the nine months ended September 30, 2021 and 2020, respectively.</w:t>
      </w:r>
    </w:p>
    <w:p>
      <w:pPr>
        <w:spacing w:after="0" w:line="17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186055</wp:posOffset>
            </wp:positionV>
            <wp:extent cx="6412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6,225</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6,022</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3,806</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18,483</w:t>
            </w: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39,816</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 xml:space="preserve">Accounting Standards Codification,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assets and liabilities that are required to be measured or disclosed at fair value on a recurring basis include cash and cash equivalents, marketable securities and contingent consideration.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 The Company's contingent consideration is the current fair value estimate of amounts owed to the former shareholders of Hubs and is determined using the Monte Carlo pricing model (Level 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assets as of September 30, 2021 and December 31, 2020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227965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September 30, 2021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Borders>
              <w:bottom w:val="single" w:sz="8" w:color="auto"/>
            </w:tcBorders>
          </w:tcPr>
          <w:p>
            <w:pPr>
              <w:spacing w:after="0"/>
              <w:rPr>
                <w:sz w:val="20"/>
                <w:szCs w:val="20"/>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47,337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72,225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24,227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59,674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24,227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4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first quarter of 2021, the Company sold held-to-maturity securities in order to partially fund the acquisition of Hubs. As a result of the sale, all remaining marketable securities were reclassified to available-for-sale securities and reported at fair value.</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recorded a contingent consideration liability at the acquisition date of Hubs representing the amounts payable to former shareholders, as outlined under the terms of the merger agreement, payable subject to the satisfaction of performance-based targets during fiscal year 2021 and fiscal year 2022, consisting of up to $25.0 million in cash and up to 143,983 shares of the Company's common stock valued at $27.8 million on the date of close. The fair value of the contingent consideration (Level 3) is determined using a Monte Carlo pricing model. Subsequent changes in the fair value of the contingent consideration liabilities have been recorded in the Consolidated Statements of Comprehensive Income. Fluctuations due to foreign currency translation have been recorded in the Consolidated Statements of Shareholders’ Equity.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Marketable Securities</w:t>
      </w:r>
    </w:p>
    <w:p>
      <w:pPr>
        <w:spacing w:after="0" w:line="229" w:lineRule="exact"/>
        <w:rPr>
          <w:sz w:val="20"/>
          <w:szCs w:val="20"/>
          <w:color w:val="auto"/>
        </w:rPr>
      </w:pPr>
    </w:p>
    <w:p>
      <w:pPr>
        <w:jc w:val="both"/>
        <w:ind w:right="320"/>
        <w:spacing w:after="0" w:line="296" w:lineRule="auto"/>
        <w:rPr>
          <w:sz w:val="20"/>
          <w:szCs w:val="20"/>
          <w:color w:val="auto"/>
        </w:rPr>
      </w:pPr>
      <w:r>
        <w:rPr>
          <w:rFonts w:ascii="Arial" w:cs="Arial" w:eastAsia="Arial" w:hAnsi="Arial"/>
          <w:sz w:val="16"/>
          <w:szCs w:val="16"/>
          <w:color w:val="auto"/>
        </w:rPr>
        <w:t>The Company invests in short-term and long-term agency, municipal, corporate and other debt securities. As of September 30, 2021, the securities are categorized as available-for-sale and are recorded at fair value. As of December 31, 2020, the securities were categorized as held-to-maturity and were recorded at amortized cost, net of an allowance for credit losses. The change in categorization was a result of the sale of securities in the first quarter of 2021 in order to partially fund the acquisition of Hubs and did not have a material impact on our financial statements. The following table summarizes information regarding the Company’s short-term and long-term marketable securities as of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180340</wp:posOffset>
            </wp:positionV>
            <wp:extent cx="6412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September 30,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11,872</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4,198</w:t>
            </w:r>
          </w:p>
        </w:tc>
      </w:tr>
      <w:tr>
        <w:trPr>
          <w:trHeight w:val="250"/>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36,099</w:t>
            </w: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bottom w:val="single" w:sz="8" w:color="auto"/>
            </w:tcBorders>
          </w:tcPr>
          <w:p>
            <w:pPr>
              <w:spacing w:after="0"/>
              <w:rPr>
                <w:sz w:val="17"/>
                <w:szCs w:val="17"/>
                <w:color w:val="auto"/>
              </w:rPr>
            </w:pPr>
          </w:p>
        </w:tc>
        <w:tc>
          <w:tcPr>
            <w:tcW w:w="160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2020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42,248</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18,496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5,488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93,445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93,815</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September 30, 2021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156210</wp:posOffset>
            </wp:positionV>
            <wp:extent cx="5709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19,557</w:t>
            </w:r>
          </w:p>
        </w:tc>
        <w:tc>
          <w:tcPr>
            <w:tcW w:w="20" w:type="dxa"/>
            <w:vAlign w:val="bottom"/>
          </w:tcPr>
          <w:p>
            <w:pPr>
              <w:spacing w:after="0"/>
              <w:rPr>
                <w:sz w:val="18"/>
                <w:szCs w:val="18"/>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20" w:type="dxa"/>
            <w:vAlign w:val="bottom"/>
          </w:tcPr>
          <w:p>
            <w:pPr>
              <w:spacing w:after="0"/>
              <w:rPr>
                <w:sz w:val="21"/>
                <w:szCs w:val="2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Inventory</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220345</wp:posOffset>
            </wp:positionV>
            <wp:extent cx="5709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was $5.0 million and $3.9 million for the three months ended September 30, 2021 and 2020, respectively, and $15.5 million and $10.6 million for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128.14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100.58</w:t>
            </w:r>
          </w:p>
        </w:tc>
      </w:tr>
      <w:tr>
        <w:trPr>
          <w:trHeight w:val="249"/>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248,548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98.84</w:t>
            </w:r>
          </w:p>
        </w:tc>
      </w:tr>
      <w:tr>
        <w:trPr>
          <w:trHeight w:val="197"/>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2021</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81.47</w:t>
            </w: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outstanding options generally have a term of ten years. For employees, options granted become exercisable ratably over the vesting period, which is generally a period of four to five years, beginning on the first anniversary of the grant date, subject to the employee’s continuing service to the Company. For the board of directors, options generally become exercisable in full on the first anniversary of the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nine months ended September 30, 2021 was $57.26.</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117475</wp:posOffset>
            </wp:positionV>
            <wp:extent cx="6412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120" w:type="dxa"/>
            <w:vAlign w:val="bottom"/>
            <w:gridSpan w:val="4"/>
          </w:tcPr>
          <w:p>
            <w:pPr>
              <w:ind w:left="16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09"/>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0.80 - 1.12%</w:t>
            </w:r>
          </w:p>
        </w:tc>
        <w:tc>
          <w:tcPr>
            <w:tcW w:w="16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0.50 - 1.47%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1"/>
              </w:rPr>
              <w:t>6.25</w:t>
            </w:r>
          </w:p>
        </w:tc>
        <w:tc>
          <w:tcPr>
            <w:tcW w:w="16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45.28 - 45.53%</w:t>
            </w:r>
          </w:p>
        </w:tc>
        <w:tc>
          <w:tcPr>
            <w:tcW w:w="16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42.40 - 43.83%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16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97"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color w:val="auto"/>
        </w:rPr>
        <w:t>As of September 30, 2021, there was $5.4 million of unrecognized compensation expense related to unvested stock options, which is expected to be recognized over a weighted-average period of 2.8 years.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three to five years, beginning on the first anniversary of the grant date, subject to the employee's continuing service to the Company. For the board of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stock at December 31, 2020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Restrictions lapsed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Restricted stock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307,199</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98.87</w:t>
            </w:r>
          </w:p>
        </w:tc>
      </w:tr>
      <w:tr>
        <w:trPr>
          <w:trHeight w:val="216"/>
        </w:trPr>
        <w:tc>
          <w:tcPr>
            <w:tcW w:w="1600" w:type="dxa"/>
            <w:vAlign w:val="bottom"/>
          </w:tcPr>
          <w:p>
            <w:pPr>
              <w:jc w:val="right"/>
              <w:ind w:right="10"/>
              <w:spacing w:after="0"/>
              <w:rPr>
                <w:sz w:val="20"/>
                <w:szCs w:val="20"/>
                <w:color w:val="auto"/>
              </w:rPr>
            </w:pPr>
            <w:r>
              <w:rPr>
                <w:rFonts w:ascii="Arial" w:cs="Arial" w:eastAsia="Arial" w:hAnsi="Arial"/>
                <w:sz w:val="18"/>
                <w:szCs w:val="18"/>
                <w:color w:val="auto"/>
              </w:rPr>
              <w:t>180,798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132.84</w:t>
            </w:r>
          </w:p>
        </w:tc>
      </w:tr>
      <w:tr>
        <w:trPr>
          <w:trHeight w:val="216"/>
        </w:trPr>
        <w:tc>
          <w:tcPr>
            <w:tcW w:w="1600" w:type="dxa"/>
            <w:vAlign w:val="bottom"/>
          </w:tcPr>
          <w:p>
            <w:pPr>
              <w:jc w:val="right"/>
              <w:spacing w:after="0"/>
              <w:rPr>
                <w:sz w:val="20"/>
                <w:szCs w:val="20"/>
                <w:color w:val="auto"/>
              </w:rPr>
            </w:pPr>
            <w:r>
              <w:rPr>
                <w:rFonts w:ascii="Arial" w:cs="Arial" w:eastAsia="Arial" w:hAnsi="Arial"/>
                <w:sz w:val="18"/>
                <w:szCs w:val="18"/>
                <w:color w:val="auto"/>
              </w:rPr>
              <w:t>(113,315)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91.10</w:t>
            </w:r>
          </w:p>
        </w:tc>
      </w:tr>
      <w:tr>
        <w:trPr>
          <w:trHeight w:val="230"/>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120.01</w:t>
            </w:r>
          </w:p>
        </w:tc>
      </w:tr>
      <w:tr>
        <w:trPr>
          <w:trHeight w:val="209"/>
        </w:trPr>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351,774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117.51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-719455</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-445135</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-162560</wp:posOffset>
            </wp:positionV>
            <wp:extent cx="67722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137160</wp:posOffset>
            </wp:positionV>
            <wp:extent cx="6772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460"/>
          </w:cols>
          <w:pgMar w:left="320" w:top="125" w:right="459" w:bottom="1440" w:gutter="0" w:footer="0" w:header="0"/>
          <w:type w:val="continuous"/>
        </w:sectPr>
      </w:pPr>
    </w:p>
    <w:p>
      <w:pPr>
        <w:spacing w:after="0" w:line="2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2021, there was $31.7 million of unrecognized compensation expense related to non-vested restricted stock, which is expected to be recognized over a weighted-average period of 2.6 years.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4" w:name="page15"/>
    <w:bookmarkEnd w:id="1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left="20" w:right="20"/>
        <w:spacing w:after="0" w:line="273" w:lineRule="auto"/>
        <w:rPr>
          <w:sz w:val="20"/>
          <w:szCs w:val="20"/>
          <w:color w:val="auto"/>
        </w:rPr>
      </w:pPr>
      <w:r>
        <w:rPr>
          <w:rFonts w:ascii="Arial" w:cs="Arial" w:eastAsia="Arial" w:hAnsi="Arial"/>
          <w:sz w:val="17"/>
          <w:szCs w:val="17"/>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certain PSUs granted in 2021 are based on market conditions and the related compensation cost is based on the fair value at grant date calculated using a Monte Carlo pricing model.</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performance stock activity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151765</wp:posOffset>
            </wp:positionV>
            <wp:extent cx="6772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2020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203.64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192.95</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99.59</w:t>
            </w: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Performance stock at September 30, 2021</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148.28</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assumptions used in the Monte Carlo pricing model valuation of PSUs during the nine months ended September 30,</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211455</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1.41%</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life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2.87</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2.88</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51.40%</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38.70%</w:t>
            </w: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128270</wp:posOffset>
            </wp:positionV>
            <wp:extent cx="6772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97"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auto"/>
        </w:rPr>
        <w:t>As of September 30, 2021, there was $2.0 million of unrecognized compensation expense related to non-vested performance stock, which is expected to be recognized over a weighted-average period of 2.0 years.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presents the assumptions used to estimate the fair value of the ESPP during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166370</wp:posOffset>
            </wp:positionV>
            <wp:extent cx="6772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8"/>
              </w:rPr>
              <w:t>Nine Months Ended September 30,</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80" w:type="dxa"/>
            <w:vAlign w:val="bottom"/>
            <w:gridSpan w:val="2"/>
            <w:shd w:val="clear" w:color="auto" w:fill="CCEEFF"/>
          </w:tcPr>
          <w:p>
            <w:pPr>
              <w:jc w:val="center"/>
              <w:ind w:left="3790"/>
              <w:spacing w:after="0"/>
              <w:rPr>
                <w:sz w:val="20"/>
                <w:szCs w:val="20"/>
                <w:color w:val="auto"/>
              </w:rPr>
            </w:pPr>
            <w:r>
              <w:rPr>
                <w:rFonts w:ascii="Arial" w:cs="Arial" w:eastAsia="Arial" w:hAnsi="Arial"/>
                <w:sz w:val="18"/>
                <w:szCs w:val="18"/>
                <w:color w:val="auto"/>
                <w:w w:val="90"/>
              </w:rPr>
              <w:t>0.06 - 0.12%</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0.17 - 1.59%</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480" w:type="dxa"/>
            <w:vAlign w:val="bottom"/>
            <w:gridSpan w:val="2"/>
          </w:tcPr>
          <w:p>
            <w:pPr>
              <w:jc w:val="center"/>
              <w:ind w:left="3790"/>
              <w:spacing w:after="0"/>
              <w:rPr>
                <w:sz w:val="20"/>
                <w:szCs w:val="20"/>
                <w:color w:val="auto"/>
              </w:rPr>
            </w:pPr>
            <w:r>
              <w:rPr>
                <w:rFonts w:ascii="Arial" w:cs="Arial" w:eastAsia="Arial" w:hAnsi="Arial"/>
                <w:sz w:val="18"/>
                <w:szCs w:val="18"/>
                <w:color w:val="auto"/>
                <w:w w:val="91"/>
              </w:rPr>
              <w:t>6.00</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480" w:type="dxa"/>
            <w:vAlign w:val="bottom"/>
            <w:gridSpan w:val="2"/>
            <w:shd w:val="clear" w:color="auto" w:fill="CCEEFF"/>
          </w:tcPr>
          <w:p>
            <w:pPr>
              <w:jc w:val="center"/>
              <w:ind w:left="3790"/>
              <w:spacing w:after="0"/>
              <w:rPr>
                <w:sz w:val="20"/>
                <w:szCs w:val="20"/>
                <w:color w:val="auto"/>
              </w:rPr>
            </w:pPr>
            <w:r>
              <w:rPr>
                <w:rFonts w:ascii="Arial" w:cs="Arial" w:eastAsia="Arial" w:hAnsi="Arial"/>
                <w:sz w:val="18"/>
                <w:szCs w:val="18"/>
                <w:color w:val="auto"/>
                <w:w w:val="91"/>
              </w:rPr>
              <w:t>50.85 - 65.53%</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42.63 - 59.99%</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480" w:type="dxa"/>
            <w:vAlign w:val="bottom"/>
            <w:gridSpan w:val="2"/>
          </w:tcPr>
          <w:p>
            <w:pPr>
              <w:jc w:val="center"/>
              <w:ind w:left="3790"/>
              <w:spacing w:after="0"/>
              <w:rPr>
                <w:sz w:val="20"/>
                <w:szCs w:val="20"/>
                <w:color w:val="auto"/>
              </w:rPr>
            </w:pPr>
            <w:r>
              <w:rPr>
                <w:rFonts w:ascii="Arial" w:cs="Arial" w:eastAsia="Arial" w:hAnsi="Arial"/>
                <w:sz w:val="18"/>
                <w:szCs w:val="18"/>
                <w:color w:val="auto"/>
                <w:w w:val="92"/>
              </w:rPr>
              <w:t>0%</w:t>
            </w:r>
          </w:p>
        </w:tc>
        <w:tc>
          <w:tcPr>
            <w:tcW w:w="17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1850"/>
              <w:spacing w:after="0"/>
              <w:rPr>
                <w:sz w:val="20"/>
                <w:szCs w:val="20"/>
                <w:color w:val="auto"/>
              </w:rPr>
            </w:pPr>
            <w:r>
              <w:rPr>
                <w:rFonts w:ascii="Arial" w:cs="Arial" w:eastAsia="Arial" w:hAnsi="Arial"/>
                <w:sz w:val="18"/>
                <w:szCs w:val="18"/>
                <w:color w:val="auto"/>
              </w:rPr>
              <w:t>13</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Accumulated Other Comprehensive Income (Loss)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and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Foreign currency translation adjustments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Net unrealized gains (losses) on investments in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Amounts reclassified from 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r>
      <w:tr>
        <w:trPr>
          <w:trHeight w:val="250"/>
        </w:trPr>
        <w:tc>
          <w:tcPr>
            <w:tcW w:w="59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is subject to income tax in multiple jurisdictions and the use of estimates is required to determine the provision for income taxes. For the three months ended September 30, 2021 and 2020, the Company recorded an income tax provision of $2.2 million and $3.7 million, respectively. For the nine months ended September 30, 2021 and 2020, the Company recorded an income tax provision of $5.8 million and $10.1 million, respectively. The income tax provision is based on the estimated annual effective tax rate for the year applied to pre-tax income. The effective income tax rate for the three months ended September 30, 2021 was 31.5 percent compared to 20.1 percent in the same period of the prior year. The effective tax rate increased by 11.4 percent for the three months ended September 30, 2021 when compared to the same period in 2020, primarily due to an increase in losses in jurisdictions that are not eligible for tax benefits due to valuation allowances. The effective income tax rate for the nine months ended September 30, 2021 was 21.2 percent compared to 19.7 percent in the same period of the prior year. The effective tax rate increased by 1.5 percent for the nine months ended September 30, 2021 when compared to the same period in 2020, primarily due to an increase in losses in jurisdictions that are not eligible for tax benefits due to valuation allowances.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 income tax rate for the nine months ended September 30, 2021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unrecognized tax benefits totaling $5.0 million as of September 30, 2021 and $4.8 million as of December 31, 2020,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11, 2021, the President signed into law the ARP Act, a legislative package which is generally not significant to the Company's current tax footprint; however, the Company will continue to assess the ARP Act on an ongoing basis. Similar tax provisions and other stimulus measures have been granted either before or after June 30, 2021 by certain foreign and U.S. state jurisdictions, which the Company continues to evaluate and apply, if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 and income from operations by reportable segment for the three and nine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8"/>
                <w:szCs w:val="18"/>
                <w:color w:val="auto"/>
              </w:rPr>
            </w:pP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100,127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85,608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286,524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262,507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10,267</w:t>
            </w:r>
          </w:p>
        </w:tc>
      </w:tr>
      <w:tr>
        <w:trPr>
          <w:trHeight w:val="249"/>
        </w:trPr>
        <w:tc>
          <w:tcPr>
            <w:tcW w:w="300" w:type="dxa"/>
            <w:vAlign w:val="bottom"/>
            <w:shd w:val="clear" w:color="auto" w:fill="CCEEFF"/>
          </w:tcPr>
          <w:p>
            <w:pPr>
              <w:spacing w:after="0"/>
              <w:rPr>
                <w:sz w:val="21"/>
                <w:szCs w:val="21"/>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107,504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364,516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329,187</w:t>
            </w:r>
          </w:p>
        </w:tc>
      </w:tr>
      <w:tr>
        <w:trPr>
          <w:trHeight w:val="251"/>
        </w:trPr>
        <w:tc>
          <w:tcPr>
            <w:tcW w:w="300" w:type="dxa"/>
            <w:vAlign w:val="bottom"/>
            <w:tcBorders>
              <w:top w:val="single" w:sz="8" w:color="CCEEFF"/>
              <w:bottom w:val="single" w:sz="8" w:color="auto"/>
            </w:tcBorders>
          </w:tcPr>
          <w:p>
            <w:pPr>
              <w:spacing w:after="0"/>
              <w:rPr>
                <w:sz w:val="21"/>
                <w:szCs w:val="21"/>
                <w:color w:val="auto"/>
              </w:rPr>
            </w:pPr>
          </w:p>
        </w:tc>
        <w:tc>
          <w:tcPr>
            <w:tcW w:w="56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5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1"/>
              </w:rPr>
              <w:t>Three Months Ended September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0"/>
        </w:trPr>
        <w:tc>
          <w:tcPr>
            <w:tcW w:w="4440" w:type="dxa"/>
            <w:vAlign w:val="bottom"/>
            <w:gridSpan w:val="3"/>
          </w:tcPr>
          <w:p>
            <w:pPr>
              <w:ind w:left="28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84"/>
              </w:rPr>
              <w:t>2020</w:t>
            </w:r>
          </w:p>
        </w:tc>
      </w:tr>
      <w:tr>
        <w:trPr>
          <w:trHeight w:val="210"/>
        </w:trPr>
        <w:tc>
          <w:tcPr>
            <w:tcW w:w="30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23,475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25,164</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72,258</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74,602</w:t>
            </w:r>
          </w:p>
        </w:tc>
      </w:tr>
      <w:tr>
        <w:trPr>
          <w:trHeight w:val="216"/>
        </w:trPr>
        <w:tc>
          <w:tcPr>
            <w:tcW w:w="30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w:t>
            </w:r>
          </w:p>
        </w:tc>
      </w:tr>
      <w:tr>
        <w:trPr>
          <w:trHeight w:val="216"/>
        </w:trPr>
        <w:tc>
          <w:tcPr>
            <w:tcW w:w="3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Corporate Unallocated and Japan</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(36,146)</w:t>
            </w:r>
          </w:p>
        </w:tc>
      </w:tr>
      <w:tr>
        <w:trPr>
          <w:trHeight w:val="250"/>
        </w:trPr>
        <w:tc>
          <w:tcPr>
            <w:tcW w:w="300" w:type="dxa"/>
            <w:vAlign w:val="bottom"/>
          </w:tcPr>
          <w:p>
            <w:pPr>
              <w:spacing w:after="0"/>
              <w:rPr>
                <w:sz w:val="21"/>
                <w:szCs w:val="21"/>
                <w:color w:val="auto"/>
              </w:rPr>
            </w:pPr>
          </w:p>
        </w:tc>
        <w:tc>
          <w:tcPr>
            <w:tcW w:w="4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17,669</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5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48,845</w:t>
            </w:r>
          </w:p>
        </w:tc>
      </w:tr>
      <w:tr>
        <w:trPr>
          <w:trHeight w:val="196"/>
        </w:trPr>
        <w:tc>
          <w:tcPr>
            <w:tcW w:w="300" w:type="dxa"/>
            <w:vAlign w:val="bottom"/>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4400" w:type="dxa"/>
            <w:vAlign w:val="bottom"/>
            <w:tcBorders>
              <w:top w:val="single" w:sz="8" w:color="CCEEFF"/>
              <w:bottom w:val="single" w:sz="8" w:color="auto"/>
            </w:tcBorders>
            <w:gridSpan w:val="2"/>
          </w:tcPr>
          <w:p>
            <w:pPr>
              <w:spacing w:after="0"/>
              <w:rPr>
                <w:sz w:val="17"/>
                <w:szCs w:val="17"/>
                <w:color w:val="auto"/>
              </w:rPr>
            </w:pPr>
          </w:p>
        </w:tc>
        <w:tc>
          <w:tcPr>
            <w:tcW w:w="1280" w:type="dxa"/>
            <w:vAlign w:val="bottom"/>
            <w:tcBorders>
              <w:top w:val="single" w:sz="8" w:color="auto"/>
              <w:bottom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r>
      <w:tr>
        <w:trPr>
          <w:trHeight w:val="426"/>
        </w:trPr>
        <w:tc>
          <w:tcPr>
            <w:tcW w:w="6800" w:type="dxa"/>
            <w:vAlign w:val="bottom"/>
            <w:gridSpan w:val="6"/>
          </w:tcPr>
          <w:p>
            <w:pPr>
              <w:jc w:val="right"/>
              <w:ind w:right="390"/>
              <w:spacing w:after="0"/>
              <w:rPr>
                <w:sz w:val="20"/>
                <w:szCs w:val="20"/>
                <w:color w:val="auto"/>
              </w:rPr>
            </w:pPr>
            <w:r>
              <w:rPr>
                <w:rFonts w:ascii="Arial" w:cs="Arial" w:eastAsia="Arial" w:hAnsi="Arial"/>
                <w:sz w:val="18"/>
                <w:szCs w:val="18"/>
                <w:color w:val="auto"/>
                <w:w w:val="90"/>
              </w:rPr>
              <w:t>Total long-lived assets at September 30, 2021 and December 31, 2020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407"/>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216,996</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80"/>
              <w:spacing w:after="0"/>
              <w:rPr>
                <w:sz w:val="20"/>
                <w:szCs w:val="20"/>
                <w:color w:val="auto"/>
              </w:rPr>
            </w:pPr>
            <w:r>
              <w:rPr>
                <w:rFonts w:ascii="Arial" w:cs="Arial" w:eastAsia="Arial" w:hAnsi="Arial"/>
                <w:sz w:val="18"/>
                <w:szCs w:val="18"/>
                <w:color w:val="auto"/>
              </w:rPr>
              <w:t>215,721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59,388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5,836</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Long-lived Assets</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283,019</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282,666</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6"/>
        </w:trPr>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102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and nine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Injection Molding</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57,685</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53,257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172,212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165,927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CNC Machining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3D Printing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Sheet Metal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2,716</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107,504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364,516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329,187</w:t>
            </w:r>
          </w:p>
        </w:tc>
      </w:tr>
      <w:tr>
        <w:trPr>
          <w:trHeight w:val="250"/>
        </w:trPr>
        <w:tc>
          <w:tcPr>
            <w:tcW w:w="59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2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In January 2021, we acquired Hubs, a leading online manufacturing platform based in Amsterdam, Netherlands, that provides customers with on-demand access to a global network of premium manufacturing partners. This acquisition creates the world's most comprehensive digital manufacturing offer, offering the broadest set of manufacturing services with the help of a global network of premium manufacturing providers. Our customers conduct nearly all of their business with us over the Internet. We target our products at the millions of product developers and engineers who use three-dimensional computer-aided design (3D CAD) software to design products across a diverse range of end-markets.</w:t>
      </w:r>
    </w:p>
    <w:p>
      <w:pPr>
        <w:spacing w:after="0" w:line="166"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The acquisition of Hubs broadens our offer beyond our current manufacturing capabilities and provides a broader range of price and lead time options by leveraging a network of manufacturing partners to meet the holistic needs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In 2017, we launched an on-demand manufacturing injection molding product offering.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CNC Machining product line uses commercially available CNC machines to manufacture custom metal and plastic parts through processes such as CNC milling and CNC turning. CNC milling is a manufacturing process that cuts plastic and metal blocks into one or more custom parts based on the 3D CAD model uploaded by the customer.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Quick-turn CNC machining works best for prototyping, form and fit testing, jigs and fixtures and functional components for end-use applications.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3D Printing product line includes a broad range of technologies in plastics and metals,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Sheet Metal product line includes quick-turn and e-commerce-enabled custom sheet metal parts and assemblies, which provide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in 2017;</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 and</w:t>
      </w:r>
    </w:p>
    <w:p>
      <w:pPr>
        <w:spacing w:after="0" w:line="225" w:lineRule="exact"/>
        <w:rPr>
          <w:rFonts w:ascii="Arial" w:cs="Arial" w:eastAsia="Arial" w:hAnsi="Arial"/>
          <w:sz w:val="18"/>
          <w:szCs w:val="18"/>
          <w:color w:val="auto"/>
        </w:rPr>
      </w:pPr>
    </w:p>
    <w:p>
      <w:pPr>
        <w:ind w:left="820" w:right="40" w:hanging="488"/>
        <w:spacing w:after="0" w:line="182" w:lineRule="auto"/>
        <w:tabs>
          <w:tab w:leader="none" w:pos="820" w:val="left"/>
        </w:tabs>
        <w:numPr>
          <w:ilvl w:val="0"/>
          <w:numId w:val="3"/>
        </w:numPr>
        <w:rPr>
          <w:rFonts w:ascii="Arial" w:cs="Arial" w:eastAsia="Arial" w:hAnsi="Arial"/>
          <w:sz w:val="34"/>
          <w:szCs w:val="34"/>
          <w:color w:val="auto"/>
          <w:vertAlign w:val="subscript"/>
        </w:rPr>
      </w:pPr>
      <w:r>
        <w:rPr>
          <w:rFonts w:ascii="Arial" w:cs="Arial" w:eastAsia="Arial" w:hAnsi="Arial"/>
          <w:sz w:val="17"/>
          <w:szCs w:val="17"/>
          <w:color w:val="auto"/>
        </w:rPr>
        <w:t>providing customers with on-demand access to a global network of premium manufacturing partners through our acquisition of Hubs in January 2021.</w:t>
      </w:r>
    </w:p>
    <w:p>
      <w:pPr>
        <w:spacing w:after="0" w:line="20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three months ended September 30, 2021, we served 23,457 unique product developers and engineers who purchased our products through our web-based customer interface, an increase of 24.8% over the same period in 2020. The increase in product developers was driven primarily by our acquisition of Hubs. Excluding the impact of Hubs, our product developers increased 7.3% during the three months ended September 30, 2021 when compared to the same period in 2020. During the nine months ended September 30, 2021, we served 49,300 unique product developers and engineers who purchased our products through our web-based customer interface, an increase of 31.5% over the same period in 2020. The increase in unique product developers served was driven primarily by our acquisition of Hubs. Excluding the impact of Hubs, unique product developers served increased 10.7% during the nine months ended September 30, 2021 when compared to the same period in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overhead allocations and outsourced manufacturing costs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We expect our gross profit to increase in absolute dollars, however our gross margin may fluctuate based on the business mix in each reporting period.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recent growth in operating expenses is mainly due to the launch of our Protolabs 2.0 project, an internal business systems project impacting both external customer-facing and internal back-end systems, in the fourth quarter of 2020. During the development of Protolabs 2.0, certain research and development personnel costs were capitalizable as a software development asset. Since the system was placed in service in November 2020, the personnel costs have been expensed as incurred. In addition, amortization expense for the software asset is now being recorded over the systems’ estimated useful lives of seven to 10 years.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w:t>
      </w:r>
    </w:p>
    <w:p>
      <w:pPr>
        <w:spacing w:after="0" w:line="16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consists primarily of employee compensation, benefits, commissions,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2021 and beyond will remain consistent based on the current tax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11"/>
          </w:tcPr>
          <w:p>
            <w:pPr>
              <w:jc w:val="right"/>
              <w:ind w:right="400"/>
              <w:spacing w:after="0"/>
              <w:rPr>
                <w:sz w:val="20"/>
                <w:szCs w:val="20"/>
                <w:color w:val="auto"/>
              </w:rPr>
            </w:pPr>
            <w:r>
              <w:rPr>
                <w:rFonts w:ascii="Arial" w:cs="Arial" w:eastAsia="Arial" w:hAnsi="Arial"/>
                <w:sz w:val="16"/>
                <w:szCs w:val="16"/>
                <w:b w:val="1"/>
                <w:bCs w:val="1"/>
                <w:color w:val="auto"/>
                <w:w w:val="95"/>
              </w:rPr>
              <w:t>Three Months Ended September 30,</w:t>
            </w:r>
          </w:p>
        </w:tc>
        <w:tc>
          <w:tcPr>
            <w:tcW w:w="40" w:type="dxa"/>
            <w:vAlign w:val="bottom"/>
          </w:tcPr>
          <w:p>
            <w:pPr>
              <w:spacing w:after="0"/>
              <w:rPr>
                <w:sz w:val="18"/>
                <w:szCs w:val="18"/>
                <w:color w:val="auto"/>
              </w:rPr>
            </w:pPr>
          </w:p>
        </w:tc>
        <w:tc>
          <w:tcPr>
            <w:tcW w:w="960" w:type="dxa"/>
            <w:vAlign w:val="bottom"/>
            <w:gridSpan w:val="3"/>
          </w:tcPr>
          <w:p>
            <w:pPr>
              <w:ind w:left="400"/>
              <w:spacing w:after="0"/>
              <w:rPr>
                <w:sz w:val="20"/>
                <w:szCs w:val="20"/>
                <w:color w:val="auto"/>
              </w:rPr>
            </w:pPr>
            <w:r>
              <w:rPr>
                <w:rFonts w:ascii="Arial" w:cs="Arial" w:eastAsia="Arial" w:hAnsi="Arial"/>
                <w:sz w:val="16"/>
                <w:szCs w:val="16"/>
                <w:b w:val="1"/>
                <w:bCs w:val="1"/>
                <w:color w:val="auto"/>
                <w:w w:val="91"/>
              </w:rPr>
              <w:t>Change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11"/>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6"/>
                <w:szCs w:val="16"/>
                <w:b w:val="1"/>
                <w:bCs w:val="1"/>
                <w:color w:val="auto"/>
                <w:w w:val="88"/>
              </w:rPr>
              <w:t>Change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125,342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107,504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99"/>
              </w:rPr>
              <w:t>$ 17,838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16.6</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$ 364,516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329,187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$ 35,329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70,018</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52,861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197,237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163,988</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33,249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167,279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165,199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50.2</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Marketing and</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61,946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1720" w:type="dxa"/>
            <w:vAlign w:val="bottom"/>
          </w:tcPr>
          <w:p>
            <w:pPr>
              <w:ind w:left="340"/>
              <w:spacing w:after="0"/>
              <w:rPr>
                <w:sz w:val="20"/>
                <w:szCs w:val="20"/>
                <w:color w:val="auto"/>
              </w:rPr>
            </w:pPr>
            <w:r>
              <w:rPr>
                <w:rFonts w:ascii="Arial" w:cs="Arial" w:eastAsia="Arial" w:hAnsi="Arial"/>
                <w:sz w:val="16"/>
                <w:szCs w:val="16"/>
                <w:color w:val="auto"/>
              </w:rPr>
              <w:t>Research and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340"/>
              <w:spacing w:after="0"/>
              <w:rPr>
                <w:sz w:val="20"/>
                <w:szCs w:val="20"/>
                <w:color w:val="auto"/>
              </w:rPr>
            </w:pPr>
            <w:r>
              <w:rPr>
                <w:rFonts w:ascii="Arial" w:cs="Arial" w:eastAsia="Arial" w:hAnsi="Arial"/>
                <w:sz w:val="16"/>
                <w:szCs w:val="16"/>
                <w:color w:val="auto"/>
              </w:rPr>
              <w:t>development</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8"/>
                <w:szCs w:val="18"/>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34.1</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33,855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8,305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38.5</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52,699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93"/>
        </w:trPr>
        <w:tc>
          <w:tcPr>
            <w:tcW w:w="1720" w:type="dxa"/>
            <w:vAlign w:val="bottom"/>
          </w:tcPr>
          <w:p>
            <w:pPr>
              <w:ind w:left="340"/>
              <w:spacing w:after="0"/>
              <w:rPr>
                <w:sz w:val="20"/>
                <w:szCs w:val="20"/>
                <w:color w:val="auto"/>
              </w:rPr>
            </w:pPr>
            <w:r>
              <w:rPr>
                <w:rFonts w:ascii="Arial" w:cs="Arial" w:eastAsia="Arial" w:hAnsi="Arial"/>
                <w:sz w:val="16"/>
                <w:szCs w:val="16"/>
                <w:color w:val="auto"/>
              </w:rPr>
              <w:t>Changes in fair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20"/>
                <w:szCs w:val="20"/>
                <w:color w:val="auto"/>
              </w:rPr>
            </w:pPr>
            <w:r>
              <w:rPr>
                <w:rFonts w:ascii="Arial" w:cs="Arial" w:eastAsia="Arial" w:hAnsi="Arial"/>
                <w:sz w:val="16"/>
                <w:szCs w:val="16"/>
                <w:color w:val="auto"/>
              </w:rPr>
              <w:t>value of contingent</w:t>
            </w: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(8,513)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(8,513)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720" w:type="dxa"/>
            <w:vAlign w:val="bottom"/>
          </w:tcPr>
          <w:p>
            <w:pPr>
              <w:spacing w:after="0"/>
              <w:rPr>
                <w:sz w:val="20"/>
                <w:szCs w:val="20"/>
                <w:color w:val="auto"/>
              </w:rPr>
            </w:pPr>
            <w:r>
              <w:rPr>
                <w:rFonts w:ascii="Arial" w:cs="Arial" w:eastAsia="Arial" w:hAnsi="Arial"/>
                <w:sz w:val="16"/>
                <w:szCs w:val="16"/>
                <w:color w:val="auto"/>
              </w:rPr>
              <w:t>consideration</w:t>
            </w: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w:t>
            </w: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48,397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36,974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6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17"/>
                <w:szCs w:val="17"/>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11,423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30.9</w:t>
            </w:r>
          </w:p>
        </w:tc>
        <w:tc>
          <w:tcPr>
            <w:tcW w:w="100" w:type="dxa"/>
            <w:vAlign w:val="bottom"/>
            <w:vMerge w:val="restart"/>
            <w:shd w:val="clear" w:color="auto" w:fill="CCEEFF"/>
          </w:tcPr>
          <w:p>
            <w:pPr>
              <w:spacing w:after="0"/>
              <w:rPr>
                <w:sz w:val="17"/>
                <w:szCs w:val="17"/>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139,987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38.4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116,354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35.4</w:t>
            </w:r>
          </w:p>
        </w:tc>
        <w:tc>
          <w:tcPr>
            <w:tcW w:w="100" w:type="dxa"/>
            <w:vAlign w:val="bottom"/>
            <w:vMerge w:val="restart"/>
            <w:shd w:val="clear" w:color="auto" w:fill="CCEEFF"/>
          </w:tcPr>
          <w:p>
            <w:pPr>
              <w:spacing w:after="0"/>
              <w:rPr>
                <w:sz w:val="17"/>
                <w:szCs w:val="17"/>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23,633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9"/>
        </w:trPr>
        <w:tc>
          <w:tcPr>
            <w:tcW w:w="1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expenses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6,927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17,669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(10,742)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27,292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48,845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(21,553)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6"/>
              </w:rPr>
              <w:t>Other income (expense),</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6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6"/>
              </w:rPr>
              <w:t>(101.6)</w:t>
            </w:r>
          </w:p>
        </w:tc>
        <w:tc>
          <w:tcPr>
            <w:tcW w:w="0" w:type="dxa"/>
            <w:vAlign w:val="bottom"/>
          </w:tcPr>
          <w:p>
            <w:pPr>
              <w:spacing w:after="0"/>
              <w:rPr>
                <w:sz w:val="1"/>
                <w:szCs w:val="1"/>
                <w:color w:val="auto"/>
              </w:rPr>
            </w:pPr>
          </w:p>
        </w:tc>
      </w:tr>
      <w:tr>
        <w:trPr>
          <w:trHeight w:val="19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net</w:t>
            </w: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before income</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20"/>
                <w:szCs w:val="20"/>
                <w:color w:val="auto"/>
              </w:rPr>
            </w:pPr>
            <w:r>
              <w:rPr>
                <w:rFonts w:ascii="Arial" w:cs="Arial" w:eastAsia="Arial" w:hAnsi="Arial"/>
                <w:sz w:val="16"/>
                <w:szCs w:val="16"/>
                <w:color w:val="auto"/>
              </w:rPr>
              <w:t>taxes</w:t>
            </w: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7,063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27,252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51,394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w:t>
            </w: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vMerge w:val="restart"/>
            <w:shd w:val="clear" w:color="auto" w:fill="CCEEFF"/>
          </w:tcPr>
          <w:p>
            <w:pPr>
              <w:spacing w:after="0"/>
              <w:rPr>
                <w:sz w:val="17"/>
                <w:szCs w:val="17"/>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5,790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100" w:type="dxa"/>
            <w:vAlign w:val="bottom"/>
            <w:vMerge w:val="restart"/>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9"/>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14,697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9"/>
              </w:rPr>
              <w:t>$  (9,862)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6"/>
              </w:rPr>
              <w:t>(67.1)%</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  21,462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5.9%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41,288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(19,826)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*Percentage change not meaningful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and nine months ended September 30,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117475</wp:posOffset>
            </wp:positionV>
            <wp:extent cx="6772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1"/>
              </w:rPr>
              <w:t>Three Months Ended September</w:t>
            </w:r>
          </w:p>
        </w:tc>
        <w:tc>
          <w:tcPr>
            <w:tcW w:w="120" w:type="dxa"/>
            <w:vAlign w:val="bottom"/>
          </w:tcPr>
          <w:p>
            <w:pPr>
              <w:spacing w:after="0"/>
              <w:rPr>
                <w:sz w:val="18"/>
                <w:szCs w:val="18"/>
                <w:color w:val="auto"/>
              </w:rPr>
            </w:pPr>
          </w:p>
        </w:tc>
        <w:tc>
          <w:tcPr>
            <w:tcW w:w="26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restricted stock and performance stock</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280"/>
              <w:spacing w:after="0"/>
              <w:rPr>
                <w:sz w:val="20"/>
                <w:szCs w:val="20"/>
                <w:color w:val="auto"/>
              </w:rPr>
            </w:pPr>
            <w:r>
              <w:rPr>
                <w:rFonts w:ascii="Arial" w:cs="Arial" w:eastAsia="Arial" w:hAnsi="Arial"/>
                <w:sz w:val="18"/>
                <w:szCs w:val="18"/>
                <w:color w:val="auto"/>
              </w:rPr>
              <w:t>Total stock-based compensation expense</w:t>
            </w:r>
          </w:p>
        </w:tc>
        <w:tc>
          <w:tcPr>
            <w:tcW w:w="6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3,945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15,539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100,127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14,519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22,155</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revenue increased $17.8 million, or 16.6%, for the three months ended September 30, 2021 compared to the same period in 2020. Our revenue for the three months ended September 30, 2021 includes revenue of $8.8 million provided by our acquisition of Hubs. By reportable segment, revenue in the United States increased $14.5 million, or 17.0%, for the three months ended September 30, 2021 compared to the same period in 2020. Revenue in Europe increased $3.3 million, or 17.2%, and revenue in Japan increased $0.1 million, or 2.0%, in each case for the three months ended September 30, 2021 compared to the same period in 2020. Excluding Hubs, revenue in the United States increased $9.8 million, or 11.4%, and revenue in Europe decreased $0.8 million, or 4.0%, in each case for the three months ended September 30, 2021 compared to the same period in 2020. International revenue was positively impacted by $0.4 million during the three months ended September 30, 2021 compared to the same period in 2020 as a result of foreign currency movements, primarily the strengthening of the British Pound and Euro relative to the United States Dollar.</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three months ended September 30, 2021, we served 23,457 unique product developers and engineers, an increase of 24.8% over the same period in 2020. The increase in unique product developers served was primarily driven by our acquisition of Hubs. Excluding the impact of Hubs, unique product developers served increased 7.3% during the three months ended September 30, 2021 when compared to the same period in 2020. Our growth in product developers and engineers served increased at a greater rate than our revenue growth, resulting in a decrease in the average spend per product developer and engineer. The decrease in average spend per product developer and engineer was driven by a change in the mix of products with a lower average order size purchased during the quarter by product developers and engineers we serve.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(dollars in thousands)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Injection Molding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CNC Machining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3D Printing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Sheet Metal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411"/>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57,685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53,257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43,658</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10,543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18,589</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4,854</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21.7</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125,342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107,504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17,838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-993775</wp:posOffset>
            </wp:positionV>
            <wp:extent cx="67722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-719455</wp:posOffset>
            </wp:positionV>
            <wp:extent cx="67722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-445135</wp:posOffset>
            </wp:positionV>
            <wp:extent cx="677227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-161925</wp:posOffset>
            </wp:positionV>
            <wp:extent cx="677227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137160</wp:posOffset>
            </wp:positionV>
            <wp:extent cx="6772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200"/>
          </w:cols>
          <w:pgMar w:left="320" w:top="125" w:right="359" w:bottom="1440" w:gutter="0" w:footer="0" w:header="0"/>
          <w:type w:val="continuous"/>
        </w:sectPr>
      </w:pPr>
    </w:p>
    <w:p>
      <w:pPr>
        <w:spacing w:after="0" w:line="2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product line, our revenue increase was driven by a 31.8% increase in CNC Machining revenue, an 8.3% increase in Injection Molding revenue, a 14.1% increase in 3D Printing revenue, and a 21.7% increase in Sheet Metal revenue, which was partially offset by a 34.6% decrease in Other Revenue, in each case for the three months ended September 30, 2021 compared to the same period in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$17.2 million, or 32.5%, for the three months ended September 30, 2021 compared to the same period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greater than the rate of revenue increase of 16.6% for the three months ended September 30, 2021 compared to the same period in 2020. The increase in cost of revenue was driven by a $7.2 million increase resulting from our acquisition of Hubs. The $10.0 million increase in cost of revenue in our legacy business was driven by increased volumes and a labor shortage resulting in wage inflation, increased overtime and increased recruiting costs resulting in personnel and related cost increases of $7.0 million and an increase in raw material and product costs of $3.6 million driven by materials cost inflation and higher logistics costs, which were partially offset by a decrease in equipment and facility related costs of $0.6 million.</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from $54.6 million in the three months ended September 30, 2020 to $55.3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Gross margin decreased from 50.8% in the three months ended September 30, 2020 to 44.1% in the three months ended September 30, 2021, primarily due to labor and materials cost inflation and the mix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increased $4.7 million, or 28.2%, during the three months ended September 30,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2020. The increase is primarily driven by personnel and related cost increases in our legacy business of $1.6 million, information technology allocation cost increases, including amortization of Protolabs 2.0 software assets, of $1.1 million and marketing program cost increases of $0.4 million. In addition, our acquisition of Hubs provided $1.6 million in marketing and sales expenses during the three months ended September 30, 2021.</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$2.7 million, or 34.1%, during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primarily due to personnel and related cost increases of $1.7 million driven by personnel and contractor resources dedicated to the launch of our Protolabs 2.0 system. During the development of Protolabs 2.0, certain research and development personnel costs were capitalizable as a software development asset. Since the system was placed in service in November 2020, the personnel costs have been expensed as incurred. Other legacy operating costs increased $0.1 million during the three months ended September 30, 2021. In addition, increases of $0.9 million resulted from our acquisition of Hubs.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$4.8 million, or 38.5%, during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primarily due to an increase of $0.3 million in professional service costs, an increase of $0.7 million of personnel and related costs and an increase of $1.0 million in administrative costs. In addition, our acquisition of Hubs provided $2.8 million in general and administrative expense during the three months ended September 30, 2021.</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Changes in fair value of contingent consideration. </w:t>
      </w:r>
      <w:r>
        <w:rPr>
          <w:rFonts w:ascii="Arial" w:cs="Arial" w:eastAsia="Arial" w:hAnsi="Arial"/>
          <w:sz w:val="18"/>
          <w:szCs w:val="18"/>
          <w:color w:val="auto"/>
        </w:rPr>
        <w:t>The fair value of contingent consideration associated with the acquisition of Hubs decreased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three months ended September 30, 2021 compared to the same period in 2020. We had no contingent consideration liabilities recorded during the three months ended September 30, 2020.</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recognized other income, net of $0.1 million for the three months ended September 30, 2021, a decrease of $0.6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other income, net of $0.7 million for the three months ended September 30, 2020. Other income, net for the three months ended September 30, 2021 primarily consisted of $0.3 million in interest income on investments and other income, which was partially offset by a $0.2 million loss on foreign currency. Other income, net for the three months ended September 30, 2020 primarily consisted of $0.3 million in interest income on investments, a $0.3 million gain on foreign currency and $0.1 million in other income.</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31.5% for the three months ended September 30, 2021 increased 11.4% compared to 20.1%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2020. The increase in the effective tax rate is primarily due to an increase in losses in jurisdictions that are not eligible for tax benefits due to valuation allowances. Our income tax provision of $2.2 million for the three months ended September 30, 2021 decreased $1.5 million compared to our income tax provision of $3.7 million for the three months ended September 30, 2020, primarily due to a lower pre-tax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nine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1"/>
              </w:rPr>
              <w:t>Nine Months Ended September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262,507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10,267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364,516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Borders>
              <w:top w:val="single" w:sz="8" w:color="CCEEFF"/>
              <w:bottom w:val="single" w:sz="8" w:color="auto"/>
            </w:tcBorders>
          </w:tcPr>
          <w:p>
            <w:pPr>
              <w:spacing w:after="0"/>
              <w:rPr>
                <w:sz w:val="17"/>
                <w:szCs w:val="17"/>
                <w:color w:val="auto"/>
              </w:rPr>
            </w:pPr>
          </w:p>
        </w:tc>
        <w:tc>
          <w:tcPr>
            <w:tcW w:w="44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revenue increased $35.3 million, or 10.7%, for the nine months ended September 30, 2021 compared to the same period in 2020. Our revenue for the nine months ended September 30, 2021 includes revenue of $23.5 million provided by our acquisition of Hubs. By reportable segment, revenue in the United States increased $24.0 million, or 9.1%, for the nine months ended September 30, 2021 compared to the same period in 2020. Revenue in Europe increased $11.8 million, or 21.0% and revenue in Japan decreased $0.5 million, or 5.2%, in each case for the nine months ended September 30,</w:t>
      </w:r>
    </w:p>
    <w:p>
      <w:pPr>
        <w:spacing w:after="0" w:line="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2021 compared to the same period in 2020. Excluding Hubs, revenue in the United States increased $11.5 million, or 4.4%, and revenue in Europe increased $0.9 million, or 1.6%, in each case for the nine months ended September 30, 2021 compared to the same period in 2020. International revenue was positively impacted by $3.9 million during the nine months ended September 30, 2021 compared to the same period in 2020 as a result of foreign currency movements, primarily the strengthening of the British Pound and Euro relative to the United States Dollar.</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nine months ended September 30, 2021, we served 49,300 unique product developers and engineers, an increase of 31.5% over the same period in 2020. The increase in unique product developers served was primarily driven by our acquisition of Hubs. Excluding the impact of Hubs, unique product developers served increased 10.7% during the nine months ended September 30, 2021 when compared to the same period in 2020. Our growth in product developers and engineers served increased at a greater rate than our revenue growth, resulting in a decrease in the average spend per product developer and engineer. The decrease in average spend per product developer and engineer was driven by a change in the mix of products with a lower average order size purchased during the quarter by product developers and engineers we serve.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nine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151765</wp:posOffset>
            </wp:positionV>
            <wp:extent cx="6772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1"/>
              </w:rPr>
              <w:t>Nine Months Ended September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7"/>
              </w:rPr>
              <w:t>% of Total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165,927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46,478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364,516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Borders>
              <w:top w:val="single" w:sz="8" w:color="CCEEFF"/>
              <w:bottom w:val="single" w:sz="8" w:color="auto"/>
            </w:tcBorders>
          </w:tcPr>
          <w:p>
            <w:pPr>
              <w:spacing w:after="0"/>
              <w:rPr>
                <w:sz w:val="17"/>
                <w:szCs w:val="17"/>
                <w:color w:val="auto"/>
              </w:rPr>
            </w:pPr>
          </w:p>
        </w:tc>
        <w:tc>
          <w:tcPr>
            <w:tcW w:w="44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By product line, our revenue increase was driven by a 22.2% increase in CNC Machining revenue, a 16.2% increase in 3D Printing revenue, a 3.8% increase in Injection Molding revenue, and a 3.4% increase in Sheet Metal revenue, which was partially offset by a 42.3% decrease in Other Revenue, in each case for the nine months ended September 30, 2021 compared to the same period in 2020.</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$33.2 million, or 20.3%, for the nine months ended September 30, 2021 compared to the same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greater than the rate of revenue increase of 10.7% for the nine months ended September 30, 2021 compared to the same period in 2020. The increase in cost of revenue was driven by a $20.1 million increase resulting from our acquisition of Hubs. The $13.1 million increase in cost of revenue in our legacy business was driven by increased volumes and a labor shortage resulting in wage inflation, increased overtime and increased recruiting costs resulting in personnel and related cost increases of $8.7 million and an increase in raw material and product costs of $4.5 million, which were partially offset by a decrease in equipment and facility related costs of $0.1 million.</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from $165.2 million in the nine months ended September 30, 2020 to $167.3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Gross margin decreased from 50.2% in the nine months ended September 30, 2020 to 45.9% in the nine months ended September 30, 2021, primarily due to labor and materials cost inflation and the mix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(Loss) Income, net and Provision for Income Taxes</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increased $10.1 million, or 19.5%, during the nine months ended September 30,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2020. In our legacy business, personnel and related cost increases of $2.7 million, information technology allocation cost increases, including amortization of Protolabs 2.0 software assets, of $3.3 million and marketing program cost increases of $0.2 million. In addition, our acquisition of Hubs provided $3.9 million in marketing and sales expense during the nine months ended September 30, 2021.</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$8.3 million, or 32.5%,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personnel and related cost increases of $6.2 million driven by personnel and contractor resources dedicated to the launch of our Protolabs 2.0 system. During the development of Protolabs 2.0, certain research and development personnel costs were capitalizable as a software development asset. Since the system was placed in service in November 2020, the personnel costs have been expensed as incurred. In addition, increases of $2.2 million resulted from our acquisition of Hubs, which were partially offset by decreases of $0.1 in professional service costs.</w:t>
      </w:r>
    </w:p>
    <w:p>
      <w:pPr>
        <w:spacing w:after="0" w:line="1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$13.7 million, or 35.2%,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an increase of $7.6 million resulting from our acquisition of Hubs, other professional service cost increases of $3.7 million, stock-based compensation cost increases of $1.7 million, administrative cost increases of $0.3 million and personnel and related cost increases of $0.4 million.</w:t>
      </w:r>
    </w:p>
    <w:p>
      <w:pPr>
        <w:spacing w:after="0" w:line="18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i w:val="1"/>
          <w:iCs w:val="1"/>
          <w:color w:val="auto"/>
        </w:rPr>
        <w:t xml:space="preserve">Changes in fair value of contingent consideration. </w:t>
      </w:r>
      <w:r>
        <w:rPr>
          <w:rFonts w:ascii="Arial" w:cs="Arial" w:eastAsia="Arial" w:hAnsi="Arial"/>
          <w:sz w:val="18"/>
          <w:szCs w:val="18"/>
          <w:color w:val="auto"/>
        </w:rPr>
        <w:t>The fair value of contingent consideration associated with the acquisition of Hubs decreased $8.5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nine months ended September 30, 2021. We had no contingent consideration liabilities recorded during the nine months ended September 30, 2020.</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Other Loss, net. </w:t>
      </w:r>
      <w:r>
        <w:rPr>
          <w:rFonts w:ascii="Arial" w:cs="Arial" w:eastAsia="Arial" w:hAnsi="Arial"/>
          <w:sz w:val="18"/>
          <w:szCs w:val="18"/>
          <w:color w:val="auto"/>
        </w:rPr>
        <w:t>We recognized immaterial other loss, net for the nine months ended September 30, 2021, a decrease of $2.6 million compared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of $2.6 million for the nine months ended September 30, 2020. Other loss, net for the nine months ended September 30, 2021 primarily consisted of a $0.6 million loss on foreign currency, which was offset by $0.6 million in interest income on investments and other income. Other income, net for the nine months ended September 30, 2020 primarily consisted of $1.2 million in interest income on investments and a $1.2 million gain on foreign currency.</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21.2% for the nine months ended September 30, 2021 increased 1.5% compared to 19.7%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2020. The increase in the effective tax rate is primarily due to an increase in losses in jurisdictions that are not eligible for tax benefits due to valuation allowances. Our income tax provision of $5.8 million for the nine months ended September 30, 2021 decreased $4.3 million compared to our income tax provision of $10.1 million for the nine months ended September 30, 2020, due to a lower pre-tax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during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166370</wp:posOffset>
            </wp:positionV>
            <wp:extent cx="6412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641223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32,225</w:t>
            </w:r>
          </w:p>
        </w:tc>
        <w:tc>
          <w:tcPr>
            <w:tcW w:w="10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82,375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(77,657)</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(12,379)</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09"/>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40" w:space="720"/>
            <w:col w:w="3460"/>
          </w:cols>
          <w:pgMar w:left="320" w:top="125" w:right="35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we have primarily financed our operations and capital expenditures through cash flow from operations. We had cash and cash equivalents of $47.8 million as of September 30, 2021, a decrease of $79.8 million from December 31, 2020. The decrease in our cash was primarily due to cash used in investing activity for our acquisition of Hubs of $127.4 million, purchases of property, equipment and other capital assets of $28.0 million, and cash used in financing activities for repurchases of common stock of $13.0 million, which were partially offset by net proceeds from investments in marketable securities of $57.0 million and cash generated through operations of $32.2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flows from operating activities were $32.2 million during the nine months ended September 30, 2021 and primarily consisted of net income of $21.5 million, adjusted for certain non-cash items, including depreciation and amortization of $30.2 million and stock-based compensation expense of $15.5 million, which were partially offset by a decrease in the fair value of contingent consideration of $8.5 million and changes in operating assets and liabilities and other items totaling $26.5 million. Cash flows from operating activities were $82.4 million during the nine months ended September 30, 2020 and primarily consisted of net income of $41.3 million, adjusted for certain non-cash items, including depreciation and amortization of $23.9 million, stock-based compensation expense of $10.6 million and deferred taxes of $6.6 million.</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Cash flows from operating activities decreased $50.2 million during the nine months ended September 30, 2021 compared to the same period in 2020, primarily due to decreases in net income of $19.8 million, decreases in accounts receivable of $21.8 million driven by timing of cash receipts, a decrease in the fair value of contingent consideration of $8.5 million, decreases in deferred taxes of $6.7 million, and decreases of $4.6 million in other items, which were partially offset by increases in depreciation and amortization of $6.3 million and increases in stock-based compensation of $4.9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used in investing activities was $98.3 million during the nine months ended September 30, 2021, consisting of $127.4 million in cash used for acquisitions, net of cash acquired and $27.9 million for the purchases of property, equipment and other capital assets, which were partially offset by $57.0 million for net proceeds from investments in marketable securities.</w:t>
      </w:r>
    </w:p>
    <w:p>
      <w:pPr>
        <w:spacing w:after="0" w:line="18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Cash used in investing activities was $77.7 million during the nine months ended September 30, 2020, consisting of $34.2 million in net investments in marketable securities, $40.5 million for the purchases of property, equipment and other capital assets, and $3.0 million for purchases of other assets and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Cash used in financing activities was $13.8 million during the nine months ended September 30, 2021, consisting of $13.0 million in repurchases of common stock, $4.2 million in shares withheld for tax obligations associated with equity transactions, and $0.4 million for repayments of finance lease obligations, which were partially offset by $3.8 million in proceeds from the exercise of stock options.</w:t>
      </w:r>
    </w:p>
    <w:p>
      <w:pPr>
        <w:spacing w:after="0" w:line="1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Cash used in financing activities was $12.4 million during the nine months ended September 30, 2020, consisting of $14.7 million in repurchases of common stock and $3.4 million in purchases of shares withheld for tax obligations associated with equity transactions, which were partially offset by $5.7 million in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$0.2 million and $0.6 million during the three and nine months ended September 30, 2021, respectively. We recognized foreign currency gains of $0.3 million and $1.2 million during the three and nine months ended September 30, 2020, respectively. The changes in foreign exchange rates had a positive impact on consolidated revenue of $0.4 million for the three months ended September 30, 2021 and $3.9 million for the nine months ended September 30, 2021 as compared to the same periods in 2020.</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quarter of 2021, the Company completed the implementation of Protolabs 2.0, an internal business systems project impacting both external customer-facing and internal back-end systems. Emphasis has been on the maintenance of effective internal controls throughout development and deployment of all phases. The Company evaluated and concluded the implementation of Protolabs 2.0 has not materially affected the Company's internal control over financial reporting. Based on this evaluation, 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Management has excluded certain elements of Hubs from its assessment of internal control over financial reporting as of September 30, 2021. Those elements of the acquired business’s internal control over financial reporting that were not fully integrated into the Company’s existing internal control over financial reporting during 2021 have been excluded from management’s assessment of the effectiveness of internal control over financial reporting. Hubs is a wholly-owned subsidiary of the Company; its combined total assets (excluding goodwill) and total revenues excluded from our assessment represent approximately 4% and 6%, respectively, of the related consolidated financial statements amounts as of the nine months ended September 30, 2021.</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 I, Item 1A. “Risk Factors” in our Annual Report on Form 10-K for the year ended December 31, 2020 includes a discussion of our risk factors. There have been no material changes from the risk factors described 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 The timing and amount of any share repurchases will be determined by our management based on market conditions and other factors.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September 30, 2021, we repurchased 157,414 shares of our common stock at a total purchase price of $11.8 million under this program. Common stock repurchase activity for the three months ended September 30, 2021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8"/>
                <w:szCs w:val="18"/>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Paid</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16"/>
        </w:trPr>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18"/>
                <w:szCs w:val="18"/>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per</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6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or Programs (in</w:t>
            </w:r>
          </w:p>
        </w:tc>
      </w:t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40" w:type="dxa"/>
            <w:vAlign w:val="bottom"/>
          </w:tcPr>
          <w:p>
            <w:pPr>
              <w:spacing w:after="0"/>
              <w:rPr>
                <w:sz w:val="20"/>
                <w:szCs w:val="20"/>
                <w:color w:val="auto"/>
              </w:rPr>
            </w:pP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thousands) (1)</w:t>
            </w:r>
          </w:p>
        </w:tc>
        <w:tc>
          <w:tcPr>
            <w:tcW w:w="6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July 1, 2021 through July 31, 2021</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39,425</w:t>
            </w:r>
          </w:p>
        </w:tc>
        <w:tc>
          <w:tcPr>
            <w:tcW w:w="8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$82.94</w:t>
            </w:r>
          </w:p>
        </w:tc>
        <w:tc>
          <w:tcPr>
            <w:tcW w:w="2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39,425</w:t>
            </w:r>
          </w:p>
        </w:tc>
        <w:tc>
          <w:tcPr>
            <w:tcW w:w="15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$30,694</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August 1, 2021 through August 31, 2021</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73,168</w:t>
            </w:r>
          </w:p>
        </w:tc>
        <w:tc>
          <w:tcPr>
            <w:tcW w:w="8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$73.08</w:t>
            </w:r>
          </w:p>
        </w:tc>
        <w:tc>
          <w:tcPr>
            <w:tcW w:w="21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73,168</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$25,347</w:t>
            </w:r>
          </w:p>
        </w:tc>
        <w:tc>
          <w:tcPr>
            <w:tcW w:w="60" w:type="dxa"/>
            <w:vAlign w:val="bottom"/>
          </w:tcPr>
          <w:p>
            <w:pPr>
              <w:spacing w:after="0"/>
              <w:rPr>
                <w:sz w:val="18"/>
                <w:szCs w:val="18"/>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2021 through September 30, 2021</w:t>
            </w: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44,821</w:t>
            </w:r>
          </w:p>
        </w:tc>
        <w:tc>
          <w:tcPr>
            <w:tcW w:w="800" w:type="dxa"/>
            <w:vAlign w:val="bottom"/>
            <w:tcBorders>
              <w:bottom w:val="single" w:sz="8" w:color="auto"/>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$71.48</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44,821</w:t>
            </w:r>
          </w:p>
        </w:tc>
        <w:tc>
          <w:tcPr>
            <w:tcW w:w="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$22,143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24"/>
        </w:trPr>
        <w:tc>
          <w:tcPr>
            <w:tcW w:w="58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157,414</w:t>
            </w:r>
          </w:p>
        </w:tc>
        <w:tc>
          <w:tcPr>
            <w:tcW w:w="8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$75.09</w:t>
            </w:r>
          </w:p>
        </w:tc>
        <w:tc>
          <w:tcPr>
            <w:tcW w:w="21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157,414</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$22,143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-8255</wp:posOffset>
            </wp:positionV>
            <wp:extent cx="3360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right="20" w:firstLine="8"/>
        <w:spacing w:after="0" w:line="216" w:lineRule="auto"/>
        <w:tabs>
          <w:tab w:leader="none" w:pos="112"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Effective May 15, 2019 the Board of Directors authorized the repurchase of shares of the Company’s common stock from time to time on the open market or in privately negotiated purchases, at an aggregate purchase price of up to $100 million. The term of the program runs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-281305</wp:posOffset>
            </wp:positionV>
            <wp:extent cx="33604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10420" w:type="dxa"/>
            <w:vAlign w:val="bottom"/>
            <w:gridSpan w:val="7"/>
          </w:tcPr>
          <w:p>
            <w:pPr>
              <w:ind w:left="436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color w:val="auto"/>
                <w:w w:val="98"/>
              </w:rPr>
              <w:t>3.1</w:t>
            </w:r>
            <w:r>
              <w:rPr>
                <w:rFonts w:ascii="Arial" w:cs="Arial" w:eastAsia="Arial" w:hAnsi="Arial"/>
                <w:sz w:val="19"/>
                <w:szCs w:val="19"/>
                <w:color w:val="auto"/>
                <w:w w:val="98"/>
                <w:vertAlign w:val="superscript"/>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tcBorders>
              <w:top w:val="single" w:sz="8" w:color="auto"/>
            </w:tcBorders>
            <w:gridSpan w:val="7"/>
          </w:tcPr>
          <w:p>
            <w:pPr>
              <w:spacing w:after="0" w:line="169" w:lineRule="exact"/>
              <w:rPr>
                <w:rFonts w:ascii="Arial" w:cs="Arial" w:eastAsia="Arial" w:hAnsi="Arial"/>
                <w:sz w:val="18"/>
                <w:szCs w:val="18"/>
                <w:color w:val="0000EE"/>
              </w:rPr>
            </w:pPr>
            <w:hyperlink r:id="rId83">
              <w:r>
                <w:rPr>
                  <w:rFonts w:ascii="Arial" w:cs="Arial" w:eastAsia="Arial" w:hAnsi="Arial"/>
                  <w:sz w:val="18"/>
                  <w:szCs w:val="18"/>
                  <w:color w:val="0000EE"/>
                </w:rPr>
                <w:t>Third Amended and Restated Articles of Incorporation of Proto Labs, Inc.</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7"/>
                <w:szCs w:val="17"/>
                <w:color w:val="auto"/>
                <w:w w:val="86"/>
              </w:rPr>
              <w:t>3.2</w:t>
            </w:r>
            <w:r>
              <w:rPr>
                <w:rFonts w:ascii="Arial" w:cs="Arial" w:eastAsia="Arial" w:hAnsi="Arial"/>
                <w:sz w:val="22"/>
                <w:szCs w:val="22"/>
                <w:color w:val="auto"/>
                <w:w w:val="86"/>
                <w:vertAlign w:val="superscript"/>
              </w:rPr>
              <w:t>(2)</w:t>
            </w:r>
          </w:p>
        </w:tc>
        <w:tc>
          <w:tcPr>
            <w:tcW w:w="120" w:type="dxa"/>
            <w:vAlign w:val="bottom"/>
          </w:tcPr>
          <w:p>
            <w:pPr>
              <w:spacing w:after="0"/>
              <w:rPr>
                <w:sz w:val="17"/>
                <w:szCs w:val="17"/>
                <w:color w:val="auto"/>
              </w:rPr>
            </w:pPr>
          </w:p>
        </w:tc>
        <w:tc>
          <w:tcPr>
            <w:tcW w:w="8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Articles of Amendment to Third Amended and Restated Articles of Incorporation of Proto Labs, Inc. dated May 20, 2015</w:t>
              </w:r>
            </w:hyperlink>
          </w:p>
        </w:tc>
        <w:tc>
          <w:tcPr>
            <w:tcW w:w="1680" w:type="dxa"/>
            <w:vAlign w:val="bottom"/>
            <w:gridSpan w:val="2"/>
          </w:tcPr>
          <w:p>
            <w:pPr>
              <w:spacing w:after="0"/>
              <w:rPr>
                <w:sz w:val="17"/>
                <w:szCs w:val="17"/>
                <w:color w:val="auto"/>
              </w:rPr>
            </w:pPr>
          </w:p>
        </w:tc>
      </w:tr>
      <w:tr>
        <w:trPr>
          <w:trHeight w:val="196"/>
        </w:trPr>
        <w:tc>
          <w:tcPr>
            <w:tcW w:w="680" w:type="dxa"/>
            <w:vAlign w:val="bottom"/>
          </w:tcPr>
          <w:p>
            <w:pPr>
              <w:jc w:val="center"/>
              <w:spacing w:after="0" w:line="195" w:lineRule="exact"/>
              <w:rPr>
                <w:sz w:val="20"/>
                <w:szCs w:val="20"/>
                <w:color w:val="auto"/>
              </w:rPr>
            </w:pPr>
            <w:r>
              <w:rPr>
                <w:rFonts w:ascii="Arial" w:cs="Arial" w:eastAsia="Arial" w:hAnsi="Arial"/>
                <w:sz w:val="17"/>
                <w:szCs w:val="17"/>
                <w:color w:val="auto"/>
                <w:w w:val="86"/>
              </w:rPr>
              <w:t>3.3</w:t>
            </w:r>
            <w:r>
              <w:rPr>
                <w:rFonts w:ascii="Arial" w:cs="Arial" w:eastAsia="Arial" w:hAnsi="Arial"/>
                <w:sz w:val="22"/>
                <w:szCs w:val="22"/>
                <w:color w:val="auto"/>
                <w:w w:val="86"/>
                <w:vertAlign w:val="superscript"/>
              </w:rPr>
              <w:t>(3)</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Second Amended and Restated By-Laws of Proto Labs, Inc., as amended through November 8, 2016</w:t>
              </w:r>
            </w:hyperlink>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the Chief Executive Officer pursuant to Section 302 of the Sarbanes-Oxley Act</w:t>
              </w:r>
            </w:hyperlink>
          </w:p>
        </w:tc>
        <w:tc>
          <w:tcPr>
            <w:tcW w:w="400" w:type="dxa"/>
            <w:vAlign w:val="bottom"/>
            <w:tcBorders>
              <w:top w:val="single" w:sz="8" w:color="0000EE"/>
            </w:tcBorders>
          </w:tcPr>
          <w:p>
            <w:pPr>
              <w:spacing w:after="0"/>
              <w:rPr>
                <w:sz w:val="17"/>
                <w:szCs w:val="17"/>
                <w:color w:val="auto"/>
              </w:rPr>
            </w:pPr>
          </w:p>
        </w:tc>
        <w:tc>
          <w:tcPr>
            <w:tcW w:w="3180" w:type="dxa"/>
            <w:vAlign w:val="bottom"/>
            <w:gridSpan w:val="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the Chief Financial Officer pursuant to Section 302 of the Sarbanes-Oxley Act</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gridSpan w:val="3"/>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 of the Chief Executive Officer and the Chief Financial Officer pursuant to Section 906 of the Sarbanes-Oxley Act</w:t>
              </w:r>
            </w:hyperlink>
          </w:p>
        </w:tc>
      </w:tr>
      <w:tr>
        <w:trPr>
          <w:trHeight w:val="20"/>
        </w:trPr>
        <w:tc>
          <w:tcPr>
            <w:tcW w:w="800" w:type="dxa"/>
            <w:vAlign w:val="bottom"/>
            <w:gridSpan w:val="2"/>
          </w:tcPr>
          <w:p>
            <w:pPr>
              <w:spacing w:after="0" w:line="20" w:lineRule="exact"/>
              <w:rPr>
                <w:sz w:val="1"/>
                <w:szCs w:val="1"/>
                <w:color w:val="auto"/>
              </w:rPr>
            </w:pPr>
          </w:p>
        </w:tc>
        <w:tc>
          <w:tcPr>
            <w:tcW w:w="9140" w:type="dxa"/>
            <w:vAlign w:val="bottom"/>
            <w:gridSpan w:val="7"/>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044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4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800" w:hanging="590"/>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380" w:right="640" w:hanging="372"/>
        <w:spacing w:after="0" w:line="221"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1" w:lineRule="exact"/>
        <w:rPr>
          <w:rFonts w:ascii="Arial" w:cs="Arial" w:eastAsia="Arial" w:hAnsi="Arial"/>
          <w:sz w:val="24"/>
          <w:szCs w:val="24"/>
          <w:color w:val="auto"/>
          <w:vertAlign w:val="superscript"/>
        </w:rPr>
      </w:pPr>
    </w:p>
    <w:p>
      <w:pPr>
        <w:ind w:left="380" w:right="2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rFonts w:ascii="Arial" w:cs="Arial" w:eastAsia="Arial" w:hAnsi="Arial"/>
          <w:sz w:val="24"/>
          <w:szCs w:val="24"/>
          <w:color w:val="auto"/>
          <w:vertAlign w:val="superscript"/>
        </w:rPr>
      </w:pPr>
    </w:p>
    <w:p>
      <w:pPr>
        <w:ind w:left="380" w:right="180" w:hanging="372"/>
        <w:spacing w:after="0" w:line="214"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r>
      <w:tr>
        <w:trPr>
          <w:trHeight w:val="195"/>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3660" w:type="dxa"/>
            <w:vAlign w:val="bottom"/>
          </w:tcPr>
          <w:p>
            <w:pPr>
              <w:spacing w:after="0"/>
              <w:rPr>
                <w:sz w:val="24"/>
                <w:szCs w:val="24"/>
                <w:color w:val="auto"/>
              </w:rPr>
            </w:pPr>
          </w:p>
        </w:tc>
        <w:tc>
          <w:tcPr>
            <w:tcW w:w="6460" w:type="dxa"/>
            <w:vAlign w:val="bottom"/>
            <w:gridSpan w:val="2"/>
          </w:tcPr>
          <w:p>
            <w:pPr>
              <w:jc w:val="right"/>
              <w:ind w:right="431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00"/>
          </w:cols>
          <w:pgMar w:left="320" w:top="125" w:right="379" w:bottom="1440" w:gutter="0" w:footer="0" w:header="0"/>
        </w:sectPr>
      </w:pPr>
    </w:p>
    <w:bookmarkStart w:id="32" w:name="page33"/>
    <w:bookmarkEnd w:id="32"/>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1360" w:right="80" w:hanging="340"/>
        <w:spacing w:after="0" w:line="273" w:lineRule="auto"/>
        <w:tabs>
          <w:tab w:leader="none" w:pos="13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Excluded certain elements of Hubs from its assessment of internal control over financial reporting as of September 30, 2021. Those elements of the acquired business’s internal control over financial reporting that were not fully integrated into the Company’s existing internal control over financial reporting during 2021 have been excluded from management’s assessment of the effectiveness of internal control over financial reporting. Hubs is a wholly-owned subsidiary of the Company; its combined total assets (excluding goodwill) and total revenues excluded from our assessment represent approximately 4% and 6%, respectively, of the related consolidated financial statements amounts as of the nine months ended September 30, 2021; and</w:t>
      </w:r>
    </w:p>
    <w:p>
      <w:pPr>
        <w:spacing w:after="0" w:line="177" w:lineRule="exact"/>
        <w:rPr>
          <w:rFonts w:ascii="Arial" w:cs="Arial" w:eastAsia="Arial" w:hAnsi="Arial"/>
          <w:sz w:val="17"/>
          <w:szCs w:val="17"/>
          <w:color w:val="auto"/>
        </w:rPr>
      </w:pPr>
    </w:p>
    <w:p>
      <w:pPr>
        <w:ind w:right="26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2, 2021</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By: /s/ Robert Bodor</w:t>
            </w:r>
          </w:p>
        </w:tc>
      </w:tr>
      <w:tr>
        <w:trPr>
          <w:trHeight w:val="195"/>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1360" w:right="80" w:hanging="340"/>
        <w:spacing w:after="0" w:line="273" w:lineRule="auto"/>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Excluded certain elements of Hubs from its assessment of internal control over financial reporting as of September 30, 2021. Those elements of the acquired business’s internal control over financial reporting that were not fully integrated into the Company’s existing internal control over financial reporting during 2021 have been excluded from management’s assessment of the effectiveness of internal control over financial reporting. Hubs is a wholly-owned subsidiary of the Company; its combined total assets (excluding goodwill) and total revenues excluded from our assessment represent approximately 4% and 6%, respectively, of the related consolidated financial statements amounts as of the nine months ended September 30, 2021; and</w:t>
      </w:r>
    </w:p>
    <w:p>
      <w:pPr>
        <w:spacing w:after="0" w:line="177" w:lineRule="exact"/>
        <w:rPr>
          <w:rFonts w:ascii="Arial" w:cs="Arial" w:eastAsia="Arial" w:hAnsi="Arial"/>
          <w:sz w:val="17"/>
          <w:szCs w:val="17"/>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2, 2021</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By: /s/ John A. Way</w:t>
            </w:r>
          </w:p>
        </w:tc>
      </w:tr>
      <w:tr>
        <w:trPr>
          <w:trHeight w:val="195"/>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Robert Bodor, certify, pursuant to 18 U.S.C. Section 1350, as adopted pursuant to Section 906 of the Sarbanes-Oxley Act of 2002, that the Quarterly Report of Proto Labs, Inc. on Form 10-Q for the fiscal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Robert Bodor</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Robert Bodor</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decimal"/>
      <w:start w:val="1"/>
    </w:lvl>
    <w:lvl w:ilvl="1">
      <w:lvlJc w:val="left"/>
      <w:lvlText w:val="%2"/>
      <w:numFmt w:val="decimal"/>
      <w:start w:val="104"/>
    </w:lvl>
  </w:abstractNum>
  <w:abstractNum w:abstractNumId="5">
    <w:nsid w:val="41B71EFB"/>
    <w:multiLevelType w:val="hybridMultilevel"/>
    <w:lvl w:ilvl="0">
      <w:lvlJc w:val="left"/>
      <w:lvlText w:val="(%1)"/>
      <w:numFmt w:val="decimal"/>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3" Type="http://schemas.openxmlformats.org/officeDocument/2006/relationships/hyperlink" Target="http://www.sec.gov/Archives/edgar/data/1443669/000119312512054357/d199869dex32.htm" TargetMode="External"/><Relationship Id="rId84" Type="http://schemas.openxmlformats.org/officeDocument/2006/relationships/hyperlink" Target="http://www.sec.gov/Archives/edgar/data/1443669/000143774915010824/ex3-1.htm" TargetMode="External"/><Relationship Id="rId85"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2021-11-02T15:26:28Z</dcterms:created>
  <dcterms:modified xsi:type="dcterms:W3CDTF">2021-11-02T15:26:28Z</dcterms:modified>
</cp:coreProperties>
</file>