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21, 2024</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Proto Labs, Inc.</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Minnesota</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color w:val="auto"/>
              </w:rPr>
              <w:t>001-35435</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41-1939628</w:t>
            </w:r>
          </w:p>
        </w:tc>
        <w:tc>
          <w:tcPr>
            <w:tcW w:w="20" w:type="dxa"/>
            <w:vAlign w:val="bottom"/>
          </w:tcPr>
          <w:p>
            <w:pPr>
              <w:spacing w:after="0"/>
              <w:rPr>
                <w:sz w:val="20"/>
                <w:szCs w:val="20"/>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4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12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44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20" w:type="dxa"/>
            <w:vAlign w:val="bottom"/>
          </w:tcPr>
          <w:p>
            <w:pPr>
              <w:spacing w:after="0"/>
              <w:rPr>
                <w:sz w:val="20"/>
                <w:szCs w:val="20"/>
                <w:color w:val="auto"/>
              </w:rPr>
            </w:pPr>
          </w:p>
        </w:tc>
      </w:tr>
      <w:tr>
        <w:trPr>
          <w:trHeight w:val="549"/>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5540 Pioneer Creek Drive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Maple Plain, Minnesota</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55359</w:t>
            </w:r>
          </w:p>
        </w:tc>
        <w:tc>
          <w:tcPr>
            <w:tcW w:w="20" w:type="dxa"/>
            <w:vAlign w:val="bottom"/>
          </w:tcPr>
          <w:p>
            <w:pPr>
              <w:spacing w:after="0"/>
              <w:rPr>
                <w:sz w:val="20"/>
                <w:szCs w:val="20"/>
                <w:color w:val="auto"/>
              </w:rPr>
            </w:pPr>
          </w:p>
        </w:tc>
      </w:tr>
      <w:tr>
        <w:trPr>
          <w:trHeight w:val="27"/>
        </w:trPr>
        <w:tc>
          <w:tcPr>
            <w:tcW w:w="44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527"/>
        </w:trPr>
        <w:tc>
          <w:tcPr>
            <w:tcW w:w="7520" w:type="dxa"/>
            <w:vAlign w:val="bottom"/>
            <w:gridSpan w:val="7"/>
          </w:tcPr>
          <w:p>
            <w:pPr>
              <w:jc w:val="center"/>
              <w:ind w:right="19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(763) 479-3680</w:t>
            </w:r>
          </w:p>
        </w:tc>
        <w:tc>
          <w:tcPr>
            <w:tcW w:w="2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9"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345"/>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20" w:firstLine="255"/>
        <w:spacing w:after="0" w:line="448" w:lineRule="auto"/>
        <w:tabs>
          <w:tab w:leader="none" w:pos="59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8"/>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PRLB</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19" w:right="319" w:bottom="1440" w:gutter="0" w:footer="0" w:header="0"/>
        </w:sectPr>
      </w:pPr>
    </w:p>
    <w:bookmarkStart w:id="1" w:name="page2"/>
    <w:bookmarkEnd w:id="1"/>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21, 2024, the Board of Directors of Proto Labs, Inc. (the “Company”)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Affected employees in Germany will receive severance and other transition assistance that meet or exceed local requirements. The Company expects to substantially complete the plan within the next year.</w:t>
      </w:r>
    </w:p>
    <w:p>
      <w:pPr>
        <w:spacing w:after="0" w:line="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The Company will continue offering all its manufacturing services to customers across Europe, including injection molding and metal 3D printing. These services will be fulfilled through internal manufacturing facilities and a network of manufacturing partners, consistent with the Company's recently announced global operations organization.</w:t>
      </w:r>
    </w:p>
    <w:p>
      <w:pPr>
        <w:spacing w:after="0" w:line="2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approved plan is expected to lead to total restructuring charges in the range of $4.5 million to $6.0 million, consisting of approximately $2.5 million to $3.5 million in severance and other employee-related costs, and $2.0 million to $2.5 million in fixed asset and facility related write-down expenses. The company expects to incur approximately $4.0 million of the total restructuring charge in the fourth quarter of 2024, with the remaining charge to be incurred throughout the remainder of the restructuring process.</w:t>
      </w:r>
    </w:p>
    <w:p>
      <w:pPr>
        <w:spacing w:after="0" w:line="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total cash expenditures associated with the plan are expected to be in the range of $3.0 million to $4.0 million, consisting primarily of severance and other employee related costs.</w:t>
      </w:r>
    </w:p>
    <w:p>
      <w:pPr>
        <w:spacing w:after="0" w:line="257"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2.06.</w:t>
      </w:r>
      <w:r>
        <w:rPr>
          <w:sz w:val="20"/>
          <w:szCs w:val="20"/>
          <w:color w:val="auto"/>
        </w:rPr>
        <w:tab/>
      </w:r>
      <w:r>
        <w:rPr>
          <w:rFonts w:ascii="Times New Roman" w:cs="Times New Roman" w:eastAsia="Times New Roman" w:hAnsi="Times New Roman"/>
          <w:sz w:val="17"/>
          <w:szCs w:val="17"/>
          <w:b w:val="1"/>
          <w:bCs w:val="1"/>
          <w:color w:val="auto"/>
        </w:rPr>
        <w:t>Material Impairments.</w:t>
      </w:r>
    </w:p>
    <w:p>
      <w:pPr>
        <w:spacing w:after="0" w:line="256" w:lineRule="exact"/>
        <w:rPr>
          <w:sz w:val="20"/>
          <w:szCs w:val="20"/>
          <w:color w:val="auto"/>
        </w:rPr>
      </w:pPr>
    </w:p>
    <w:p>
      <w:pPr>
        <w:ind w:right="1520"/>
        <w:spacing w:after="0" w:line="399" w:lineRule="auto"/>
        <w:rPr>
          <w:sz w:val="20"/>
          <w:szCs w:val="20"/>
          <w:color w:val="auto"/>
        </w:rPr>
      </w:pPr>
      <w:r>
        <w:rPr>
          <w:rFonts w:ascii="Times New Roman" w:cs="Times New Roman" w:eastAsia="Times New Roman" w:hAnsi="Times New Roman"/>
          <w:sz w:val="18"/>
          <w:szCs w:val="18"/>
          <w:color w:val="auto"/>
        </w:rPr>
        <w:t xml:space="preserve">To the extent required, the information contained in Item 2.05 of this Current Report on Form 8-K is incorporated by reference herein. </w:t>
      </w:r>
      <w:r>
        <w:rPr>
          <w:rFonts w:ascii="Times New Roman" w:cs="Times New Roman" w:eastAsia="Times New Roman" w:hAnsi="Times New Roman"/>
          <w:sz w:val="18"/>
          <w:szCs w:val="18"/>
          <w:b w:val="1"/>
          <w:bCs w:val="1"/>
          <w:color w:val="auto"/>
        </w:rPr>
        <w:t>Forward-Looking Statements</w:t>
      </w:r>
    </w:p>
    <w:p>
      <w:pPr>
        <w:ind w:right="40"/>
        <w:spacing w:after="0" w:line="254"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or current facts are “forward-looking statements” within the meaning of The Private Securities Litigation Reform Act of 1995. These statements involve known and unknown risks, uncertainties, and other factors which may cause the results of the Company to be materially different than those expressed or implied in such statements. Certain of these risk factors and others are described in the “Risk Factors” section within reports filed with the Securities and Exchange Commission. Other unknown or unpredictable factors also could have material adverse effects on the Company’s future results. The forward-looking statements included in this Current Report on Form 8-K are made only as of the date hereof. The Company cannot guarantee future results, levels of activity, performance, or achievements. Accordingly, you should not place undue reliance on these forward-looking statements. To the extent permitted under applicable law, the Company expressly disclaims any intent or obligation to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Proto Labs, Inc.</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800" w:val="left"/>
          <w:tab w:leader="none" w:pos="6020" w:val="left"/>
          <w:tab w:leader="none" w:pos="6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Bodor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34290</wp:posOffset>
            </wp:positionV>
            <wp:extent cx="2160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Robert Bodor</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2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2024-10-25T05:19:48Z</dcterms:created>
  <dcterms:modified xsi:type="dcterms:W3CDTF">2024-10-25T05:19:48Z</dcterms:modified>
</cp:coreProperties>
</file>