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9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color w:val="auto"/>
        </w:rPr>
        <w:t>(Mark One)</w:t>
      </w:r>
    </w:p>
    <w:p>
      <w:pPr>
        <w:spacing w:after="0" w:line="155" w:lineRule="exact"/>
        <w:rPr>
          <w:sz w:val="24"/>
          <w:szCs w:val="24"/>
          <w:color w:val="auto"/>
        </w:rPr>
      </w:pPr>
    </w:p>
    <w:p>
      <w:pPr>
        <w:ind w:left="480" w:right="1920" w:hanging="458"/>
        <w:spacing w:after="0" w:line="346" w:lineRule="auto"/>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2025</w:t>
      </w:r>
    </w:p>
    <w:p>
      <w:pPr>
        <w:spacing w:after="0" w:line="10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70" w:lineRule="exact"/>
        <w:rPr>
          <w:sz w:val="24"/>
          <w:szCs w:val="24"/>
          <w:color w:val="auto"/>
        </w:rPr>
      </w:pPr>
    </w:p>
    <w:p>
      <w:pPr>
        <w:ind w:left="480" w:right="1920" w:hanging="458"/>
        <w:spacing w:after="0" w:line="336" w:lineRule="auto"/>
        <w:tabs>
          <w:tab w:leader="none" w:pos="48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 to ___________</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001-35435</w:t>
      </w:r>
    </w:p>
    <w:p>
      <w:pPr>
        <w:spacing w:after="0" w:line="1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Proto Labs,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229"/>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Minnesota</w:t>
            </w:r>
          </w:p>
        </w:tc>
        <w:tc>
          <w:tcPr>
            <w:tcW w:w="366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41-1939628</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457"/>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b w:val="1"/>
                <w:bCs w:val="1"/>
                <w:color w:val="auto"/>
              </w:rPr>
              <w:t>5540 Pioneer Creek Drive</w:t>
            </w:r>
          </w:p>
        </w:tc>
        <w:tc>
          <w:tcPr>
            <w:tcW w:w="3660" w:type="dxa"/>
            <w:vAlign w:val="bottom"/>
          </w:tcPr>
          <w:p>
            <w:pPr>
              <w:spacing w:after="0"/>
              <w:rPr>
                <w:sz w:val="24"/>
                <w:szCs w:val="24"/>
                <w:color w:val="auto"/>
              </w:rPr>
            </w:pPr>
          </w:p>
        </w:tc>
      </w:tr>
      <w:tr>
        <w:trPr>
          <w:trHeight w:val="248"/>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Maple Plain, Minnesota</w:t>
            </w:r>
          </w:p>
        </w:tc>
        <w:tc>
          <w:tcPr>
            <w:tcW w:w="3660" w:type="dxa"/>
            <w:vAlign w:val="bottom"/>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rPr>
              <w:t>55359</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(763) 479-3680</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55"/>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41"/>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PRLB</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65" w:lineRule="exact"/>
        <w:rPr>
          <w:sz w:val="24"/>
          <w:szCs w:val="24"/>
          <w:color w:val="auto"/>
        </w:rPr>
      </w:pPr>
    </w:p>
    <w:p>
      <w:pPr>
        <w:ind w:right="200" w:firstLine="47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60" w:lineRule="exact"/>
        <w:rPr>
          <w:sz w:val="24"/>
          <w:szCs w:val="24"/>
          <w:color w:val="auto"/>
        </w:rPr>
      </w:pPr>
    </w:p>
    <w:p>
      <w:pPr>
        <w:ind w:right="260" w:firstLine="47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58" w:lineRule="exact"/>
        <w:rPr>
          <w:sz w:val="24"/>
          <w:szCs w:val="24"/>
          <w:color w:val="auto"/>
        </w:rPr>
      </w:pPr>
    </w:p>
    <w:p>
      <w:pPr>
        <w:jc w:val="both"/>
        <w:ind w:right="120" w:firstLine="47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80" w:type="dxa"/>
            <w:vAlign w:val="bottom"/>
          </w:tcPr>
          <w:p>
            <w:pPr>
              <w:ind w:left="760"/>
              <w:spacing w:after="0" w:line="171" w:lineRule="exact"/>
              <w:rPr>
                <w:sz w:val="20"/>
                <w:szCs w:val="20"/>
                <w:color w:val="auto"/>
              </w:rPr>
            </w:pPr>
            <w:r>
              <w:rPr>
                <w:rFonts w:ascii="MS PGothic" w:cs="MS PGothic" w:eastAsia="MS PGothic" w:hAnsi="MS PGothic"/>
                <w:sz w:val="17"/>
                <w:szCs w:val="17"/>
                <w:color w:val="auto"/>
              </w:rPr>
              <w:t>☑</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r>
        <w:trPr>
          <w:trHeight w:val="22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8"/>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bl>
    <w:p>
      <w:pPr>
        <w:spacing w:after="0" w:line="191" w:lineRule="exact"/>
        <w:rPr>
          <w:sz w:val="24"/>
          <w:szCs w:val="24"/>
          <w:color w:val="auto"/>
        </w:rPr>
      </w:pPr>
    </w:p>
    <w:p>
      <w:pPr>
        <w:ind w:right="80" w:firstLine="470"/>
        <w:spacing w:after="0" w:line="29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4" w:lineRule="exact"/>
        <w:rPr>
          <w:sz w:val="24"/>
          <w:szCs w:val="24"/>
          <w:color w:val="auto"/>
        </w:rPr>
      </w:pPr>
    </w:p>
    <w:p>
      <w:pPr>
        <w:ind w:left="4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w:t>
      </w:r>
    </w:p>
    <w:p>
      <w:pPr>
        <w:spacing w:after="0" w:line="157" w:lineRule="exact"/>
        <w:rPr>
          <w:sz w:val="24"/>
          <w:szCs w:val="24"/>
          <w:color w:val="auto"/>
        </w:rPr>
      </w:pPr>
    </w:p>
    <w:p>
      <w:pPr>
        <w:ind w:right="60" w:firstLine="470"/>
        <w:spacing w:after="0" w:line="29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23,770,640 shares of Common Stock, par value $0.001 per share, were outstanding at April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681355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38735</wp:posOffset>
            </wp:positionV>
            <wp:extent cx="6899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63500</wp:posOffset>
            </wp:positionV>
            <wp:extent cx="6899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1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953"/>
        </w:trPr>
        <w:tc>
          <w:tcPr>
            <w:tcW w:w="1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20" w:type="dxa"/>
            <w:vAlign w:val="bottom"/>
            <w:gridSpan w:val="9"/>
          </w:tcPr>
          <w:p>
            <w:pPr>
              <w:jc w:val="center"/>
              <w:ind w:right="2340"/>
              <w:spacing w:after="0"/>
              <w:rPr>
                <w:sz w:val="20"/>
                <w:szCs w:val="20"/>
                <w:color w:val="auto"/>
              </w:rPr>
            </w:pPr>
            <w:r>
              <w:rPr>
                <w:rFonts w:ascii="Times New Roman" w:cs="Times New Roman" w:eastAsia="Times New Roman" w:hAnsi="Times New Roman"/>
                <w:sz w:val="17"/>
                <w:szCs w:val="17"/>
                <w:b w:val="1"/>
                <w:bCs w:val="1"/>
                <w:color w:val="auto"/>
              </w:rPr>
              <w:t>Proto Labs, Inc.</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9"/>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1"/>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Item</w:t>
            </w:r>
          </w:p>
        </w:tc>
        <w:tc>
          <w:tcPr>
            <w:tcW w:w="120" w:type="dxa"/>
            <w:vAlign w:val="bottom"/>
          </w:tcPr>
          <w:p>
            <w:pPr>
              <w:spacing w:after="0"/>
              <w:rPr>
                <w:sz w:val="24"/>
                <w:szCs w:val="24"/>
                <w:color w:val="auto"/>
              </w:rPr>
            </w:pPr>
          </w:p>
        </w:tc>
        <w:tc>
          <w:tcPr>
            <w:tcW w:w="878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80" w:type="dxa"/>
            <w:vAlign w:val="bottom"/>
          </w:tcPr>
          <w:p>
            <w:pPr>
              <w:spacing w:after="0"/>
              <w:rPr>
                <w:sz w:val="24"/>
                <w:szCs w:val="24"/>
                <w:color w:val="auto"/>
              </w:rPr>
            </w:pPr>
          </w:p>
        </w:tc>
        <w:tc>
          <w:tcPr>
            <w:tcW w:w="1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444"/>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7"/>
          </w:tcPr>
          <w:p>
            <w:pPr>
              <w:jc w:val="center"/>
              <w:ind w:right="4220"/>
              <w:spacing w:after="0"/>
              <w:rPr>
                <w:sz w:val="20"/>
                <w:szCs w:val="20"/>
                <w:color w:val="auto"/>
              </w:rPr>
            </w:pPr>
            <w:r>
              <w:rPr>
                <w:rFonts w:ascii="Times New Roman" w:cs="Times New Roman" w:eastAsia="Times New Roman" w:hAnsi="Times New Roman"/>
                <w:sz w:val="17"/>
                <w:szCs w:val="17"/>
                <w:color w:val="0000EE"/>
                <w:w w:val="97"/>
              </w:rPr>
              <w:t>PART I</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Financial Statements</w:t>
            </w:r>
          </w:p>
        </w:tc>
        <w:tc>
          <w:tcPr>
            <w:tcW w:w="2660" w:type="dxa"/>
            <w:vAlign w:val="bottom"/>
            <w:gridSpan w:val="4"/>
          </w:tcPr>
          <w:p>
            <w:pPr>
              <w:spacing w:after="0"/>
              <w:rPr>
                <w:sz w:val="19"/>
                <w:szCs w:val="19"/>
                <w:color w:val="auto"/>
              </w:rPr>
            </w:pPr>
          </w:p>
        </w:tc>
        <w:tc>
          <w:tcPr>
            <w:tcW w:w="520" w:type="dxa"/>
            <w:vAlign w:val="bottom"/>
            <w:tcBorders>
              <w:top w:val="single" w:sz="8" w:color="0000EE"/>
            </w:tcBorders>
            <w:gridSpan w:val="3"/>
          </w:tcPr>
          <w:p>
            <w:pPr>
              <w:spacing w:after="0"/>
              <w:rPr>
                <w:sz w:val="19"/>
                <w:szCs w:val="19"/>
                <w:color w:val="auto"/>
              </w:rPr>
            </w:pPr>
          </w:p>
        </w:tc>
        <w:tc>
          <w:tcPr>
            <w:tcW w:w="4220" w:type="dxa"/>
            <w:vAlign w:val="bottom"/>
            <w:gridSpan w:val="4"/>
          </w:tcPr>
          <w:p>
            <w:pPr>
              <w:spacing w:after="0"/>
              <w:rPr>
                <w:sz w:val="19"/>
                <w:szCs w:val="19"/>
                <w:color w:val="auto"/>
              </w:rPr>
            </w:pPr>
          </w:p>
        </w:tc>
        <w:tc>
          <w:tcPr>
            <w:tcW w:w="660" w:type="dxa"/>
            <w:vAlign w:val="bottom"/>
            <w:gridSpan w:val="4"/>
          </w:tcPr>
          <w:p>
            <w:pPr>
              <w:jc w:val="center"/>
              <w:ind w:left="413"/>
              <w:spacing w:after="0"/>
              <w:rPr>
                <w:sz w:val="20"/>
                <w:szCs w:val="20"/>
                <w:color w:val="auto"/>
              </w:rPr>
            </w:pPr>
            <w:r>
              <w:rPr>
                <w:rFonts w:ascii="Times New Roman" w:cs="Times New Roman" w:eastAsia="Times New Roman" w:hAnsi="Times New Roman"/>
                <w:sz w:val="17"/>
                <w:szCs w:val="17"/>
                <w:color w:val="0000EE"/>
                <w:w w:val="93"/>
              </w:rPr>
              <w:t>2</w:t>
            </w:r>
          </w:p>
        </w:tc>
        <w:tc>
          <w:tcPr>
            <w:tcW w:w="48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26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16</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262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24</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416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Controls and Procedures</w:t>
            </w:r>
          </w:p>
        </w:tc>
        <w:tc>
          <w:tcPr>
            <w:tcW w:w="4700" w:type="dxa"/>
            <w:vAlign w:val="bottom"/>
            <w:gridSpan w:val="6"/>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24</w:t>
            </w:r>
          </w:p>
        </w:tc>
      </w:tr>
      <w:tr>
        <w:trPr>
          <w:trHeight w:val="228"/>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color w:val="0000EE"/>
                <w:w w:val="98"/>
              </w:rPr>
              <w:t>PART II</w:t>
            </w:r>
          </w:p>
        </w:tc>
        <w:tc>
          <w:tcPr>
            <w:tcW w:w="48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580" w:type="dxa"/>
            <w:vAlign w:val="bottom"/>
            <w:tcBorders>
              <w:top w:val="single" w:sz="8" w:color="0000EE"/>
            </w:tcBorders>
            <w:gridSpan w:val="5"/>
          </w:tcPr>
          <w:p>
            <w:pPr>
              <w:spacing w:after="0"/>
              <w:rPr>
                <w:sz w:val="19"/>
                <w:szCs w:val="19"/>
                <w:color w:val="auto"/>
              </w:rPr>
            </w:pPr>
          </w:p>
        </w:tc>
        <w:tc>
          <w:tcPr>
            <w:tcW w:w="4180" w:type="dxa"/>
            <w:vAlign w:val="bottom"/>
            <w:gridSpan w:val="3"/>
          </w:tcPr>
          <w:p>
            <w:pPr>
              <w:spacing w:after="0"/>
              <w:rPr>
                <w:sz w:val="19"/>
                <w:szCs w:val="19"/>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25</w:t>
            </w:r>
          </w:p>
        </w:tc>
      </w:tr>
      <w:tr>
        <w:trPr>
          <w:trHeight w:val="20"/>
        </w:trPr>
        <w:tc>
          <w:tcPr>
            <w:tcW w:w="124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1A.</w:t>
            </w: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380" w:type="dxa"/>
            <w:vAlign w:val="bottom"/>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25</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25</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420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Defaults Upon Senior Securities</w:t>
            </w:r>
          </w:p>
        </w:tc>
        <w:tc>
          <w:tcPr>
            <w:tcW w:w="4660" w:type="dxa"/>
            <w:vAlign w:val="bottom"/>
            <w:gridSpan w:val="5"/>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25</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0"/>
                <w:szCs w:val="20"/>
                <w:color w:val="auto"/>
              </w:rPr>
            </w:pPr>
          </w:p>
        </w:tc>
        <w:tc>
          <w:tcPr>
            <w:tcW w:w="224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Mine Safety Disclosures</w:t>
            </w:r>
          </w:p>
        </w:tc>
        <w:tc>
          <w:tcPr>
            <w:tcW w:w="6620" w:type="dxa"/>
            <w:vAlign w:val="bottom"/>
            <w:gridSpan w:val="9"/>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25</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7160" w:type="dxa"/>
            <w:vAlign w:val="bottom"/>
            <w:gridSpan w:val="10"/>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25</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EE"/>
                <w:w w:val="98"/>
              </w:rPr>
              <w:t>Exhibits</w:t>
            </w:r>
          </w:p>
        </w:tc>
        <w:tc>
          <w:tcPr>
            <w:tcW w:w="680" w:type="dxa"/>
            <w:vAlign w:val="bottom"/>
            <w:gridSpan w:val="2"/>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26</w:t>
            </w:r>
          </w:p>
        </w:tc>
      </w:tr>
      <w:tr>
        <w:trPr>
          <w:trHeight w:val="908"/>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60" w:type="dxa"/>
            <w:vAlign w:val="bottom"/>
            <w:gridSpan w:val="10"/>
          </w:tcPr>
          <w:p>
            <w:pPr>
              <w:jc w:val="center"/>
              <w:ind w:left="3453"/>
              <w:spacing w:after="0"/>
              <w:rPr>
                <w:sz w:val="20"/>
                <w:szCs w:val="20"/>
                <w:color w:val="auto"/>
              </w:rPr>
            </w:pPr>
            <w:r>
              <w:rPr>
                <w:rFonts w:ascii="Times New Roman" w:cs="Times New Roman" w:eastAsia="Times New Roman" w:hAnsi="Times New Roman"/>
                <w:sz w:val="17"/>
                <w:szCs w:val="17"/>
                <w:color w:val="auto"/>
                <w:w w:val="93"/>
              </w:rPr>
              <w:t>1</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r>
        <w:trPr>
          <w:trHeight w:val="98"/>
        </w:trPr>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20" w:type="dxa"/>
            <w:vAlign w:val="bottom"/>
          </w:tcPr>
          <w:p>
            <w:pPr>
              <w:spacing w:after="0"/>
              <w:rPr>
                <w:sz w:val="14"/>
                <w:szCs w:val="14"/>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8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6"/>
        </w:trPr>
        <w:tc>
          <w:tcPr>
            <w:tcW w:w="8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9"/>
        </w:trPr>
        <w:tc>
          <w:tcPr>
            <w:tcW w:w="8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82,692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89,071</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14,019</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$2,103 and $1,975 as of March 31, 2025, and December 31, 2024,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73,904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66,504</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12,305</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10,049</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194,410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194,854</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227,263</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21,422</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17,773</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4,524</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0"/>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737,450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743,512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15,504</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16,550</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19,621</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finance lease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53,271</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finance lease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deferred tax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13,565</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80,649</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73,361</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91"/>
        </w:trPr>
        <w:tc>
          <w:tcPr>
            <w:tcW w:w="8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74"/>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stock, $0.001 par value, authorized 10,000,000 shares; issued and outstanding 0 shares as of each of March 31, 2025, and</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9"/>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December 31, 2024</w:t>
            </w: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Common stock, $0.001 par value, authorized 150,000,000 shares; issued and outstanding 23,770,640 and 24,226,088 shares as of March 31,</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2025, and December 31, 2024, respectively</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447,115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453,705</w:t>
            </w:r>
          </w:p>
        </w:tc>
      </w:tr>
      <w:tr>
        <w:trPr>
          <w:trHeight w:val="186"/>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236,554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244,406</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(27,984)</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656,801</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670,151</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0"/>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737,450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743,512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8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6"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5156200</wp:posOffset>
            </wp:positionH>
            <wp:positionV relativeFrom="paragraph">
              <wp:posOffset>25400</wp:posOffset>
            </wp:positionV>
            <wp:extent cx="1983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310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5"/>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126,205</w:t>
            </w:r>
          </w:p>
        </w:tc>
        <w:tc>
          <w:tcPr>
            <w:tcW w:w="8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127,890</w:t>
            </w: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70,507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70,423</w:t>
            </w:r>
          </w:p>
        </w:tc>
      </w:tr>
      <w:tr>
        <w:trPr>
          <w:trHeight w:val="228"/>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55,698</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57,467</w:t>
            </w: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5"/>
        </w:trPr>
        <w:tc>
          <w:tcPr>
            <w:tcW w:w="8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Marketing and sales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23,160</w:t>
            </w: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1"/>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11,167</w:t>
            </w:r>
          </w:p>
        </w:tc>
      </w:tr>
      <w:tr>
        <w:trPr>
          <w:trHeight w:val="235"/>
        </w:trPr>
        <w:tc>
          <w:tcPr>
            <w:tcW w:w="8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16,848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16,313</w:t>
            </w: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1"/>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Benefits related to exit and disposal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81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51,167</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50,640</w:t>
            </w:r>
          </w:p>
        </w:tc>
      </w:tr>
      <w:tr>
        <w:trPr>
          <w:trHeight w:val="26"/>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4"/>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6,827</w:t>
            </w:r>
          </w:p>
        </w:tc>
      </w:tr>
      <w:tr>
        <w:trPr>
          <w:trHeight w:val="235"/>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r>
      <w:tr>
        <w:trPr>
          <w:trHeight w:val="26"/>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4"/>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7,726</w:t>
            </w:r>
          </w:p>
        </w:tc>
      </w:tr>
      <w:tr>
        <w:trPr>
          <w:trHeight w:val="235"/>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2,458</w:t>
            </w:r>
          </w:p>
        </w:tc>
      </w:tr>
      <w:tr>
        <w:trPr>
          <w:trHeight w:val="26"/>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9"/>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8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4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5"/>
        </w:trPr>
        <w:tc>
          <w:tcPr>
            <w:tcW w:w="8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8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r>
      <w:tr>
        <w:trPr>
          <w:trHeight w:val="26"/>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9"/>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8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4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used to compute 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5"/>
        </w:trPr>
        <w:tc>
          <w:tcPr>
            <w:tcW w:w="8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24,135,320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25,624,949</w:t>
            </w: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1"/>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24,435,844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25,784,987</w:t>
            </w:r>
          </w:p>
        </w:tc>
      </w:tr>
      <w:tr>
        <w:trPr>
          <w:trHeight w:val="209"/>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(net of tax)</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5"/>
        </w:trPr>
        <w:tc>
          <w:tcPr>
            <w:tcW w:w="8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Comprehensive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4,692</w:t>
            </w:r>
          </w:p>
        </w:tc>
        <w:tc>
          <w:tcPr>
            <w:tcW w:w="8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w:t>
            </w:r>
          </w:p>
        </w:tc>
      </w:tr>
      <w:tr>
        <w:trPr>
          <w:trHeight w:val="26"/>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3"/>
        </w:trPr>
        <w:tc>
          <w:tcPr>
            <w:tcW w:w="8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24,226,088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453,705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244,406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670,151</w:t>
            </w:r>
          </w:p>
        </w:tc>
        <w:tc>
          <w:tcPr>
            <w:tcW w:w="0" w:type="dxa"/>
            <w:vAlign w:val="bottom"/>
          </w:tcPr>
          <w:p>
            <w:pPr>
              <w:spacing w:after="0"/>
              <w:rPr>
                <w:sz w:val="1"/>
                <w:szCs w:val="1"/>
                <w:color w:val="auto"/>
              </w:rPr>
            </w:pPr>
          </w:p>
        </w:tc>
      </w:tr>
      <w:tr>
        <w:trPr>
          <w:trHeight w:val="160"/>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(513,739)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(21,073)</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23,770,640</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447,115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236,554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(26,891)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656,801</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3"/>
        </w:trPr>
        <w:tc>
          <w:tcPr>
            <w:tcW w:w="3860" w:type="dxa"/>
            <w:vAlign w:val="bottom"/>
          </w:tcPr>
          <w:p>
            <w:pPr>
              <w:spacing w:after="0"/>
              <w:rPr>
                <w:sz w:val="24"/>
                <w:szCs w:val="24"/>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25,721,957</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466,884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695,295</w:t>
            </w:r>
          </w:p>
        </w:tc>
        <w:tc>
          <w:tcPr>
            <w:tcW w:w="0" w:type="dxa"/>
            <w:vAlign w:val="bottom"/>
          </w:tcPr>
          <w:p>
            <w:pPr>
              <w:spacing w:after="0"/>
              <w:rPr>
                <w:sz w:val="1"/>
                <w:szCs w:val="1"/>
                <w:color w:val="auto"/>
              </w:rPr>
            </w:pPr>
          </w:p>
        </w:tc>
      </w:tr>
      <w:tr>
        <w:trPr>
          <w:trHeight w:val="160"/>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(435,861)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(16,164)</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25,316,070</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462,715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(28,845)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687,310</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5,268</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(2,247)</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Interest on finance lease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Impairments related to exit and closure of facilities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Gain on disposal of property and equipment</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5,457</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Accrued liabilities and other</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18,379</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21,338</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Purchases of property, equipment and other capital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sales of property, equipment and other capital assets</w:t>
            </w: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call redemptions and maturities of marketable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6,984</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4,419</w:t>
            </w:r>
          </w:p>
        </w:tc>
      </w:tr>
      <w:tr>
        <w:trPr>
          <w:trHeight w:val="124"/>
        </w:trPr>
        <w:tc>
          <w:tcPr>
            <w:tcW w:w="82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issuance of common stock from equity plans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Purchases of shares withheld for tax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(16,013)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Principal repayments of finance lease obligations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(21,927)</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(16,619)</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 increase in cash and cash 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9,014</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period</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89,071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83,790</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82,692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92,804</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0"/>
        </w:trPr>
        <w:tc>
          <w:tcPr>
            <w:tcW w:w="8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Basis of Presentation</w:t>
      </w:r>
    </w:p>
    <w:p>
      <w:pPr>
        <w:spacing w:after="0" w:line="18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2024, as filed with the Securities and Exchange Commission (SEC) on February 21, 2025</w:t>
      </w:r>
      <w:r>
        <w:rPr>
          <w:rFonts w:ascii="Times New Roman" w:cs="Times New Roman" w:eastAsia="Times New Roman" w:hAnsi="Times New Roman"/>
          <w:sz w:val="17"/>
          <w:szCs w:val="17"/>
          <w:i w:val="1"/>
          <w:iCs w:val="1"/>
          <w:color w:val="auto"/>
        </w:rPr>
        <w:t>.</w:t>
      </w:r>
    </w:p>
    <w:p>
      <w:pPr>
        <w:spacing w:after="0" w:line="34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accompanying Consolidated Balance Sheet as of December 31, 2024 was derived from the audited Consolidated Financial Statements but does not include all disclosures required by U.S. GAAP for a full set of financial statements. This Quarterly Report on Form 10-Q should be read in conjunction with the Company’s Consolidated Financial Statements and Notes included in the Company's Annual Report on Form 10-K filed on February 21, 2025 as referenced above.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Recent Accounting Pronouncements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did not recently adopt any accounting pronouncements that had a material impact on the Company's Consolidated Financial Statements.</w:t>
      </w:r>
    </w:p>
    <w:p>
      <w:pPr>
        <w:spacing w:after="0" w:line="18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Accounting Standards Update (ASU) No. 2023-09,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that enhances the transparency of income tax disclosures by expanding annual disclosure requirements related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 reconciliation and income taxes paid. The Company is required to adopt this guidance for its annual year ending December 31, 2025. Early adoption is permitted. The Company is currently evaluating the impact of this guidance on its disclosures.</w:t>
      </w:r>
    </w:p>
    <w:p>
      <w:pPr>
        <w:spacing w:after="0" w:line="14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 xml:space="preserve">In November 2024, the FASB issued ASU No. 2024-03, </w:t>
      </w:r>
      <w:r>
        <w:rPr>
          <w:rFonts w:ascii="Times New Roman" w:cs="Times New Roman" w:eastAsia="Times New Roman" w:hAnsi="Times New Roman"/>
          <w:sz w:val="17"/>
          <w:szCs w:val="17"/>
          <w:i w:val="1"/>
          <w:iCs w:val="1"/>
          <w:color w:val="auto"/>
        </w:rPr>
        <w:t>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220-40): Disaggregation of Income Statement Expenses</w:t>
      </w:r>
      <w:r>
        <w:rPr>
          <w:rFonts w:ascii="Times New Roman" w:cs="Times New Roman" w:eastAsia="Times New Roman" w:hAnsi="Times New Roman"/>
          <w:sz w:val="17"/>
          <w:szCs w:val="17"/>
          <w:color w:val="auto"/>
        </w:rPr>
        <w:t>, which is intended to improve disclosures about a public business entity's expenses, primarily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disaggregation of income statement expenses. ASU 2024-03 is effective for annual periods beginning after December 15, 2026, and interim periods beginning after December 15, 2027, with early adoption permitted. The Company is currently evaluating ASU 2024-03 to determine the impact on the Company's disclosures.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Net Income per Common Share</w:t>
      </w:r>
    </w:p>
    <w:p>
      <w:pPr>
        <w:spacing w:after="0" w:line="19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Anti-dilutive options were excluded from the calculation of diluted weighted average shares outstanding and were 436,669 and 421,937 for the three months ended March 31, 2025 and 2024</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respectively.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6"/>
          </w:tcPr>
          <w:p>
            <w:pPr>
              <w:jc w:val="center"/>
              <w:ind w:right="538"/>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36"/>
        </w:trPr>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center"/>
              <w:ind w:left="377"/>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7"/>
                <w:szCs w:val="17"/>
                <w:color w:val="auto"/>
              </w:rPr>
              <w:t>(in thousands, except share and per share amounts)</w:t>
            </w: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48"/>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5,268</w:t>
            </w:r>
          </w:p>
        </w:tc>
        <w:tc>
          <w:tcPr>
            <w:tcW w:w="0" w:type="dxa"/>
            <w:vAlign w:val="bottom"/>
          </w:tcPr>
          <w:p>
            <w:pPr>
              <w:spacing w:after="0"/>
              <w:rPr>
                <w:sz w:val="1"/>
                <w:szCs w:val="1"/>
                <w:color w:val="auto"/>
              </w:rPr>
            </w:pPr>
          </w:p>
        </w:tc>
      </w:tr>
      <w:tr>
        <w:trPr>
          <w:trHeight w:val="261"/>
        </w:trPr>
        <w:tc>
          <w:tcPr>
            <w:tcW w:w="2860" w:type="dxa"/>
            <w:vAlign w:val="bottom"/>
            <w:gridSpan w:val="3"/>
          </w:tcPr>
          <w:p>
            <w:pPr>
              <w:spacing w:after="0"/>
              <w:rPr>
                <w:sz w:val="22"/>
                <w:szCs w:val="22"/>
                <w:color w:val="auto"/>
              </w:rPr>
            </w:pPr>
          </w:p>
        </w:tc>
        <w:tc>
          <w:tcPr>
            <w:tcW w:w="1440" w:type="dxa"/>
            <w:vAlign w:val="bottom"/>
            <w:gridSpan w:val="3"/>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4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 weighted-average shares outstanding:</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24,135,320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25,624,949</w:t>
            </w:r>
          </w:p>
        </w:tc>
        <w:tc>
          <w:tcPr>
            <w:tcW w:w="0" w:type="dxa"/>
            <w:vAlign w:val="bottom"/>
          </w:tcPr>
          <w:p>
            <w:pPr>
              <w:spacing w:after="0"/>
              <w:rPr>
                <w:sz w:val="1"/>
                <w:szCs w:val="1"/>
                <w:color w:val="auto"/>
              </w:rPr>
            </w:pPr>
          </w:p>
        </w:tc>
      </w:tr>
      <w:tr>
        <w:trPr>
          <w:trHeight w:val="242"/>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9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Employee stock options and other</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center"/>
              <w:ind w:left="276"/>
              <w:spacing w:after="0"/>
              <w:rPr>
                <w:sz w:val="20"/>
                <w:szCs w:val="20"/>
                <w:color w:val="auto"/>
              </w:rPr>
            </w:pPr>
            <w:r>
              <w:rPr>
                <w:rFonts w:ascii="Times New Roman" w:cs="Times New Roman" w:eastAsia="Times New Roman" w:hAnsi="Times New Roman"/>
                <w:sz w:val="17"/>
                <w:szCs w:val="17"/>
                <w:color w:val="auto"/>
              </w:rPr>
              <w:t>300,524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160,038</w:t>
            </w:r>
          </w:p>
        </w:tc>
        <w:tc>
          <w:tcPr>
            <w:tcW w:w="0" w:type="dxa"/>
            <w:vAlign w:val="bottom"/>
          </w:tcPr>
          <w:p>
            <w:pPr>
              <w:spacing w:after="0"/>
              <w:rPr>
                <w:sz w:val="1"/>
                <w:szCs w:val="1"/>
                <w:color w:val="auto"/>
              </w:rPr>
            </w:pPr>
          </w:p>
        </w:tc>
      </w:tr>
      <w:tr>
        <w:trPr>
          <w:trHeight w:val="248"/>
        </w:trPr>
        <w:tc>
          <w:tcPr>
            <w:tcW w:w="44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Diluted - weighted-average shares outstanding:</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24,435,844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25,784,987</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gridSpan w:val="3"/>
          </w:tcPr>
          <w:p>
            <w:pPr>
              <w:spacing w:after="0" w:line="20" w:lineRule="exact"/>
              <w:rPr>
                <w:sz w:val="1"/>
                <w:szCs w:val="1"/>
                <w:color w:val="auto"/>
              </w:rPr>
            </w:pPr>
          </w:p>
        </w:tc>
        <w:tc>
          <w:tcPr>
            <w:tcW w:w="14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2"/>
        </w:trPr>
        <w:tc>
          <w:tcPr>
            <w:tcW w:w="440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Note 4 – Goodwill and Other Intangible Assets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There were no changes in the carrying amount of goodwill during the three months ended March 31, 2025.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Intangible assets other than goodwill at March 31, 2025 and December 31, 2024 were as follows: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March 31, 2025</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78"/>
              <w:spacing w:after="0" w:line="170"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center"/>
              <w:ind w:right="78"/>
              <w:spacing w:after="0" w:line="140"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left="77"/>
              <w:spacing w:after="0" w:line="173" w:lineRule="exact"/>
              <w:rPr>
                <w:sz w:val="20"/>
                <w:szCs w:val="20"/>
                <w:color w:val="auto"/>
              </w:rPr>
            </w:pPr>
            <w:r>
              <w:rPr>
                <w:rFonts w:ascii="Times New Roman" w:cs="Times New Roman" w:eastAsia="Times New Roman" w:hAnsi="Times New Roman"/>
                <w:sz w:val="16"/>
                <w:szCs w:val="16"/>
                <w:b w:val="1"/>
                <w:bCs w:val="1"/>
                <w:color w:val="auto"/>
              </w:rPr>
              <w:t>Useful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78"/>
              <w:spacing w:after="0" w:line="173"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231"/>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0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20" w:type="dxa"/>
            <w:vAlign w:val="bottom"/>
          </w:tcPr>
          <w:p>
            <w:pPr>
              <w:spacing w:after="0"/>
              <w:rPr>
                <w:sz w:val="20"/>
                <w:szCs w:val="20"/>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13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Life (in years)</w:t>
            </w: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0" w:type="dxa"/>
            <w:vAlign w:val="bottom"/>
          </w:tcPr>
          <w:p>
            <w:pPr>
              <w:spacing w:after="0"/>
              <w:rPr>
                <w:sz w:val="1"/>
                <w:szCs w:val="1"/>
                <w:color w:val="auto"/>
              </w:rPr>
            </w:pPr>
          </w:p>
        </w:tc>
      </w:tr>
      <w:tr>
        <w:trPr>
          <w:trHeight w:val="169"/>
        </w:trPr>
        <w:tc>
          <w:tcPr>
            <w:tcW w:w="198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Intangible assets with finite</w:t>
            </w: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lives: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w:t>
            </w:r>
          </w:p>
        </w:tc>
        <w:tc>
          <w:tcPr>
            <w:tcW w:w="960" w:type="dxa"/>
            <w:vAlign w:val="bottom"/>
            <w:gridSpan w:val="2"/>
          </w:tcPr>
          <w:p>
            <w:pPr>
              <w:jc w:val="center"/>
              <w:ind w:left="276"/>
              <w:spacing w:after="0"/>
              <w:rPr>
                <w:sz w:val="20"/>
                <w:szCs w:val="20"/>
                <w:color w:val="auto"/>
              </w:rPr>
            </w:pPr>
            <w:r>
              <w:rPr>
                <w:rFonts w:ascii="Times New Roman" w:cs="Times New Roman" w:eastAsia="Times New Roman" w:hAnsi="Times New Roman"/>
                <w:sz w:val="16"/>
                <w:szCs w:val="16"/>
                <w:color w:val="auto"/>
                <w:w w:val="97"/>
              </w:rPr>
              <w:t>2.0 - 5.0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w w:val="89"/>
              </w:rPr>
              <w:t>0.6</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technology</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4,106</w:t>
            </w:r>
          </w:p>
        </w:tc>
        <w:tc>
          <w:tcPr>
            <w:tcW w:w="960" w:type="dxa"/>
            <w:vAlign w:val="bottom"/>
            <w:tcBorders>
              <w:bottom w:val="single" w:sz="8" w:color="CCEEFF"/>
            </w:tcBorders>
            <w:gridSpan w:val="2"/>
            <w:shd w:val="clear" w:color="auto" w:fill="CCEEFF"/>
          </w:tcPr>
          <w:p>
            <w:pPr>
              <w:jc w:val="center"/>
              <w:ind w:left="276"/>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center"/>
              <w:ind w:right="78"/>
              <w:spacing w:after="0"/>
              <w:rPr>
                <w:sz w:val="20"/>
                <w:szCs w:val="20"/>
                <w:color w:val="auto"/>
              </w:rPr>
            </w:pPr>
            <w:r>
              <w:rPr>
                <w:rFonts w:ascii="Times New Roman" w:cs="Times New Roman" w:eastAsia="Times New Roman" w:hAnsi="Times New Roman"/>
                <w:sz w:val="16"/>
                <w:szCs w:val="16"/>
                <w:color w:val="auto"/>
                <w:w w:val="89"/>
              </w:rPr>
              <w:t>2.8</w:t>
            </w: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platform</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17,200</w:t>
            </w:r>
          </w:p>
        </w:tc>
        <w:tc>
          <w:tcPr>
            <w:tcW w:w="960" w:type="dxa"/>
            <w:vAlign w:val="bottom"/>
            <w:gridSpan w:val="2"/>
          </w:tcPr>
          <w:p>
            <w:pPr>
              <w:jc w:val="center"/>
              <w:ind w:left="276"/>
              <w:spacing w:after="0"/>
              <w:rPr>
                <w:sz w:val="20"/>
                <w:szCs w:val="20"/>
                <w:color w:val="auto"/>
              </w:rPr>
            </w:pPr>
            <w:r>
              <w:rPr>
                <w:rFonts w:ascii="Times New Roman" w:cs="Times New Roman" w:eastAsia="Times New Roman" w:hAnsi="Times New Roman"/>
                <w:sz w:val="16"/>
                <w:szCs w:val="16"/>
                <w:color w:val="auto"/>
                <w:w w:val="99"/>
              </w:rPr>
              <w:t>12.0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w w:val="89"/>
              </w:rPr>
              <w:t>7.8</w:t>
            </w:r>
          </w:p>
        </w:tc>
        <w:tc>
          <w:tcPr>
            <w:tcW w:w="0" w:type="dxa"/>
            <w:vAlign w:val="bottom"/>
          </w:tcPr>
          <w:p>
            <w:pPr>
              <w:spacing w:after="0"/>
              <w:rPr>
                <w:sz w:val="1"/>
                <w:szCs w:val="1"/>
                <w:color w:val="auto"/>
              </w:rPr>
            </w:pPr>
          </w:p>
        </w:tc>
      </w:tr>
      <w:tr>
        <w:trPr>
          <w:trHeight w:val="32"/>
        </w:trPr>
        <w:tc>
          <w:tcPr>
            <w:tcW w:w="1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21,422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7"/>
          <w:szCs w:val="17"/>
          <w:color w:val="auto"/>
        </w:rPr>
        <w:t>Intangible assets allocated to the Protolabs Network entities consisted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unrealized losses related to intangible assets were $1.6 million and $2.2 million as of March 31, 2025 and December 31, 2024, respectively. Amortization expense for intangible assets was $0.9 million and $1.0 million for each of the three months ended March 31, 2025 and 2024,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Estimated</w:t>
            </w:r>
          </w:p>
        </w:tc>
      </w:t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24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Expense</w:t>
            </w:r>
          </w:p>
        </w:tc>
      </w:tr>
      <w:tr>
        <w:trPr>
          <w:trHeight w:val="24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2,728</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3,537</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3,528</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w:t>
            </w:r>
          </w:p>
        </w:tc>
      </w:tr>
      <w:tr>
        <w:trPr>
          <w:trHeight w:val="242"/>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6,660</w:t>
            </w:r>
          </w:p>
        </w:tc>
      </w:tr>
      <w:tr>
        <w:trPr>
          <w:trHeight w:val="27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estimated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9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Fair Value Measurements</w:t>
      </w:r>
    </w:p>
    <w:p>
      <w:pPr>
        <w:spacing w:after="0" w:line="18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 xml:space="preserve">Accounting Standards Codification, </w:t>
      </w:r>
      <w:r>
        <w:rPr>
          <w:rFonts w:ascii="Times New Roman" w:cs="Times New Roman" w:eastAsia="Times New Roman" w:hAnsi="Times New Roman"/>
          <w:sz w:val="17"/>
          <w:szCs w:val="17"/>
          <w:i w:val="1"/>
          <w:iCs w:val="1"/>
          <w:color w:val="auto"/>
        </w:rPr>
        <w:t>Fair Value Measuremen</w:t>
      </w:r>
      <w:r>
        <w:rPr>
          <w:rFonts w:ascii="Times New Roman" w:cs="Times New Roman" w:eastAsia="Times New Roman" w:hAnsi="Times New Roman"/>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Quoted prices in active markets for identical assets or liabilities.</w:t>
      </w:r>
    </w:p>
    <w:p>
      <w:pPr>
        <w:spacing w:after="0" w:line="184"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w:t>
      </w:r>
      <w:r>
        <w:rPr>
          <w:rFonts w:ascii="Times New Roman" w:cs="Times New Roman" w:eastAsia="Times New Roman" w:hAnsi="Times New Roman"/>
          <w:sz w:val="17"/>
          <w:szCs w:val="17"/>
          <w:i w:val="1"/>
          <w:iCs w:val="1"/>
          <w:color w:val="auto"/>
        </w:rPr>
        <w:t xml:space="preserve"> not </w:t>
      </w:r>
      <w:r>
        <w:rPr>
          <w:rFonts w:ascii="Times New Roman" w:cs="Times New Roman" w:eastAsia="Times New Roman" w:hAnsi="Times New Roman"/>
          <w:sz w:val="17"/>
          <w:szCs w:val="17"/>
          <w:color w:val="auto"/>
        </w:rPr>
        <w:t>active;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inputs that are observable or can be corroborated by observable market data for substantially the full term of the assets or liabilities.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Unobservable inputs that are supported by little or no market activity and that are significant to the fair value of the assets or liabilities.</w:t>
      </w:r>
    </w:p>
    <w:p>
      <w:pPr>
        <w:spacing w:after="0" w:line="19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Company's assets and liabilities that are required to be measured or disclosed at fair value on a recurring basis include cash and cash equivalents and marketable securities. The Company’s cash consists of bank deposits and cash equivalents consist primarily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financial assets as of March 31, 2025 and December 31, 2024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19"/>
                <w:szCs w:val="19"/>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81,162</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86,366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1"/>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Money market mutual fund</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9"/>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106,332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3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Marketable Securities</w:t>
      </w:r>
    </w:p>
    <w:p>
      <w:pPr>
        <w:spacing w:after="0" w:line="186"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7"/>
          <w:szCs w:val="17"/>
          <w:color w:val="auto"/>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March 31,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36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80" w:type="dxa"/>
            <w:vAlign w:val="bottom"/>
            <w:gridSpan w:val="3"/>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5,321</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15,882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15,844</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11,412</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bonds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33,579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281"/>
        </w:trPr>
        <w:tc>
          <w:tcPr>
            <w:tcW w:w="5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8,301</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15,770</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6,724</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bonds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Classification of marketable securities as current or non-current is based upon the security’s maturity date as of the date of these financial statements.</w:t>
      </w:r>
    </w:p>
    <w:p>
      <w:pPr>
        <w:spacing w:after="0" w:line="184"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color w:val="auto"/>
        </w:rPr>
        <w:t>The March 31, 2025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620" w:type="dxa"/>
            <w:vAlign w:val="bottom"/>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
        </w:trPr>
        <w:tc>
          <w:tcPr>
            <w:tcW w:w="9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4"/>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14,154</w:t>
            </w:r>
          </w:p>
        </w:tc>
      </w:tr>
      <w:tr>
        <w:trPr>
          <w:trHeight w:val="235"/>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year through five years</w:t>
            </w:r>
          </w:p>
        </w:tc>
        <w:tc>
          <w:tcPr>
            <w:tcW w:w="3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19,425</w:t>
            </w:r>
          </w:p>
        </w:tc>
      </w:tr>
      <w:tr>
        <w:trPr>
          <w:trHeight w:val="26"/>
        </w:trPr>
        <w:tc>
          <w:tcPr>
            <w:tcW w:w="9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79"/>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33,579</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Inventory</w:t>
      </w:r>
    </w:p>
    <w:p>
      <w:pPr>
        <w:spacing w:after="0" w:line="186"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00" w:type="dxa"/>
            <w:vAlign w:val="bottom"/>
          </w:tcPr>
          <w:p>
            <w:pPr>
              <w:spacing w:after="0"/>
              <w:rPr>
                <w:sz w:val="19"/>
                <w:szCs w:val="19"/>
                <w:color w:val="auto"/>
              </w:rPr>
            </w:pPr>
          </w:p>
        </w:tc>
        <w:tc>
          <w:tcPr>
            <w:tcW w:w="1500" w:type="dxa"/>
            <w:vAlign w:val="bottom"/>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7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4"/>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inventory</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12,989</w:t>
            </w:r>
          </w:p>
        </w:tc>
      </w:tr>
      <w:tr>
        <w:trPr>
          <w:trHeight w:val="235"/>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obsolescence</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r>
      <w:tr>
        <w:trPr>
          <w:trHeight w:val="26"/>
        </w:trPr>
        <w:tc>
          <w:tcPr>
            <w:tcW w:w="7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net of allowance</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7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Stock-Based Compensation</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On July 8, 2022, the board of directors approved the Proto Labs, Inc. 2022 Long-Term Incentive Plan, which was approved by the Company's shareholders at a Special Meeting of Shareholders on August 29, 2022, and subsequently amended and restated by the Company's shareholders at the Annual Meeting of Shareholders on May 23, 2024 (as amended and restated, the 2022 Plan) to increase the number of shares available for issuance pursuant to awards under the 2022 Plan by an additional 430,000 shares, add a minimum vesting requirement, and extend the expiration date so that the term of the 2022 Plan runs for ten years from the date of the shareholder approval. Under the 2022 Plan, the Company has the ability to grant stock options, stock appreciation rights (SARs), restricted stock, restricted stock units, other stock-based awards and cash incentive awards. Awards under the 2022 Plan have a maximum term of ten years from the date of grant. The compensation and talent committee may provide that the vesting or payment of any award will be subject to the attainment of specified performance measures in addition to the satisfaction of any continued service requirements and the compensation and talent committee will determine whether such measures have been achieved. The per-share exercise price of stock options and SARs granted under the 2022 Plan generally may not be less than the fair market value of a share of our common stock on the date of the grant.</w:t>
      </w:r>
    </w:p>
    <w:p>
      <w:pPr>
        <w:spacing w:after="0" w:line="148"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The Company also has outstanding awards under the 2012 Long-Term Incentive Plan, as amended (the 2012 Plan), although the plan expired in February 2022 and no additional awards have since been or will be made under the 2012 Plan. The 2012 Plan provided the Company the ability to grant stock options, SARs, restricted stock, restricted stock units, other stock-based awards and cash incentive awards. Awards under the 2012 Plan that subsequently expired, were forfeited or cancelled, or settled in cash after August 29, 2022 became available for awards under the 2022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was $4.0 million and $4.3 million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stock option activity during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Exercise Price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445,136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51.34</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39.61</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32.63</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92.09</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outstanding at March 31,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499,700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48.80</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75"/>
        </w:trPr>
        <w:tc>
          <w:tcPr>
            <w:tcW w:w="8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61"/>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at March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220,489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63.63</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7"/>
          <w:szCs w:val="17"/>
          <w:color w:val="auto"/>
        </w:rPr>
        <w:t>The outstanding options generally have a term of ten years. For employees, options granted become exercisable ratably over the vesting period, which is generally a period of four years, beginning on the first anniversary of the grant date, subject to the employee’s continuing service to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weighted-average grant date fair value of options that were granted during the three months ended March 31, 2025 was $22.07.</w:t>
      </w:r>
    </w:p>
    <w:p>
      <w:pPr>
        <w:spacing w:after="0" w:line="197"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color w:val="auto"/>
        </w:rPr>
        <w:t>The following table provides the assumptions used in the Black-Scholes pricing model valuation of options during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4.13%</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4.28%</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6.25</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52.99%</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50.62%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pacing w:after="0" w:line="243"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7"/>
          <w:szCs w:val="17"/>
          <w:color w:val="auto"/>
        </w:rPr>
        <w:t>As of March 31, 2025, there was $4.8 million of unrecognized compensation expense related to unvested stock options, which is expected to be recognized over a weighted-average period of 2.9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w:t>
      </w:r>
    </w:p>
    <w:p>
      <w:pPr>
        <w:spacing w:after="0" w:line="199"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7"/>
          <w:szCs w:val="17"/>
          <w:color w:val="auto"/>
        </w:rPr>
        <w:t>Restricted stock awards are share-settled awards and restrictions lapse ratably over the vesting period, which is generally a period from three to four years, beginning on the first anniversary of the grant date, subject to the employee's continuing service to the Company. For the board of directors, restrictions generally lapse in full on the first anniversary of the grant date.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restricted stock activity during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Restricted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at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763,261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39.61</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(44,523)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35.31</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at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770,356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jc w:val="both"/>
        <w:ind w:right="40"/>
        <w:spacing w:after="0" w:line="295" w:lineRule="auto"/>
        <w:rPr>
          <w:sz w:val="20"/>
          <w:szCs w:val="20"/>
          <w:color w:val="auto"/>
        </w:rPr>
      </w:pPr>
      <w:r>
        <w:rPr>
          <w:rFonts w:ascii="Times New Roman" w:cs="Times New Roman" w:eastAsia="Times New Roman" w:hAnsi="Times New Roman"/>
          <w:sz w:val="17"/>
          <w:szCs w:val="17"/>
          <w:color w:val="auto"/>
        </w:rPr>
        <w:t>As of March 31, 2025, there was $18.1 million of unrecognized compensation expense related to non-vested restricted stock, which is expected to be recognized over a weighted-average period of 2.7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Stock</w:t>
      </w:r>
    </w:p>
    <w:p>
      <w:pPr>
        <w:spacing w:after="0" w:line="18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The Company’s PSUs are based on market conditions and the related compensation cost is based on the fair value at grant date calculated using a Monte Carlo pricing model.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performance stock activity during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Performance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stock at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180,173</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62.36</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96.41</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change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stock at March 31,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213,788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55.75</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7"/>
          <w:szCs w:val="17"/>
          <w:color w:val="auto"/>
        </w:rPr>
        <w:t>The following table provides the assumptions used in the Monte Carlo pricing model valuation of PSUs during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4.08%</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4.37%</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2.85</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2.88</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52.40%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51.40%</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720"/>
        <w:spacing w:after="0" w:line="295" w:lineRule="auto"/>
        <w:rPr>
          <w:sz w:val="20"/>
          <w:szCs w:val="20"/>
          <w:color w:val="auto"/>
        </w:rPr>
      </w:pPr>
      <w:r>
        <w:rPr>
          <w:rFonts w:ascii="Times New Roman" w:cs="Times New Roman" w:eastAsia="Times New Roman" w:hAnsi="Times New Roman"/>
          <w:sz w:val="17"/>
          <w:szCs w:val="17"/>
          <w:color w:val="auto"/>
        </w:rPr>
        <w:t>As of March 31, 2025, there was $7.5 million of unrecognized compensation expense related to non-vested performance stock, which is expected to be recognized over a weighted-average period of 2.3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assumptions used to estimate the fair value of the ESPP during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4.29%</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5.16%</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(months)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6.00</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65.60%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47.92%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Accumulated Other Comprehensive Income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income (loss) is comprised of foreign currency translation adjustments and net unrealized gains (losses) on investments in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accumulated other comprehensive income (loss) balances during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20" w:type="dxa"/>
            <w:vAlign w:val="bottom"/>
          </w:tcPr>
          <w:p>
            <w:pPr>
              <w:spacing w:after="0"/>
              <w:rPr>
                <w:sz w:val="19"/>
                <w:szCs w:val="19"/>
                <w:color w:val="auto"/>
              </w:rPr>
            </w:pP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(27,984)</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(28,013)</w:t>
            </w:r>
          </w:p>
        </w:tc>
      </w:tr>
      <w:tr>
        <w:trPr>
          <w:trHeight w:val="235"/>
        </w:trPr>
        <w:tc>
          <w:tcPr>
            <w:tcW w:w="82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Foreign currency translation adjustments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 comprehensive loss</w:t>
            </w: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r>
      <w:tr>
        <w:trPr>
          <w:trHeight w:val="215"/>
        </w:trPr>
        <w:tc>
          <w:tcPr>
            <w:tcW w:w="82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Net unrealized gains on investments in securities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 comprehensive loss</w:t>
            </w: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income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3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(26,891)</w:t>
            </w:r>
          </w:p>
        </w:tc>
        <w:tc>
          <w:tcPr>
            <w:tcW w:w="80" w:type="dxa"/>
            <w:vAlign w:val="bottom"/>
          </w:tcPr>
          <w:p>
            <w:pPr>
              <w:spacing w:after="0"/>
              <w:rPr>
                <w:sz w:val="19"/>
                <w:szCs w:val="19"/>
                <w:color w:val="auto"/>
              </w:rPr>
            </w:pPr>
          </w:p>
        </w:tc>
        <w:tc>
          <w:tcPr>
            <w:tcW w:w="4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(28,845)</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Income Taxes</w:t>
      </w:r>
    </w:p>
    <w:p>
      <w:pPr>
        <w:spacing w:after="0" w:line="186"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7"/>
          <w:szCs w:val="17"/>
          <w:color w:val="auto"/>
        </w:rPr>
        <w:t>The Company is subject to income tax in multiple jurisdictions and the use of estimates is required to determine the provision for income taxes. For the three months ended March 31, 2025 and 2024, the Company recorded an income tax provision of $2.4 million and $2.5 million, respectively. The income tax provision is based on the estimated annual effective tax rate for the year applied to pre-tax income. The effective income tax rate for the three months ended March 31, 2025 was 39.9 percent compared to 31.8 percent in the same period of the prior year. The effective tax rate increased by 8.1 percent for the three months ended March 31, 2025 when compared to the same period in 2024, primarily due to a one-time release of tax reserves arising from a successful audit closure in 2024 that did not repeat in 2025.</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80"/>
        <w:spacing w:after="0" w:line="295" w:lineRule="auto"/>
        <w:rPr>
          <w:sz w:val="20"/>
          <w:szCs w:val="20"/>
          <w:color w:val="auto"/>
        </w:rPr>
      </w:pPr>
      <w:r>
        <w:rPr>
          <w:rFonts w:ascii="Times New Roman" w:cs="Times New Roman" w:eastAsia="Times New Roman" w:hAnsi="Times New Roman"/>
          <w:sz w:val="17"/>
          <w:szCs w:val="17"/>
          <w:color w:val="auto"/>
        </w:rPr>
        <w:t>The effective income tax rate for the three months ended March 31, 2025 differs from the U.S. federal statutory rate of 21.0 percent due to various factors, including operating in multiple state and foreign jurisdictions partially offset by tax credits for which the Company qualifies.</w:t>
      </w:r>
    </w:p>
    <w:p>
      <w:pPr>
        <w:spacing w:after="0" w:line="121"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7"/>
          <w:szCs w:val="17"/>
          <w:color w:val="auto"/>
        </w:rPr>
        <w:t>The Company had unrecognized tax benefits totaling $3.5 million as of March 31, 2025 and $3.4 million as of December 31, 2024,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Segment Reporting</w:t>
      </w:r>
    </w:p>
    <w:p>
      <w:pPr>
        <w:spacing w:after="0" w:line="199"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7"/>
          <w:szCs w:val="17"/>
          <w:color w:val="auto"/>
        </w:rPr>
        <w:t>The Company’s reportable segments are based on the internal reporting used by the Company’s Chief Executive Officer, who is the chief operating decision maker (CODM), to assess operating performance and make decisions about the allocation of resources. The Company’s reportable segments are based upon geographic region, consisting of the United States and Europe. The Corporate Unallocated category includes non-reportable segments, as well as research and development and general and administrative costs that the Company does not allocate directly to its operating segments.</w:t>
      </w:r>
    </w:p>
    <w:p>
      <w:pPr>
        <w:spacing w:after="0" w:line="130"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selected financial information by reportable segments: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Quarter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7136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6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7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58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100,267</w:t>
            </w:r>
          </w:p>
        </w:tc>
        <w:tc>
          <w:tcPr>
            <w:tcW w:w="80" w:type="dxa"/>
            <w:vAlign w:val="bottom"/>
          </w:tcPr>
          <w:p>
            <w:pPr>
              <w:spacing w:after="0"/>
              <w:rPr>
                <w:sz w:val="20"/>
                <w:szCs w:val="20"/>
                <w:color w:val="auto"/>
              </w:rPr>
            </w:pPr>
          </w:p>
        </w:tc>
        <w:tc>
          <w:tcPr>
            <w:tcW w:w="1540" w:type="dxa"/>
            <w:vAlign w:val="bottom"/>
          </w:tcPr>
          <w:p>
            <w:pPr>
              <w:jc w:val="right"/>
              <w:ind w:right="1336"/>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25,938</w:t>
            </w:r>
          </w:p>
        </w:tc>
        <w:tc>
          <w:tcPr>
            <w:tcW w:w="100" w:type="dxa"/>
            <w:vAlign w:val="bottom"/>
          </w:tcPr>
          <w:p>
            <w:pPr>
              <w:spacing w:after="0"/>
              <w:rPr>
                <w:sz w:val="20"/>
                <w:szCs w:val="20"/>
                <w:color w:val="auto"/>
              </w:rPr>
            </w:pP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126,205</w:t>
            </w: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expenses</w:t>
            </w:r>
            <w:r>
              <w:rPr>
                <w:rFonts w:ascii="Times New Roman" w:cs="Times New Roman" w:eastAsia="Times New Roman" w:hAnsi="Times New Roman"/>
                <w:sz w:val="22"/>
                <w:szCs w:val="22"/>
                <w:color w:val="auto"/>
                <w:vertAlign w:val="superscript"/>
              </w:rPr>
              <w:t>1</w:t>
            </w:r>
          </w:p>
        </w:tc>
        <w:tc>
          <w:tcPr>
            <w:tcW w:w="15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74,770</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121,713</w:t>
            </w:r>
          </w:p>
        </w:tc>
      </w:tr>
      <w:tr>
        <w:trPr>
          <w:trHeight w:val="21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Exit, Disposal and Goodwill impairment</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w:t>
            </w:r>
          </w:p>
        </w:tc>
        <w:tc>
          <w:tcPr>
            <w:tcW w:w="15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6"/>
        </w:trPr>
        <w:tc>
          <w:tcPr>
            <w:tcW w:w="3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580" w:type="dxa"/>
            <w:vAlign w:val="bottom"/>
            <w:tcBorders>
              <w:bottom w:val="single" w:sz="8" w:color="auto"/>
            </w:tcBorders>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25,497</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4,531</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gridSpan w:val="2"/>
          </w:tcPr>
          <w:p>
            <w:pPr>
              <w:spacing w:after="0" w:line="20" w:lineRule="exact"/>
              <w:rPr>
                <w:sz w:val="1"/>
                <w:szCs w:val="1"/>
                <w:color w:val="auto"/>
              </w:rPr>
            </w:pPr>
          </w:p>
        </w:tc>
        <w:tc>
          <w:tcPr>
            <w:tcW w:w="162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03"/>
        </w:trPr>
        <w:tc>
          <w:tcPr>
            <w:tcW w:w="3100" w:type="dxa"/>
            <w:vAlign w:val="bottom"/>
            <w:tcBorders>
              <w:bottom w:val="single" w:sz="8" w:color="auto"/>
            </w:tcBorders>
          </w:tcPr>
          <w:p>
            <w:pPr>
              <w:spacing w:after="0"/>
              <w:rPr>
                <w:sz w:val="8"/>
                <w:szCs w:val="8"/>
                <w:color w:val="auto"/>
              </w:rPr>
            </w:pPr>
          </w:p>
        </w:tc>
        <w:tc>
          <w:tcPr>
            <w:tcW w:w="15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4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11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spacing w:after="0"/>
              <w:rPr>
                <w:sz w:val="8"/>
                <w:szCs w:val="8"/>
                <w:color w:val="auto"/>
              </w:rPr>
            </w:pPr>
          </w:p>
        </w:tc>
      </w:tr>
      <w:tr>
        <w:trPr>
          <w:trHeight w:val="516"/>
        </w:trPr>
        <w:tc>
          <w:tcPr>
            <w:tcW w:w="3100" w:type="dxa"/>
            <w:vAlign w:val="bottom"/>
          </w:tcPr>
          <w:p>
            <w:pPr>
              <w:spacing w:after="0"/>
              <w:rPr>
                <w:sz w:val="24"/>
                <w:szCs w:val="24"/>
                <w:color w:val="auto"/>
              </w:rPr>
            </w:pPr>
          </w:p>
        </w:tc>
        <w:tc>
          <w:tcPr>
            <w:tcW w:w="3860" w:type="dxa"/>
            <w:vAlign w:val="bottom"/>
            <w:gridSpan w:val="4"/>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Quarter Ended March 31 2024,</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
        </w:trPr>
        <w:tc>
          <w:tcPr>
            <w:tcW w:w="3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3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5"/>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58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101,481</w:t>
            </w:r>
          </w:p>
        </w:tc>
        <w:tc>
          <w:tcPr>
            <w:tcW w:w="80" w:type="dxa"/>
            <w:vAlign w:val="bottom"/>
          </w:tcPr>
          <w:p>
            <w:pPr>
              <w:spacing w:after="0"/>
              <w:rPr>
                <w:sz w:val="20"/>
                <w:szCs w:val="20"/>
                <w:color w:val="auto"/>
              </w:rPr>
            </w:pPr>
          </w:p>
        </w:tc>
        <w:tc>
          <w:tcPr>
            <w:tcW w:w="1540" w:type="dxa"/>
            <w:vAlign w:val="bottom"/>
          </w:tcPr>
          <w:p>
            <w:pPr>
              <w:jc w:val="right"/>
              <w:ind w:right="1336"/>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26,409</w:t>
            </w:r>
          </w:p>
        </w:tc>
        <w:tc>
          <w:tcPr>
            <w:tcW w:w="100" w:type="dxa"/>
            <w:vAlign w:val="bottom"/>
          </w:tcPr>
          <w:p>
            <w:pPr>
              <w:spacing w:after="0"/>
              <w:rPr>
                <w:sz w:val="20"/>
                <w:szCs w:val="20"/>
                <w:color w:val="auto"/>
              </w:rPr>
            </w:pP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127,890</w:t>
            </w: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expenses</w:t>
            </w:r>
            <w:r>
              <w:rPr>
                <w:rFonts w:ascii="Times New Roman" w:cs="Times New Roman" w:eastAsia="Times New Roman" w:hAnsi="Times New Roman"/>
                <w:sz w:val="22"/>
                <w:szCs w:val="22"/>
                <w:color w:val="auto"/>
                <w:vertAlign w:val="superscript"/>
              </w:rPr>
              <w:t>1</w:t>
            </w:r>
          </w:p>
        </w:tc>
        <w:tc>
          <w:tcPr>
            <w:tcW w:w="15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75,149</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28,853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121,063</w:t>
            </w:r>
          </w:p>
        </w:tc>
      </w:tr>
      <w:tr>
        <w:trPr>
          <w:trHeight w:val="21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Exit, Disposal and Goodwill impairment</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5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580" w:type="dxa"/>
            <w:vAlign w:val="bottom"/>
            <w:tcBorders>
              <w:bottom w:val="single" w:sz="8" w:color="auto"/>
            </w:tcBorders>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26,332</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6,827</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31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left="640" w:right="20" w:hanging="165"/>
        <w:spacing w:after="0" w:line="247" w:lineRule="auto"/>
        <w:tabs>
          <w:tab w:leader="none" w:pos="56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Segment expenses consist primarily of raw materials, equipment depreciation, employee compensation including benefits, commissions and stock-based compensation, facilities costs and overhead allocations associated with the manufacturing process for molds and custom parts, marketing programs such as electronic, print and pay-per-click advertising and trade shows and other related costs for our United States and Europe reportable segments. Segment expenses for our Corporate Unallocated reportable segment consist primarily of personnel and outside service costs related to the development of new processes and product lines, enhancements of existing product lines, software developed for internal use, maintenance of internally developed software, quality assurance and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40" w:right="280"/>
        <w:spacing w:after="0" w:line="295" w:lineRule="auto"/>
        <w:rPr>
          <w:sz w:val="20"/>
          <w:szCs w:val="20"/>
          <w:color w:val="auto"/>
        </w:rPr>
      </w:pPr>
      <w:r>
        <w:rPr>
          <w:rFonts w:ascii="Times New Roman" w:cs="Times New Roman" w:eastAsia="Times New Roman" w:hAnsi="Times New Roman"/>
          <w:sz w:val="17"/>
          <w:szCs w:val="17"/>
          <w:color w:val="auto"/>
        </w:rPr>
        <w:t>testing and employee compensation including benefits, stock-based compensation, professional service fees related to accounting, tax and legal, and other related overhead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long-lived assets, expenditures for additions to long-lived assets, and depreciation and amortization expense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9"/>
                <w:szCs w:val="19"/>
                <w:color w:val="auto"/>
              </w:rPr>
            </w:pPr>
          </w:p>
        </w:tc>
        <w:tc>
          <w:tcPr>
            <w:tcW w:w="12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long-lived assets: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176,428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181,291</w:t>
            </w:r>
          </w:p>
        </w:tc>
      </w:tr>
      <w:tr>
        <w:trPr>
          <w:trHeight w:val="26"/>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44,779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45,972</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Long-lived Assets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221,207</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227,263</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3"/>
        </w:trPr>
        <w:tc>
          <w:tcPr>
            <w:tcW w:w="82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r>
      <w:tr>
        <w:trPr>
          <w:trHeight w:val="424"/>
        </w:trPr>
        <w:tc>
          <w:tcPr>
            <w:tcW w:w="8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Expenditures for additions to long-lived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expenditures for additions to long-lived assets</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2,587</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281"/>
        </w:trPr>
        <w:tc>
          <w:tcPr>
            <w:tcW w:w="8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20" w:type="dxa"/>
            <w:vAlign w:val="bottom"/>
          </w:tcPr>
          <w:p>
            <w:pPr>
              <w:spacing w:after="0"/>
              <w:rPr>
                <w:sz w:val="19"/>
                <w:szCs w:val="19"/>
                <w:color w:val="auto"/>
              </w:rPr>
            </w:pP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7,009</w:t>
            </w:r>
          </w:p>
        </w:tc>
        <w:tc>
          <w:tcPr>
            <w:tcW w:w="80" w:type="dxa"/>
            <w:vAlign w:val="bottom"/>
          </w:tcPr>
          <w:p>
            <w:pPr>
              <w:spacing w:after="0"/>
              <w:rPr>
                <w:sz w:val="20"/>
                <w:szCs w:val="20"/>
                <w:color w:val="auto"/>
              </w:rPr>
            </w:pP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7,325</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Unallocated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depreciation and amortization</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8,694</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the three months ended March 31,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8"/>
                <w:szCs w:val="18"/>
                <w:color w:val="auto"/>
              </w:rPr>
            </w:pPr>
          </w:p>
        </w:tc>
      </w:tr>
      <w:tr>
        <w:trPr>
          <w:trHeight w:val="229"/>
        </w:trPr>
        <w:tc>
          <w:tcPr>
            <w:tcW w:w="8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
        </w:trPr>
        <w:tc>
          <w:tcPr>
            <w:tcW w:w="8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r>
      <w:tr>
        <w:trPr>
          <w:trHeight w:val="26"/>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2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235"/>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48,723</w:t>
            </w:r>
          </w:p>
        </w:tc>
        <w:tc>
          <w:tcPr>
            <w:tcW w:w="100" w:type="dxa"/>
            <w:vAlign w:val="bottom"/>
          </w:tcPr>
          <w:p>
            <w:pPr>
              <w:spacing w:after="0"/>
              <w:rPr>
                <w:sz w:val="20"/>
                <w:szCs w:val="20"/>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52,663</w:t>
            </w:r>
          </w:p>
        </w:tc>
        <w:tc>
          <w:tcPr>
            <w:tcW w:w="80" w:type="dxa"/>
            <w:vAlign w:val="bottom"/>
          </w:tcPr>
          <w:p>
            <w:pPr>
              <w:spacing w:after="0"/>
              <w:rPr>
                <w:sz w:val="20"/>
                <w:szCs w:val="20"/>
                <w:color w:val="auto"/>
              </w:rPr>
            </w:pPr>
          </w:p>
        </w:tc>
      </w:tr>
      <w:tr>
        <w:trPr>
          <w:trHeight w:val="26"/>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52,843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49,932</w:t>
            </w:r>
          </w:p>
        </w:tc>
        <w:tc>
          <w:tcPr>
            <w:tcW w:w="80" w:type="dxa"/>
            <w:vAlign w:val="bottom"/>
          </w:tcPr>
          <w:p>
            <w:pPr>
              <w:spacing w:after="0"/>
              <w:rPr>
                <w:sz w:val="20"/>
                <w:szCs w:val="20"/>
                <w:color w:val="auto"/>
              </w:rPr>
            </w:pPr>
          </w:p>
        </w:tc>
      </w:tr>
      <w:tr>
        <w:trPr>
          <w:trHeight w:val="235"/>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21,582</w:t>
            </w:r>
          </w:p>
        </w:tc>
        <w:tc>
          <w:tcPr>
            <w:tcW w:w="80" w:type="dxa"/>
            <w:vAlign w:val="bottom"/>
          </w:tcPr>
          <w:p>
            <w:pPr>
              <w:spacing w:after="0"/>
              <w:rPr>
                <w:sz w:val="20"/>
                <w:szCs w:val="20"/>
                <w:color w:val="auto"/>
              </w:rPr>
            </w:pPr>
          </w:p>
        </w:tc>
      </w:tr>
      <w:tr>
        <w:trPr>
          <w:trHeight w:val="26"/>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3,553</w:t>
            </w:r>
          </w:p>
        </w:tc>
        <w:tc>
          <w:tcPr>
            <w:tcW w:w="80" w:type="dxa"/>
            <w:vAlign w:val="bottom"/>
          </w:tcPr>
          <w:p>
            <w:pPr>
              <w:spacing w:after="0"/>
              <w:rPr>
                <w:sz w:val="20"/>
                <w:szCs w:val="20"/>
                <w:color w:val="auto"/>
              </w:rPr>
            </w:pPr>
          </w:p>
        </w:tc>
      </w:tr>
      <w:tr>
        <w:trPr>
          <w:trHeight w:val="235"/>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80" w:type="dxa"/>
            <w:vAlign w:val="bottom"/>
          </w:tcPr>
          <w:p>
            <w:pPr>
              <w:spacing w:after="0"/>
              <w:rPr>
                <w:sz w:val="20"/>
                <w:szCs w:val="20"/>
                <w:color w:val="auto"/>
              </w:rPr>
            </w:pPr>
          </w:p>
        </w:tc>
      </w:tr>
      <w:tr>
        <w:trPr>
          <w:trHeight w:val="26"/>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9"/>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127,890</w:t>
            </w:r>
          </w:p>
        </w:tc>
        <w:tc>
          <w:tcPr>
            <w:tcW w:w="80" w:type="dxa"/>
            <w:vAlign w:val="bottom"/>
          </w:tcPr>
          <w:p>
            <w:pPr>
              <w:spacing w:after="0"/>
              <w:rPr>
                <w:sz w:val="23"/>
                <w:szCs w:val="23"/>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8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97"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8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are one of the world’s largest, fastest and most comprehensive digital manufacturers of custom parts. Our vision is accelerating innovation by revolutionizing manufacturing. Our mission is to shape the future by bringing customer ideas to life across every stage of their product cycle. We accomplish this by offering a variety of manufacturing capabilities fulfilled through a combination of owned manufacturing factories and a worldwide network of premium manufacturing partners. Our automated quoting and manufacturing systems are highly integrated with our manufacturing and fulfillment systems, which allow us to offer a vast array of manufacturing technologies in a variety of materials across a continuum of lead times and prices. Our technology-enabled digital engineering and manufacturing applications enable us to produce commercial-grade plastic, metal, and liquid silicone rubber parts in as fast as one day.</w:t>
      </w:r>
    </w:p>
    <w:p>
      <w:pPr>
        <w:spacing w:after="0" w:line="1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Our customers conduct the majority of their business with us via our Internet-based eCommerce platform. We target our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custom parts. We believe our use of advanced technologies enable us to offer significant advantages at competitive prices to many customers and is the primary reason we have become a leading supplier of custom parts.</w:t>
      </w:r>
    </w:p>
    <w:p>
      <w:pPr>
        <w:spacing w:after="0" w:line="1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We have established our operations in the United States and Europe. On October 21, 2024, the Company's board of directors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3D printing facility in Putzbrunn, Germany. The Company expects to substantially complete the plan during fiscal year 2025. The Company intends to continue offering all of its manufacturing services to customers across Europe, including injection molding and metal 3D printing. These services will be fulfilled through internal manufacturing facilities and a network of manufacturing partners.</w:t>
      </w:r>
    </w:p>
    <w:p>
      <w:pPr>
        <w:spacing w:after="0" w:line="13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or incorporate into our manufacturing network in order to better serve the evolving preferences and needs of our customers. With the addition of the Protolabs Network in 2021, our global network of premium manufacturing partners significantly expands the breadth and depth of our manufacturing capabilities, enabling us to offer customers a wider variety of lead times and pricing options, and an expanded envelope of parts (complexity, size, etc.).</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Measures and Trends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88"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Our operations are comprised of two geographic operating segments in the United States and Europe. On October 21, 2024, the Company's board of directors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3D printing facility in Putzbrunn, Germany. The Company expects to substantially complete the plan during fiscal year 2025. The Company intends to continue offering all of its manufacturing services to customers across Europe, including injection molding and metal 3D printing. These services will be fulfilled through internal manufacturing facilities and a network of manufacturing partners.</w:t>
      </w:r>
    </w:p>
    <w:p>
      <w:pPr>
        <w:spacing w:after="0" w:line="13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Revenue is derived from the sale or parts fulfilled through our owned manufacturing factories and worldwide network of premium manufacturing partners. Our product lines consist of Injection Molding, CNC Machining, 3D Printing and Sheet Metal.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revenue is generated from a diverse customer base and our historical and current efforts to increase revenue have been directed at gaining new customers and selling to our existing customer base by increasing marketing and selling activities, including:</w:t>
      </w:r>
    </w:p>
    <w:p>
      <w:pPr>
        <w:spacing w:after="0" w:line="147" w:lineRule="exact"/>
        <w:rPr>
          <w:sz w:val="20"/>
          <w:szCs w:val="20"/>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the breadth and scope of our products by adding more sizes and materials to our offerings;</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our 3D Printing product line through our acquisition of FineLine in 2014;</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3D Printing to Europe through our acquisition of Alphaform in 2015;</w:t>
      </w:r>
    </w:p>
    <w:p>
      <w:pPr>
        <w:spacing w:after="0" w:line="196"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our Sheet Metal product line through our acquisition of Rapid Manufacturing Group, LLC in 2017;</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continuously improving the usability of our product lines such as our web-centric applications; and</w:t>
      </w:r>
    </w:p>
    <w:p>
      <w:pPr>
        <w:spacing w:after="0" w:line="183" w:lineRule="exact"/>
        <w:rPr>
          <w:rFonts w:ascii="Times New Roman" w:cs="Times New Roman" w:eastAsia="Times New Roman" w:hAnsi="Times New Roman"/>
          <w:sz w:val="17"/>
          <w:szCs w:val="17"/>
          <w:color w:val="auto"/>
        </w:rPr>
      </w:pPr>
    </w:p>
    <w:p>
      <w:pPr>
        <w:ind w:right="720" w:firstLine="318"/>
        <w:spacing w:after="0" w:line="520" w:lineRule="auto"/>
        <w:tabs>
          <w:tab w:leader="none" w:pos="62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customers with on-demand access to a global network of premium manufacturing partners through our acquisition of Hubs in 2021. The following table summarizes our unique customer contacts and revenue per customer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36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0" w:type="dxa"/>
            <w:vAlign w:val="bottom"/>
          </w:tcPr>
          <w:p>
            <w:pPr>
              <w:spacing w:after="0"/>
              <w:rPr>
                <w:sz w:val="19"/>
                <w:szCs w:val="19"/>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6"/>
        </w:trPr>
        <w:tc>
          <w:tcPr>
            <w:tcW w:w="8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8"/>
        </w:trPr>
        <w:tc>
          <w:tcPr>
            <w:tcW w:w="8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4"/>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 thousands)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126,205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127,890</w:t>
            </w:r>
          </w:p>
        </w:tc>
      </w:tr>
      <w:tr>
        <w:trPr>
          <w:trHeight w:val="235"/>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contacts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22,466</w:t>
            </w:r>
          </w:p>
        </w:tc>
      </w:tr>
      <w:tr>
        <w:trPr>
          <w:trHeight w:val="26"/>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per customer contact</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$5,693</w:t>
            </w:r>
          </w:p>
        </w:tc>
      </w:tr>
      <w:tr>
        <w:trPr>
          <w:trHeight w:val="157"/>
        </w:trPr>
        <w:tc>
          <w:tcPr>
            <w:tcW w:w="8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bl>
    <w:p>
      <w:pPr>
        <w:spacing w:after="0" w:line="243" w:lineRule="exact"/>
        <w:rPr>
          <w:sz w:val="20"/>
          <w:szCs w:val="20"/>
          <w:color w:val="auto"/>
        </w:rPr>
      </w:pPr>
    </w:p>
    <w:p>
      <w:pPr>
        <w:ind w:left="560" w:right="160" w:hanging="7"/>
        <w:spacing w:after="0" w:line="241" w:lineRule="auto"/>
        <w:tabs>
          <w:tab w:leader="none" w:pos="64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Revenue per customer contact is calculated using the revenue recognized during the respective period divided by the actual number of customer contacts served during the same period. Customer contacts are product developers, engineers, procurement and supply chain professionals and other individuals who place an order, and that order is shipped and invoiced during the period. The Company believes revenue per customer contact is useful to investors in evaluating the underlying business trends and ongoing operating performance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Gross Profit and Gross Margin</w:t>
      </w:r>
    </w:p>
    <w:p>
      <w:pPr>
        <w:spacing w:after="0" w:line="20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Cost of revenue consists primarily of raw materials, equipment depreciation, employee compensation including benefits and stock-based compensation, facilities costs, overhead allocations associated with the manufacturing process for molds and custom parts, and costs to procure parts through our network of premium manufacturing partners. We expect our personnel-related costs to increase in order to retain and attract top talent and remain competitive in the market. Overall, we expect cost of revenue to increase in absolute dollars.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We define gross profit as our revenue less our cost of revenue, and we define gross margin as gross profit expressed as a percentage of revenue. Our gross profit and gross margin are affected by many factors, including our mix of revenue produced in our internal manufacturing operations and outsourced to our external manufacturing partners, pricing, sales volume, manufacturing costs, the costs associated with increasing production capacity, the mix between domestic and foreign revenue sources, the mix of revenue by product line, and foreign currency exchange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88"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7"/>
          <w:szCs w:val="17"/>
          <w:color w:val="auto"/>
        </w:rPr>
        <w:t>Operating expenses consist of marketing and sales, research and development and general and administrative expenses. Personnel-related costs are the most significant component in each of these categories.</w:t>
      </w:r>
    </w:p>
    <w:p>
      <w:pPr>
        <w:spacing w:after="0" w:line="108"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Our business strategy is to continue to be a leading online and technology-enabled manufacturer of quick-turn, on-demand injection-molded, CNC-machined, 3D-printed and fabricated sheet metal custom parts for prototyping and low-volume production. In order to achieve our goals, we anticipate continued substantial investments in technology and personnel, resulting in increased operating expenses in the future.</w:t>
      </w:r>
    </w:p>
    <w:p>
      <w:pPr>
        <w:spacing w:after="0" w:line="13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Marketing and sales expense consists primarily of employee compensation, benefits, commissions, stock-based compensation, marketing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demand generation costs such as electronic, print and pay-per-click advertising, trade shows and other related overhead. We expect sales and marketing expense to increase in the future as we increase the number of marketing and sales professionals and marketing demand generation costs targeted to increase our customer base and grow revenue.</w:t>
      </w:r>
    </w:p>
    <w:p>
      <w:pPr>
        <w:spacing w:after="0" w:line="127"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Research and development expense consists primarily of personnel and outside service costs related to the development of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7"/>
          <w:szCs w:val="17"/>
          <w:i w:val="1"/>
          <w:iCs w:val="1"/>
          <w:color w:val="auto"/>
        </w:rPr>
        <w:t>Intangibles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Goodwill and Other, Internal-Use Software</w:t>
      </w:r>
      <w:r>
        <w:rPr>
          <w:rFonts w:ascii="Times New Roman" w:cs="Times New Roman" w:eastAsia="Times New Roman" w:hAnsi="Times New Roman"/>
          <w:sz w:val="17"/>
          <w:szCs w:val="17"/>
          <w:color w:val="auto"/>
        </w:rPr>
        <w:t>. We expect research and development expense to increase in the future as we seek to enhance our e-commerce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interface technology, internal software and supporting business systems, and continue to expand our product lines.</w:t>
      </w:r>
    </w:p>
    <w:p>
      <w:pPr>
        <w:spacing w:after="0" w:line="12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 consists primarily of employee compensation, benefits, stock-based compensation, professional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fees related to accounting, tax and legal, and other related overhead. We expect general and administrative expense to increase in the future as we continue to grow and expand as a global organization.</w:t>
      </w:r>
    </w:p>
    <w:p>
      <w:pPr>
        <w:spacing w:after="0" w:line="133" w:lineRule="exact"/>
        <w:rPr>
          <w:sz w:val="20"/>
          <w:szCs w:val="20"/>
          <w:color w:val="auto"/>
        </w:rPr>
      </w:pPr>
    </w:p>
    <w:p>
      <w:pPr>
        <w:jc w:val="both"/>
        <w:ind w:right="48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Benefits or costs related to disposal and exit activities. </w:t>
      </w:r>
      <w:r>
        <w:rPr>
          <w:rFonts w:ascii="Times New Roman" w:cs="Times New Roman" w:eastAsia="Times New Roman" w:hAnsi="Times New Roman"/>
          <w:sz w:val="17"/>
          <w:szCs w:val="17"/>
          <w:color w:val="auto"/>
        </w:rPr>
        <w:t>Costs related to disposal and exit activities is driven by our decision to close certain manufacturing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facilities in Germany. The expenses consist primarily of operating expenses, including employee severance, write-down of fixed assets and facility-related charges. Benefits may result from adjustments to initial estimates regarding the nature and timing of disposal and exit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8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Other income, net primarily consists of foreign currency-related gains and losses and interest income on cash balances and investments. Our foreign currency-related gains and losses will vary depending upon movements in underlying foreign currency exchange rates. Our interest income will vary each reporting period depending on our average cash balances during the period, composition of our marketable security portfolio and the current level of interest rates.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88"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Provision for income taxes is comprised of federal, state, local and foreign taxes based on pre-tax income. Overall, our effective tax rate for 2025 and beyond may differ from historical effective tax rates due to increases in losses in foreign operations that are not eligible for tax benefits on account of valuation allowances, as well as any future tax law changes that may impact our effective tax rate.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gridSpan w:val="7"/>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3"/>
          </w:tcPr>
          <w:p>
            <w:pPr>
              <w:ind w:left="86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40" w:type="dxa"/>
            <w:vAlign w:val="bottom"/>
          </w:tcPr>
          <w:p>
            <w:pPr>
              <w:spacing w:after="0"/>
              <w:rPr>
                <w:sz w:val="19"/>
                <w:szCs w:val="19"/>
                <w:color w:val="auto"/>
              </w:rPr>
            </w:pPr>
          </w:p>
        </w:tc>
      </w:tr>
      <w:tr>
        <w:trPr>
          <w:trHeight w:val="26"/>
        </w:trPr>
        <w:tc>
          <w:tcPr>
            <w:tcW w:w="2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400" w:type="dxa"/>
            <w:vAlign w:val="bottom"/>
          </w:tcPr>
          <w:p>
            <w:pPr>
              <w:spacing w:after="0"/>
              <w:rPr>
                <w:sz w:val="19"/>
                <w:szCs w:val="19"/>
                <w:color w:val="auto"/>
              </w:rPr>
            </w:pPr>
          </w:p>
        </w:tc>
        <w:tc>
          <w:tcPr>
            <w:tcW w:w="1400" w:type="dxa"/>
            <w:vAlign w:val="bottom"/>
            <w:gridSpan w:val="3"/>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4"/>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127,890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(1.3)</w:t>
            </w:r>
          </w:p>
        </w:tc>
      </w:tr>
      <w:tr>
        <w:trPr>
          <w:trHeight w:val="235"/>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w:t>
            </w:r>
          </w:p>
        </w:tc>
      </w:tr>
      <w:tr>
        <w:trPr>
          <w:trHeight w:val="26"/>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4"/>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57,467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(3.1)</w:t>
            </w:r>
          </w:p>
        </w:tc>
      </w:tr>
      <w:tr>
        <w:trPr>
          <w:trHeight w:val="235"/>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1"/>
        </w:trPr>
        <w:tc>
          <w:tcPr>
            <w:tcW w:w="2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Marketing and sales</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w:t>
            </w:r>
          </w:p>
        </w:tc>
      </w:tr>
      <w:tr>
        <w:trPr>
          <w:trHeight w:val="235"/>
        </w:trPr>
        <w:tc>
          <w:tcPr>
            <w:tcW w:w="2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(5.0)</w:t>
            </w:r>
          </w:p>
        </w:tc>
      </w:tr>
      <w:tr>
        <w:trPr>
          <w:trHeight w:val="26"/>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1"/>
        </w:trPr>
        <w:tc>
          <w:tcPr>
            <w:tcW w:w="2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3.3</w:t>
            </w:r>
          </w:p>
        </w:tc>
      </w:tr>
      <w:tr>
        <w:trPr>
          <w:trHeight w:val="217"/>
        </w:trPr>
        <w:tc>
          <w:tcPr>
            <w:tcW w:w="2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Benefits related to exit and</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2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disposal activities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4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r>
        <w:trPr>
          <w:trHeight w:val="26"/>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4"/>
        </w:trPr>
        <w:tc>
          <w:tcPr>
            <w:tcW w:w="28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50,640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1.0</w:t>
            </w: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6,827</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(33.6)</w:t>
            </w:r>
          </w:p>
        </w:tc>
      </w:tr>
      <w:tr>
        <w:trPr>
          <w:trHeight w:val="26"/>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1"/>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61.7</w:t>
            </w: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7,726</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(22.5)</w:t>
            </w:r>
          </w:p>
        </w:tc>
      </w:tr>
      <w:tr>
        <w:trPr>
          <w:trHeight w:val="26"/>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1"/>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(2.9)</w:t>
            </w:r>
          </w:p>
        </w:tc>
      </w:tr>
      <w:tr>
        <w:trPr>
          <w:trHeight w:val="254"/>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5,268</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(1,669)</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w:t>
            </w:r>
          </w:p>
        </w:tc>
      </w:tr>
      <w:tr>
        <w:trPr>
          <w:trHeight w:val="20"/>
        </w:trPr>
        <w:tc>
          <w:tcPr>
            <w:tcW w:w="2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3"/>
        </w:trPr>
        <w:tc>
          <w:tcPr>
            <w:tcW w:w="28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included in the statements of operations data above for the three months ended March 31,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Three Months Ended March</w:t>
            </w:r>
          </w:p>
        </w:tc>
      </w:tr>
      <w:tr>
        <w:trPr>
          <w:trHeight w:val="229"/>
        </w:trPr>
        <w:tc>
          <w:tcPr>
            <w:tcW w:w="8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31,</w:t>
            </w:r>
          </w:p>
        </w:tc>
        <w:tc>
          <w:tcPr>
            <w:tcW w:w="880" w:type="dxa"/>
            <w:vAlign w:val="bottom"/>
          </w:tcPr>
          <w:p>
            <w:pPr>
              <w:spacing w:after="0"/>
              <w:rPr>
                <w:sz w:val="19"/>
                <w:szCs w:val="19"/>
                <w:color w:val="auto"/>
              </w:rPr>
            </w:pPr>
          </w:p>
        </w:tc>
      </w:tr>
      <w:tr>
        <w:trPr>
          <w:trHeight w:val="26"/>
        </w:trPr>
        <w:tc>
          <w:tcPr>
            <w:tcW w:w="8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8"/>
        </w:trPr>
        <w:tc>
          <w:tcPr>
            <w:tcW w:w="8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100" w:type="dxa"/>
            <w:vAlign w:val="bottom"/>
          </w:tcPr>
          <w:p>
            <w:pPr>
              <w:spacing w:after="0"/>
              <w:rPr>
                <w:sz w:val="19"/>
                <w:szCs w:val="19"/>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8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restricted stock and performance stock</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w:t>
            </w:r>
          </w:p>
        </w:tc>
        <w:tc>
          <w:tcPr>
            <w:tcW w:w="420" w:type="dxa"/>
            <w:vAlign w:val="bottom"/>
            <w:tcBorders>
              <w:bottom w:val="single" w:sz="8" w:color="CCEEFF"/>
            </w:tcBorders>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3,955</w:t>
            </w:r>
          </w:p>
        </w:tc>
      </w:tr>
      <w:tr>
        <w:trPr>
          <w:trHeight w:val="235"/>
        </w:trPr>
        <w:tc>
          <w:tcPr>
            <w:tcW w:w="8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r>
      <w:tr>
        <w:trPr>
          <w:trHeight w:val="26"/>
        </w:trPr>
        <w:tc>
          <w:tcPr>
            <w:tcW w:w="88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4"/>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3,992</w:t>
            </w:r>
          </w:p>
        </w:tc>
        <w:tc>
          <w:tcPr>
            <w:tcW w:w="42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8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41"/>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420" w:type="dxa"/>
            <w:vAlign w:val="bottom"/>
            <w:tcBorders>
              <w:bottom w:val="single" w:sz="8" w:color="CCEEFF"/>
            </w:tcBorders>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35"/>
        </w:trPr>
        <w:tc>
          <w:tcPr>
            <w:tcW w:w="8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
        </w:trPr>
        <w:tc>
          <w:tcPr>
            <w:tcW w:w="8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8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Marketing and sales</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w:t>
            </w:r>
          </w:p>
        </w:tc>
      </w:tr>
      <w:tr>
        <w:trPr>
          <w:trHeight w:val="235"/>
        </w:trPr>
        <w:tc>
          <w:tcPr>
            <w:tcW w:w="8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w:t>
            </w:r>
          </w:p>
        </w:tc>
      </w:tr>
      <w:tr>
        <w:trPr>
          <w:trHeight w:val="26"/>
        </w:trPr>
        <w:tc>
          <w:tcPr>
            <w:tcW w:w="8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1"/>
        </w:trPr>
        <w:tc>
          <w:tcPr>
            <w:tcW w:w="8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w:t>
            </w:r>
          </w:p>
        </w:tc>
      </w:tr>
      <w:tr>
        <w:trPr>
          <w:trHeight w:val="254"/>
        </w:trPr>
        <w:tc>
          <w:tcPr>
            <w:tcW w:w="8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3,992</w:t>
            </w: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4,276</w:t>
            </w:r>
          </w:p>
        </w:tc>
      </w:tr>
      <w:tr>
        <w:trPr>
          <w:trHeight w:val="20"/>
        </w:trPr>
        <w:tc>
          <w:tcPr>
            <w:tcW w:w="8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3"/>
        </w:trPr>
        <w:tc>
          <w:tcPr>
            <w:tcW w:w="8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Three Months Ended March 31, 2025 and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reportable segment and the related changes for the three months ended March 31,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7"/>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8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78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79.4 %</w:t>
            </w:r>
          </w:p>
        </w:tc>
        <w:tc>
          <w:tcPr>
            <w:tcW w:w="8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79.4 %</w:t>
            </w:r>
          </w:p>
        </w:tc>
        <w:tc>
          <w:tcPr>
            <w:tcW w:w="8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20.6 %</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54"/>
        </w:trPr>
        <w:tc>
          <w:tcPr>
            <w:tcW w:w="37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126,205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4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Our revenue decreased $1.7 million, or 1.3%, for the three months ended March 31, 2025 compared to the same period in 2024. The decline in revenue was primarily driven by the leap year in 2024, resulting in a decrease in the number of operating days in the three months ended March 31, 2025 compared to the same period in 2024. By reportable segment, revenue in the United States decreased $1.2 million, or 1.2%, for the three months ended March 31, 2025 compared to the same period in 2024. Revenue in Europe decreased $0.5 million, or 1.8%, for the three months ended March 31, 2025 compared to the same period in</w:t>
      </w:r>
    </w:p>
    <w:p>
      <w:pPr>
        <w:spacing w:after="0" w:line="2"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color w:val="auto"/>
        </w:rPr>
        <w:t>2024. International revenue was negatively impacted by $0.5 million during the three months ended March 31, 2025 compared to the same period in 2024 as a result of foreign currency movements, primarily due to the weakening of the British Pound and Euro relative to the United States Dollar.</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During the three months ended March 31, 2025, we served 21,627 unique customer contacts, which is a decrease of 3.7% from the same period in 2024. Our customer contacts served decreased at a rate higher than our decrease in revenue. This was primarily due to our mix of customers served in the quarter as compared to the same period in 2024 and our strategic focus to earn larger orders from our customers as we strive to be their supplier of choice by serving their custom parts needs through the comprehensive offer of our factory and the Protolabs Network. Our revenue per customer contact grew 2.5% for the three months ended March 31, 2025 compared to the same period in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and the related changes for the three months ended March 31,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38.6 %</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52,663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41.2 %</w:t>
            </w:r>
          </w:p>
        </w:tc>
        <w:tc>
          <w:tcPr>
            <w:tcW w:w="8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2,911</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3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3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46.3</w:t>
            </w:r>
          </w:p>
        </w:tc>
        <w:tc>
          <w:tcPr>
            <w:tcW w:w="0" w:type="dxa"/>
            <w:vAlign w:val="bottom"/>
          </w:tcPr>
          <w:p>
            <w:pPr>
              <w:spacing w:after="0"/>
              <w:rPr>
                <w:sz w:val="1"/>
                <w:szCs w:val="1"/>
                <w:color w:val="auto"/>
              </w:rPr>
            </w:pPr>
          </w:p>
        </w:tc>
      </w:tr>
      <w:tr>
        <w:trPr>
          <w:trHeight w:val="26"/>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80" w:type="dxa"/>
            <w:vAlign w:val="bottom"/>
            <w:vMerge w:val="continue"/>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By product line, our revenue decrease was driven by a 7.5% decrease in Injection Molding revenue and a 6.4% decrease in 3D Printing revenue, partially offset by a 5.8% increase in CNC Machining revenue, an 18.5% increase in Sheet Metal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and a 46.3% increase in Other Revenue, in each case for the three months ended March 31, 2025 compared to the same period in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p>
      <w:pPr>
        <w:spacing w:after="0" w:line="18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increased $0.1 million, or 0.1%, for the three months ended March 31, 2025 compared to the same period in 2024, while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decreased 1.3% for the three months ended March 31, 2025 compared to the same period in 2024. The increase in the cost of revenue of $0.1 million was primarily driven by increases of $0.4 million in personnel and related costs during the three months ended March 31, 2025 compared to the same period in 2024, partially offset by decreases in equipment and facility-related costs of $0.3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Gross Profit and Gross Margin. </w:t>
      </w:r>
      <w:r>
        <w:rPr>
          <w:rFonts w:ascii="Times New Roman" w:cs="Times New Roman" w:eastAsia="Times New Roman" w:hAnsi="Times New Roman"/>
          <w:sz w:val="17"/>
          <w:szCs w:val="17"/>
          <w:color w:val="auto"/>
        </w:rPr>
        <w:t>Gross profit decreased $1.8 million, or 3.1% for the three months ended March 31, 2025 compared to the same period in 2024.</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margin decreased from 44.9% in the three months ended March 31, 2024 to 44.1% in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 Other Income, net and Provision for Income Taxes</w:t>
      </w:r>
    </w:p>
    <w:p>
      <w:pPr>
        <w:spacing w:after="0" w:line="18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Our marketing and sales expenses increased $0.6 million during the three months ended March 31, 2025 compared to the same period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primarily due to increases in personnel and related costs of $0.4 million primarily due to merit increases and incentive compensation related to commissions and $0.2 million in marketing program costs.</w:t>
      </w:r>
    </w:p>
    <w:p>
      <w:pPr>
        <w:spacing w:after="0" w:line="120"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Our research and development expenses decreased $0.6 million, or 5.0%, during the three months ended March 31, 2025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same period in 2024 primarily due to decreases in personnel and related costs of $0.4 million primarily due largely to lower contract labor spend and $0.4 million in professional services, partially offset by increases of $0.2 million in operating costs.</w:t>
      </w:r>
    </w:p>
    <w:p>
      <w:pPr>
        <w:spacing w:after="0" w:line="13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Our general and administrative expenses increased $0.5 million, or 3.3%, during the three months ended March 31, 2025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same period in 2024 primarily due to by increases of $1.0 million in administrative costs, partially offset by decreases in personnel and related costs of $0.2 million primarily due to lower headcount and $0.3 million in stock based compensation.</w:t>
      </w:r>
    </w:p>
    <w:p>
      <w:pPr>
        <w:spacing w:after="0" w:line="12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Benefits related to exit and disposal. </w:t>
      </w:r>
      <w:r>
        <w:rPr>
          <w:rFonts w:ascii="Times New Roman" w:cs="Times New Roman" w:eastAsia="Times New Roman" w:hAnsi="Times New Roman"/>
          <w:sz w:val="17"/>
          <w:szCs w:val="17"/>
          <w:color w:val="auto"/>
        </w:rPr>
        <w:t>Our decision to exit and close certain operations in Germany resulted in less than $0.1 million in personnel and related cost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during the three months ended March 31, 2025. The benefit is the result of timing of employee separation payments and changes from estimated amounts accrued in 2024. We had no costs related to exit and disposal activities during the three months ended March 31, 2024.</w:t>
      </w:r>
    </w:p>
    <w:p>
      <w:pPr>
        <w:spacing w:after="0" w:line="12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Other income, net. </w:t>
      </w:r>
      <w:r>
        <w:rPr>
          <w:rFonts w:ascii="Times New Roman" w:cs="Times New Roman" w:eastAsia="Times New Roman" w:hAnsi="Times New Roman"/>
          <w:sz w:val="17"/>
          <w:szCs w:val="17"/>
          <w:color w:val="auto"/>
        </w:rPr>
        <w:t>We recognized other income, net of $1.5 million for the three months ended March 31, 2025, an increase of $0.6 million compared to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net of $0.9 million for the three months ended March 31, 2024. Other income, net for the three months ended March 31, 2025 primarily consisted of $1.4 million in interest income on investments and other income. Other income, net for the three months ended March 31, 2024 primarily consisted of $1.1 million in interest income on investments and other income, partially offset by $0.2 million of foreign currency losses.</w:t>
      </w:r>
    </w:p>
    <w:p>
      <w:pPr>
        <w:spacing w:after="0" w:line="14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Our effective tax rate of 39.9% for the three months ended March 31, 2025 increased 8.1% compared to 31.8% for the same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2024. The increase in the effective tax rate was primarily due to a one-time release of tax reserves arising from a successful audit closure in 2024, that did not repeat in 2025. Our income tax provision of $2.4 million for the three months ended March 31, 2025 decreased $0.1 million as compared to our income tax provision of $2.5 million for the same period in 2024.</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flows during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20" w:type="dxa"/>
            <w:vAlign w:val="bottom"/>
          </w:tcPr>
          <w:p>
            <w:pPr>
              <w:spacing w:after="0"/>
              <w:rPr>
                <w:sz w:val="19"/>
                <w:szCs w:val="19"/>
                <w:color w:val="auto"/>
              </w:rPr>
            </w:pP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18,379</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21,338</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4,419</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(21,927)</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(16,619)</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(6,379)</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Sources of Liquidity</w:t>
      </w:r>
    </w:p>
    <w:p>
      <w:pPr>
        <w:spacing w:after="0" w:line="19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Historically, we have primarily financed our operations and capital expenditures through cash flow from operations. We had cash and cash equivalents of $82.7 million as of March 31, 2025, a decrease of $6.4 million from December 31, 2024. The decrease in our cash was primarily due to $1.3 million for purchases of property, equipment and other capital assets, $6.6 million for purchases of marketable securities and $20.9 million in repurchases of common stock, which were partially offset by cash provided by operating activities of $18.4 million and proceeds from call redemptions and maturities of marketable securities of $4.9 million.</w:t>
      </w:r>
    </w:p>
    <w:p>
      <w:pPr>
        <w:spacing w:after="0" w:line="342"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We believe that our existing cash and cash equivalents together with cash generated from operations will be sufficient to meet our working capital and capital expenditure requirements for at least the next 12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9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Cash flows from operating activities were $18.4 million during the three months ended March 31, 2025 and primarily consisted of net income of $3.6 million, adjusted for certain non-cash items, including depreciation and amortization of $8.7 million, stock-based compensation expense of $4.0 million, changes in operating assets and liabilities and other items totaling $3.4 million and an impairment of a leased facility of $0.2 million, which were partially offset by deferred taxes of $1.6 million. Cash flows from operating activities were $21.3 million during the three months ended March 31, 2024 and primarily consisted of net income of $5.3 million, adjusted for certain non-cash items, including depreciation and amortization of $9.1 million, stock-based compensation expense of $4.3 million and changes in operating assets and liabilities and other items totaling $4.9 million, which were partially offset by deferred taxes of $2.2 million.</w:t>
      </w:r>
    </w:p>
    <w:p>
      <w:pPr>
        <w:spacing w:after="0" w:line="13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Cash flows from operating activities decreased $3.0 million during the three months ended March 31, 2025 compared to the same period in 2024, primarily due to decreases in depreciation and amortization of $0.4 million, decreases in stock-based compensation of $0.3 million, decreases in net income of $1.7 million and changes in operating assets and liabilities totaling $1.5 million, which were partially offset by increases in deferred taxes of $0.7 million, and other property and equipment adjustments of $0.2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99" w:lineRule="exact"/>
        <w:rPr>
          <w:sz w:val="20"/>
          <w:szCs w:val="20"/>
          <w:color w:val="auto"/>
        </w:rPr>
      </w:pPr>
    </w:p>
    <w:p>
      <w:pPr>
        <w:ind w:right="500"/>
        <w:spacing w:after="0" w:line="295" w:lineRule="auto"/>
        <w:rPr>
          <w:sz w:val="20"/>
          <w:szCs w:val="20"/>
          <w:color w:val="auto"/>
        </w:rPr>
      </w:pPr>
      <w:r>
        <w:rPr>
          <w:rFonts w:ascii="Times New Roman" w:cs="Times New Roman" w:eastAsia="Times New Roman" w:hAnsi="Times New Roman"/>
          <w:sz w:val="17"/>
          <w:szCs w:val="17"/>
          <w:color w:val="auto"/>
        </w:rPr>
        <w:t>Cash used in investing activities was $2.9 million during the three months ended March 31, 2025, consisting of $1.3 million for net purchases of property, equipment and other capital assets and $1.6 million of purchases of marketable securities, net of proceeds from call redemptions and maturities.</w:t>
      </w:r>
    </w:p>
    <w:p>
      <w:pPr>
        <w:spacing w:after="0" w:line="108"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Cash provided by investing activities was $4.4 million during the three months ended March 31, 2024, consisting of $7.0 million in proceeds from call redemptions and maturities of marketable securities, which were partially offset by $2.6 million for net purchases of property, equipment and other capital assets.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9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Cash used in financing activities was $21.9 million during the three months ended March 31, 2025, consisting of $20.9 million in repurchases of common stock, $1.2 million in purchases of shares withheld for tax obligations associated with equity transactions and $0.1 million for repayments of finance lease obligations, which were partially offset by $0.3 million in proceeds related the exercise of non-qualified stock options.</w:t>
      </w:r>
    </w:p>
    <w:p>
      <w:pPr>
        <w:spacing w:after="0" w:line="12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Cash used in financing activities was $16.6 million during the three months ended March 31, 2024, consisting of $16.0 million in repurchases of common stock, $0.5 million in purchases of shares withheld for tax obligations associated with equity transactions and $0.1 million for repayments of finance lease obligations.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9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We have adopted various accounting policies to prepare the Consolidated Financial Statements in accordance with accounting principles generally accepted in the United States of America (U.S. GAAP). The preparation of these financial statements requires us to make estimates, judgements and assumptions. Our significant accounting policies and estimates are disclosed in Note 2 to the Consolidated Financial Statements included Part II, Item 8 in our Annual Report on Form 10-K for the year ended December 31, 2024. There were no material changes to our critical accounting policies and estimates during the three months ended March 31,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86"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For information on recent accounting pronouncements, see Note 2 to the Consolidated Financial Statements appearing in Part I, Item 1 in this Quarterly Report on Form 10-Q.</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18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As a result of our foreign operations, we have revenue, expenses, assets and liabilities that are denominated in foreign currencies. We generate revenue and incur production and sourcing costs and operating expenses in British Pounds and Euros.</w:t>
      </w:r>
    </w:p>
    <w:p>
      <w:pPr>
        <w:spacing w:after="0" w:line="10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3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gains of $0.1 million and foreign currency losses of $0.2 million for the three months ended March 31, 2025 and 2024, respectively. The changes in foreign exchange rates had an adverse impact on consolidated revenue of $0.5 million for the three months ended March 31, 2025 compared to the same period in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9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as amended (the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86"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8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9"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Part I, Item 1A. “Risk Factors” in our Annual Report on Form 10-K for the year ended December 31, 2024 includes a discussion of our risk factors. There have been no material changes from the risk factors described in our Form 10-K.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8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On February 4, 2025, our board of directors authorized a share repurchase program (the February 2025 Program). The February 2025 Program is open-ended and authorizes repurchases of shares of our common stock from time to time on the open market or in privately negotiated purchases, with a total stock repurchase authorized of up to $100 million. We have $79.1 million remaining under this authorization. The February 2025 Program does not obligate us to acquire any particular amount of shares of our common stock and remains in effect until the total authorized amount is expended or until further action by our board of directors. The actual timing, manner, number and value of shares repurchased under the February 2025 Program will be determined by our management in its discretion and will depend on several factors, including the market price of the Company's common stock, general market and economic conditions, applicable requirements, and other considerations.</w:t>
      </w:r>
    </w:p>
    <w:p>
      <w:pPr>
        <w:spacing w:after="0" w:line="147" w:lineRule="exact"/>
        <w:rPr>
          <w:sz w:val="20"/>
          <w:szCs w:val="20"/>
          <w:color w:val="auto"/>
        </w:rPr>
      </w:pPr>
    </w:p>
    <w:p>
      <w:pPr>
        <w:ind w:right="540"/>
        <w:spacing w:after="0" w:line="295" w:lineRule="auto"/>
        <w:rPr>
          <w:sz w:val="20"/>
          <w:szCs w:val="20"/>
          <w:color w:val="auto"/>
        </w:rPr>
      </w:pPr>
      <w:r>
        <w:rPr>
          <w:rFonts w:ascii="Times New Roman" w:cs="Times New Roman" w:eastAsia="Times New Roman" w:hAnsi="Times New Roman"/>
          <w:sz w:val="17"/>
          <w:szCs w:val="17"/>
          <w:color w:val="auto"/>
        </w:rPr>
        <w:t>During the three months ended March 31, 2025, we repurchased 513,739 shares of our common stock at a total purchase price of $20.9 million under this program. Common stock repurchase activity through March 31, 2025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Maximum Dollar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Value of Shares that</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May Yet Be</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Shares Purchased as</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Purchased Under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Part of Publicly</w:t>
            </w:r>
          </w:p>
        </w:tc>
        <w:tc>
          <w:tcPr>
            <w:tcW w:w="20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the Plans</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00" w:type="dxa"/>
            <w:vAlign w:val="bottom"/>
          </w:tcPr>
          <w:p>
            <w:pPr>
              <w:spacing w:after="0"/>
              <w:rPr>
                <w:sz w:val="18"/>
                <w:szCs w:val="18"/>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Average Price Paid</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Announced Plans or</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or Programs (in</w:t>
            </w:r>
          </w:p>
        </w:tc>
      </w:tr>
      <w:tr>
        <w:trPr>
          <w:trHeight w:val="22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200" w:type="dxa"/>
            <w:vAlign w:val="bottom"/>
          </w:tcPr>
          <w:p>
            <w:pPr>
              <w:spacing w:after="0"/>
              <w:rPr>
                <w:sz w:val="19"/>
                <w:szCs w:val="19"/>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thousands) (1)</w:t>
            </w:r>
          </w:p>
        </w:tc>
      </w:tr>
      <w:tr>
        <w:trPr>
          <w:trHeight w:val="26"/>
        </w:trPr>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34"/>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2025 through January 31, 2025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1, 2025 through February 28,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340,430</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41.96</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340,430</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85,714</w:t>
            </w:r>
          </w:p>
        </w:tc>
      </w:tr>
      <w:tr>
        <w:trPr>
          <w:trHeight w:val="26"/>
        </w:trPr>
        <w:tc>
          <w:tcPr>
            <w:tcW w:w="4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 2025 through March 31, 2025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173,309</w:t>
            </w:r>
          </w:p>
        </w:tc>
        <w:tc>
          <w:tcPr>
            <w:tcW w:w="3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173,309</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79,125</w:t>
            </w:r>
          </w:p>
        </w:tc>
      </w:tr>
      <w:tr>
        <w:trPr>
          <w:trHeight w:val="254"/>
        </w:trPr>
        <w:tc>
          <w:tcPr>
            <w:tcW w:w="4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513,739</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40.63</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513,739</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79,125</w:t>
            </w:r>
          </w:p>
        </w:tc>
      </w:tr>
      <w:tr>
        <w:trPr>
          <w:trHeight w:val="20"/>
        </w:trPr>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86"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7"/>
          <w:szCs w:val="17"/>
          <w:color w:val="auto"/>
        </w:rPr>
        <w:t>During the three months ended March 31, 2025,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are filed as part of this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96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50"/>
        </w:trPr>
        <w:tc>
          <w:tcPr>
            <w:tcW w:w="13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10"/>
          </w:tcPr>
          <w:p>
            <w:pPr>
              <w:spacing w:after="0" w:line="150"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Third Amended and Restated Articles of Incorporation of Proto Labs, Inc. (incorporated by reference to Exhibit 3.2 to the Company’s Registration Statement on Form S-1/A,</w:t>
              </w:r>
            </w:hyperlink>
          </w:p>
        </w:tc>
      </w:tr>
      <w:tr>
        <w:trPr>
          <w:trHeight w:val="137"/>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80" w:type="dxa"/>
            <w:vAlign w:val="bottom"/>
            <w:tcBorders>
              <w:top w:val="single" w:sz="8" w:color="0000EE"/>
            </w:tcBorders>
            <w:gridSpan w:val="9"/>
          </w:tcPr>
          <w:p>
            <w:pPr>
              <w:spacing w:after="0" w:line="137"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filed on February 13, 2012).</w:t>
              </w:r>
            </w:hyperlink>
          </w:p>
        </w:tc>
        <w:tc>
          <w:tcPr>
            <w:tcW w:w="100" w:type="dxa"/>
            <w:vAlign w:val="bottom"/>
          </w:tcPr>
          <w:p>
            <w:pPr>
              <w:spacing w:after="0"/>
              <w:rPr>
                <w:sz w:val="11"/>
                <w:szCs w:val="1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02"/>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0"/>
          </w:tcPr>
          <w:p>
            <w:pPr>
              <w:spacing w:after="0"/>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Articles of Amendment to Third Amended and Restated Articles of Incorporation of Proto Labs, Inc. dated May 20, 2015 (incorporated by reference to Exhibit 3.1 to the</w:t>
              </w:r>
            </w:hyperlink>
          </w:p>
        </w:tc>
      </w:tr>
      <w:tr>
        <w:trPr>
          <w:trHeight w:val="137"/>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20" w:type="dxa"/>
            <w:vAlign w:val="bottom"/>
            <w:tcBorders>
              <w:top w:val="single" w:sz="8" w:color="0000EE"/>
            </w:tcBorders>
            <w:gridSpan w:val="7"/>
          </w:tcPr>
          <w:p>
            <w:pPr>
              <w:spacing w:after="0" w:line="137"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Company's Form 8-K, filed with the Commission on May 21, 2015).</w:t>
              </w:r>
            </w:hyperlink>
          </w:p>
        </w:tc>
        <w:tc>
          <w:tcPr>
            <w:tcW w:w="10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02"/>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0"/>
          </w:tcPr>
          <w:p>
            <w:pPr>
              <w:spacing w:after="0"/>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Third Amended and Restated By-Laws of Proto Labs, Inc., as amended through November 15, 2022 (incorporated by reference to Exhibit 3.2 to the Company's Form 8-K,</w:t>
              </w:r>
            </w:hyperlink>
          </w:p>
        </w:tc>
      </w:tr>
      <w:tr>
        <w:trPr>
          <w:trHeight w:val="137"/>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Borders>
              <w:top w:val="single" w:sz="8" w:color="0000EE"/>
              <w:bottom w:val="single" w:sz="8" w:color="0000EE"/>
            </w:tcBorders>
            <w:gridSpan w:val="2"/>
          </w:tcPr>
          <w:p>
            <w:pPr>
              <w:spacing w:after="0" w:line="137" w:lineRule="exact"/>
              <w:rPr>
                <w:rFonts w:ascii="Times New Roman" w:cs="Times New Roman" w:eastAsia="Times New Roman" w:hAnsi="Times New Roman"/>
                <w:sz w:val="14"/>
                <w:szCs w:val="14"/>
                <w:color w:val="0000EE"/>
                <w:w w:val="98"/>
              </w:rPr>
            </w:pPr>
            <w:hyperlink r:id="rId73">
              <w:r>
                <w:rPr>
                  <w:rFonts w:ascii="Times New Roman" w:cs="Times New Roman" w:eastAsia="Times New Roman" w:hAnsi="Times New Roman"/>
                  <w:sz w:val="14"/>
                  <w:szCs w:val="14"/>
                  <w:color w:val="0000EE"/>
                  <w:w w:val="98"/>
                </w:rPr>
                <w:t>filed on November 15, 2022).</w:t>
              </w:r>
            </w:hyperlink>
          </w:p>
        </w:tc>
        <w:tc>
          <w:tcPr>
            <w:tcW w:w="7860" w:type="dxa"/>
            <w:vAlign w:val="bottom"/>
            <w:tcBorders>
              <w:top w:val="single" w:sz="8" w:color="0000EE"/>
            </w:tcBorders>
            <w:gridSpan w:val="6"/>
          </w:tcPr>
          <w:p>
            <w:pPr>
              <w:spacing w:after="0"/>
              <w:rPr>
                <w:sz w:val="11"/>
                <w:szCs w:val="11"/>
                <w:color w:val="auto"/>
              </w:rPr>
            </w:pPr>
          </w:p>
        </w:tc>
        <w:tc>
          <w:tcPr>
            <w:tcW w:w="260" w:type="dxa"/>
            <w:vAlign w:val="bottom"/>
            <w:gridSpan w:val="2"/>
          </w:tcPr>
          <w:p>
            <w:pPr>
              <w:spacing w:after="0"/>
              <w:rPr>
                <w:sz w:val="11"/>
                <w:szCs w:val="11"/>
                <w:color w:val="auto"/>
              </w:rPr>
            </w:pPr>
          </w:p>
        </w:tc>
      </w:tr>
      <w:tr>
        <w:trPr>
          <w:trHeight w:val="202"/>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pursuant to Section 302 of the Sarbanes-Oxley Act*</w:t>
            </w:r>
          </w:p>
        </w:tc>
      </w:tr>
      <w:tr>
        <w:trPr>
          <w:trHeight w:val="189"/>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9"/>
              </w:rPr>
              <w:t>Certification of the Chief Financial Officer pursuant to Section 302 of the Sarbanes-Oxley Act*</w:t>
            </w:r>
          </w:p>
        </w:tc>
        <w:tc>
          <w:tcPr>
            <w:tcW w:w="4420" w:type="dxa"/>
            <w:vAlign w:val="bottom"/>
            <w:gridSpan w:val="5"/>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r>
      <w:tr>
        <w:trPr>
          <w:trHeight w:val="189"/>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and the Chief Financial Officer pursuant to Section 906 of the Sarbanes-Oxley Act**</w:t>
            </w: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40" w:type="dxa"/>
            <w:vAlign w:val="bottom"/>
            <w:gridSpan w:val="6"/>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r>
      <w:tr>
        <w:trPr>
          <w:trHeight w:val="193"/>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6"/>
                <w:szCs w:val="16"/>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Instance Document (the Instance Document does not appear in the Interactive Data File because its XBRL tags are embedded within the Inline XBRL</w:t>
            </w:r>
          </w:p>
        </w:tc>
      </w:tr>
      <w:tr>
        <w:trPr>
          <w:trHeight w:val="182"/>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09"/>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101.PRE</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3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*Filed herewith.</w:t>
      </w:r>
    </w:p>
    <w:p>
      <w:pPr>
        <w:spacing w:after="0" w:line="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Proto Labs, Inc.</w:t>
      </w:r>
    </w:p>
    <w:p>
      <w:pPr>
        <w:spacing w:after="0" w:line="30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May 2, 2025</w:t>
      </w:r>
      <w:r>
        <w:rPr>
          <w:sz w:val="20"/>
          <w:szCs w:val="20"/>
          <w:color w:val="auto"/>
        </w:rPr>
        <w:tab/>
      </w:r>
      <w:r>
        <w:rPr>
          <w:rFonts w:ascii="Times New Roman" w:cs="Times New Roman" w:eastAsia="Times New Roman" w:hAnsi="Times New Roman"/>
          <w:sz w:val="17"/>
          <w:szCs w:val="17"/>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Robert Bodor</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9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May 2, 2025</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840"/>
          </w:cols>
          <w:pgMar w:left="320" w:top="121" w:right="7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Bodor, certify that:</w:t>
      </w:r>
    </w:p>
    <w:p>
      <w:pPr>
        <w:spacing w:after="0" w:line="223" w:lineRule="exact"/>
        <w:rPr>
          <w:sz w:val="20"/>
          <w:szCs w:val="20"/>
          <w:color w:val="auto"/>
        </w:rPr>
      </w:pPr>
    </w:p>
    <w:p>
      <w:pPr>
        <w:ind w:left="640" w:hanging="165"/>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May 2, 2025</w:t>
      </w:r>
      <w:r>
        <w:rPr>
          <w:sz w:val="20"/>
          <w:szCs w:val="20"/>
          <w:color w:val="auto"/>
        </w:rPr>
        <w:tab/>
      </w:r>
      <w:r>
        <w:rPr>
          <w:rFonts w:ascii="Times New Roman" w:cs="Times New Roman" w:eastAsia="Times New Roman" w:hAnsi="Times New Roman"/>
          <w:sz w:val="17"/>
          <w:szCs w:val="17"/>
          <w:color w:val="auto"/>
        </w:rPr>
        <w:t>By:</w:t>
        <w:tab/>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Robert Bodor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12"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Daniel Schumacher, certify that:</w:t>
      </w:r>
    </w:p>
    <w:p>
      <w:pPr>
        <w:spacing w:after="0" w:line="223" w:lineRule="exact"/>
        <w:rPr>
          <w:sz w:val="20"/>
          <w:szCs w:val="20"/>
          <w:color w:val="auto"/>
        </w:rPr>
      </w:pPr>
    </w:p>
    <w:p>
      <w:pPr>
        <w:ind w:left="640" w:hanging="165"/>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May 2, 2025</w:t>
      </w:r>
      <w:r>
        <w:rPr>
          <w:sz w:val="20"/>
          <w:szCs w:val="20"/>
          <w:color w:val="auto"/>
        </w:rPr>
        <w:tab/>
      </w:r>
      <w:r>
        <w:rPr>
          <w:rFonts w:ascii="Times New Roman" w:cs="Times New Roman" w:eastAsia="Times New Roman" w:hAnsi="Times New Roman"/>
          <w:sz w:val="17"/>
          <w:szCs w:val="17"/>
          <w:color w:val="auto"/>
        </w:rPr>
        <w:t>By:</w:t>
        <w:tab/>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112"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 Robert Bodor, certify, pursuant to 18 U.S.C. Section 1350, as adopted pursuant to Section 906 of the Sarbanes-Oxley Act of 2002, that the Quarterly Report of Proto Labs, Inc. on Form 10-Q for the fiscal quarter ended March 31, 2025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Date: May 2, 2025</w:t>
            </w:r>
          </w:p>
        </w:tc>
        <w:tc>
          <w:tcPr>
            <w:tcW w:w="320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Robert Bodor</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200" w:type="dxa"/>
            <w:vAlign w:val="bottom"/>
            <w:vMerge w:val="restart"/>
          </w:tcPr>
          <w:p>
            <w:pPr>
              <w:ind w:left="24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20" w:type="dxa"/>
            <w:vAlign w:val="bottom"/>
          </w:tcPr>
          <w:p>
            <w:pPr>
              <w:spacing w:after="0"/>
              <w:rPr>
                <w:sz w:val="19"/>
                <w:szCs w:val="19"/>
                <w:color w:val="auto"/>
              </w:rPr>
            </w:pPr>
          </w:p>
        </w:tc>
        <w:tc>
          <w:tcPr>
            <w:tcW w:w="320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Robert Bodor</w:t>
            </w: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2"/>
                <w:szCs w:val="22"/>
                <w:color w:val="auto"/>
              </w:rPr>
            </w:pPr>
          </w:p>
        </w:tc>
        <w:tc>
          <w:tcPr>
            <w:tcW w:w="320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7"/>
          <w:szCs w:val="17"/>
          <w:color w:val="auto"/>
        </w:rPr>
        <w:t>I, Daniel Schumacher, certify, pursuant to 18 U.S.C. Section 1350, as adopted pursuant to Section 906 of the Sarbanes-Oxley Act of 2002, that the Quarterly Report of Proto Labs, Inc. on Form 10-Q for the fiscal quarter ended March 31, 2025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Date: May 2, 2025</w:t>
            </w:r>
          </w:p>
        </w:tc>
        <w:tc>
          <w:tcPr>
            <w:tcW w:w="320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Daniel Schumacher</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200" w:type="dxa"/>
            <w:vAlign w:val="bottom"/>
            <w:vMerge w:val="restart"/>
          </w:tcPr>
          <w:p>
            <w:pPr>
              <w:ind w:left="24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20" w:type="dxa"/>
            <w:vAlign w:val="bottom"/>
          </w:tcPr>
          <w:p>
            <w:pPr>
              <w:spacing w:after="0"/>
              <w:rPr>
                <w:sz w:val="19"/>
                <w:szCs w:val="19"/>
                <w:color w:val="auto"/>
              </w:rPr>
            </w:pPr>
          </w:p>
        </w:tc>
        <w:tc>
          <w:tcPr>
            <w:tcW w:w="320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Daniel Schumacher</w:t>
            </w: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2"/>
                <w:szCs w:val="22"/>
                <w:color w:val="auto"/>
              </w:rPr>
            </w:pPr>
          </w:p>
        </w:tc>
        <w:tc>
          <w:tcPr>
            <w:tcW w:w="320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1" Type="http://schemas.openxmlformats.org/officeDocument/2006/relationships/hyperlink" Target="https://www.sec.gov/Archives/edgar/data/1443669/000119312512054357/d199869dex32.htm" TargetMode="External"/><Relationship Id="rId72" Type="http://schemas.openxmlformats.org/officeDocument/2006/relationships/hyperlink" Target="https://www.sec.gov/Archives/edgar/data/1443669/000143774915010824/ex3-1.htm" TargetMode="External"/><Relationship Id="rId73" Type="http://schemas.openxmlformats.org/officeDocument/2006/relationships/hyperlink" Target="https://www.sec.gov/Archives/edgar/data/1443669/000143774922027471/ex_4451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2025-05-02T15:15:26Z</dcterms:created>
  <dcterms:modified xsi:type="dcterms:W3CDTF">2025-05-02T15:15:26Z</dcterms:modified>
</cp:coreProperties>
</file>