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9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80" w:right="154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162"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b w:val="1"/>
                <w:bCs w:val="1"/>
                <w:color w:val="auto"/>
                <w:w w:val="91"/>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Arial" w:cs="Arial" w:eastAsia="Arial" w:hAnsi="Arial"/>
                <w:sz w:val="18"/>
                <w:szCs w:val="18"/>
                <w:b w:val="1"/>
                <w:bCs w:val="1"/>
                <w:color w:val="auto"/>
                <w:w w:val="82"/>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b w:val="1"/>
                <w:bCs w:val="1"/>
                <w:color w:val="auto"/>
                <w:w w:val="90"/>
              </w:rPr>
              <w:t>Commission File Number: 001-35435</w:t>
            </w:r>
          </w:p>
        </w:tc>
      </w:tr>
    </w:tbl>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Proto Labs, Inc.</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Minnesota</w:t>
            </w:r>
          </w:p>
        </w:tc>
        <w:tc>
          <w:tcPr>
            <w:tcW w:w="4720" w:type="dxa"/>
            <w:vAlign w:val="bottom"/>
          </w:tcPr>
          <w:p>
            <w:pPr>
              <w:jc w:val="right"/>
              <w:ind w:right="790"/>
              <w:spacing w:after="0"/>
              <w:rPr>
                <w:sz w:val="20"/>
                <w:szCs w:val="20"/>
                <w:color w:val="auto"/>
              </w:rPr>
            </w:pPr>
            <w:r>
              <w:rPr>
                <w:rFonts w:ascii="Arial" w:cs="Arial" w:eastAsia="Arial" w:hAnsi="Arial"/>
                <w:sz w:val="18"/>
                <w:szCs w:val="18"/>
                <w:b w:val="1"/>
                <w:bCs w:val="1"/>
                <w:color w:val="auto"/>
              </w:rPr>
              <w:t>41-1939628</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Maple Plain, Minnesota</w:t>
            </w:r>
          </w:p>
        </w:tc>
        <w:tc>
          <w:tcPr>
            <w:tcW w:w="4720" w:type="dxa"/>
            <w:vAlign w:val="bottom"/>
          </w:tcPr>
          <w:p>
            <w:pPr>
              <w:jc w:val="right"/>
              <w:ind w:right="990"/>
              <w:spacing w:after="0"/>
              <w:rPr>
                <w:sz w:val="20"/>
                <w:szCs w:val="20"/>
                <w:color w:val="auto"/>
              </w:rPr>
            </w:pPr>
            <w:r>
              <w:rPr>
                <w:rFonts w:ascii="Arial" w:cs="Arial" w:eastAsia="Arial" w:hAnsi="Arial"/>
                <w:sz w:val="18"/>
                <w:szCs w:val="18"/>
                <w:b w:val="1"/>
                <w:bCs w:val="1"/>
                <w:color w:val="auto"/>
              </w:rPr>
              <w:t>55359</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1"/>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Arial" w:cs="Arial" w:eastAsia="Arial" w:hAnsi="Arial"/>
                <w:sz w:val="18"/>
                <w:szCs w:val="18"/>
                <w:b w:val="1"/>
                <w:bCs w:val="1"/>
                <w:color w:val="auto"/>
                <w:w w:val="92"/>
              </w:rPr>
              <w:t>(763) 479-3680</w:t>
            </w:r>
          </w:p>
        </w:tc>
      </w:tr>
    </w:tbl>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ectPr>
          <w:pgSz w:w="11900" w:h="16838" w:orient="portrait"/>
          <w:cols w:equalWidth="0" w:num="1">
            <w:col w:w="11080"/>
          </w:cols>
          <w:pgMar w:left="320" w:top="692" w:right="499" w:bottom="1440" w:gutter="0" w:footer="0" w:header="0"/>
        </w:sectPr>
      </w:pPr>
    </w:p>
    <w:p>
      <w:pPr>
        <w:spacing w:after="0" w:line="211"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4225" cy="302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r>
      <w:tr>
        <w:trPr>
          <w:trHeight w:val="206"/>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PRLB</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22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170" w:lineRule="exact"/>
        <w:rPr>
          <w:sz w:val="24"/>
          <w:szCs w:val="24"/>
          <w:color w:val="auto"/>
        </w:rPr>
      </w:pPr>
    </w:p>
    <w:p>
      <w:pPr>
        <w:sectPr>
          <w:pgSz w:w="11900" w:h="16838" w:orient="portrait"/>
          <w:cols w:equalWidth="0" w:num="2">
            <w:col w:w="7320" w:space="360"/>
            <w:col w:w="3400"/>
          </w:cols>
          <w:pgMar w:left="320" w:top="692" w:right="499" w:bottom="1440" w:gutter="0" w:footer="0" w:header="0"/>
          <w:type w:val="continuous"/>
        </w:sectPr>
      </w:pPr>
    </w:p>
    <w:p>
      <w:pPr>
        <w:ind w:left="1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ind w:left="140" w:right="100" w:firstLine="486"/>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182" w:lineRule="exact"/>
        <w:rPr>
          <w:sz w:val="24"/>
          <w:szCs w:val="24"/>
          <w:color w:val="auto"/>
        </w:rPr>
      </w:pPr>
    </w:p>
    <w:p>
      <w:pPr>
        <w:ind w:left="140" w:right="480" w:firstLine="486"/>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w w:val="97"/>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40" w:right="4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58" w:lineRule="exact"/>
        <w:rPr>
          <w:sz w:val="24"/>
          <w:szCs w:val="24"/>
          <w:color w:val="auto"/>
        </w:rPr>
      </w:pPr>
    </w:p>
    <w:p>
      <w:pPr>
        <w:ind w:left="140" w:right="80" w:firstLine="48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26,753,545 shares of Common Stock, par value $0.001 per share, were outstanding at 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92"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spacing w:after="0"/>
              <w:rPr>
                <w:rFonts w:ascii="Arial" w:cs="Arial" w:eastAsia="Arial" w:hAnsi="Arial"/>
                <w:sz w:val="18"/>
                <w:szCs w:val="18"/>
                <w:u w:val="single" w:color="auto"/>
                <w:color w:val="0000EE"/>
                <w:w w:val="90"/>
              </w:rPr>
            </w:pPr>
            <w:hyperlink w:anchor="page2">
              <w:r>
                <w:rPr>
                  <w:rFonts w:ascii="Arial" w:cs="Arial" w:eastAsia="Arial" w:hAnsi="Arial"/>
                  <w:sz w:val="18"/>
                  <w:szCs w:val="18"/>
                  <w:u w:val="single" w:color="auto"/>
                  <w:color w:val="0000EE"/>
                  <w:w w:val="90"/>
                </w:rPr>
                <w:t>Table of Contents</w:t>
              </w:r>
            </w:hyperlink>
          </w:p>
        </w:tc>
        <w:tc>
          <w:tcPr>
            <w:tcW w:w="6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57"/>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ind w:left="3580"/>
              <w:spacing w:after="0"/>
              <w:rPr>
                <w:sz w:val="20"/>
                <w:szCs w:val="20"/>
                <w:color w:val="auto"/>
              </w:rPr>
            </w:pPr>
            <w:r>
              <w:rPr>
                <w:rFonts w:ascii="Arial" w:cs="Arial" w:eastAsia="Arial" w:hAnsi="Arial"/>
                <w:sz w:val="18"/>
                <w:szCs w:val="18"/>
                <w:b w:val="1"/>
                <w:bCs w:val="1"/>
                <w:color w:val="auto"/>
              </w:rPr>
              <w:t>Proto Labs, Inc.</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67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w w:val="83"/>
              </w:rPr>
              <w:t>Page</w:t>
            </w:r>
          </w:p>
        </w:tc>
      </w:tr>
      <w:tr>
        <w:trPr>
          <w:trHeight w:val="411"/>
        </w:trPr>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Borders>
              <w:top w:val="single" w:sz="8" w:color="auto"/>
            </w:tcBorders>
          </w:tcPr>
          <w:p>
            <w:pPr>
              <w:jc w:val="center"/>
              <w:ind w:left="1870"/>
              <w:spacing w:after="0"/>
              <w:rPr>
                <w:rFonts w:ascii="Arial" w:cs="Arial" w:eastAsia="Arial" w:hAnsi="Arial"/>
                <w:sz w:val="18"/>
                <w:szCs w:val="18"/>
                <w:u w:val="single" w:color="auto"/>
                <w:color w:val="0000EE"/>
                <w:w w:val="92"/>
              </w:rPr>
            </w:pPr>
            <w:hyperlink w:anchor="page2">
              <w:r>
                <w:rPr>
                  <w:rFonts w:ascii="Arial" w:cs="Arial" w:eastAsia="Arial" w:hAnsi="Arial"/>
                  <w:sz w:val="18"/>
                  <w:szCs w:val="18"/>
                  <w:u w:val="single" w:color="auto"/>
                  <w:color w:val="0000EE"/>
                  <w:w w:val="92"/>
                </w:rPr>
                <w:t>PART I</w:t>
              </w:r>
            </w:hyperlink>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Financial Statements</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99"/>
              </w:rPr>
              <w:t>2</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w w:val="94"/>
              </w:rPr>
            </w:pPr>
            <w:hyperlink w:anchor="page15">
              <w:r>
                <w:rPr>
                  <w:rFonts w:ascii="Arial" w:cs="Arial" w:eastAsia="Arial" w:hAnsi="Arial"/>
                  <w:sz w:val="18"/>
                  <w:szCs w:val="18"/>
                  <w:u w:val="single" w:color="auto"/>
                  <w:color w:val="0000EE"/>
                  <w:w w:val="94"/>
                </w:rPr>
                <w:t>Management's Discussion and Analysis of Financial Condition and Results of Operations</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16</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Quantitative and Qualitative Disclosures about Market Risk</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26</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Controls and Procedures</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27</w:t>
            </w: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jc w:val="center"/>
              <w:ind w:left="1850"/>
              <w:spacing w:after="0"/>
              <w:rPr>
                <w:rFonts w:ascii="Arial" w:cs="Arial" w:eastAsia="Arial" w:hAnsi="Arial"/>
                <w:sz w:val="18"/>
                <w:szCs w:val="18"/>
                <w:u w:val="single" w:color="auto"/>
                <w:color w:val="0000EE"/>
                <w:w w:val="95"/>
              </w:rPr>
            </w:pPr>
            <w:hyperlink w:anchor="page22">
              <w:r>
                <w:rPr>
                  <w:rFonts w:ascii="Arial" w:cs="Arial" w:eastAsia="Arial" w:hAnsi="Arial"/>
                  <w:sz w:val="18"/>
                  <w:szCs w:val="18"/>
                  <w:u w:val="single" w:color="auto"/>
                  <w:color w:val="0000EE"/>
                  <w:w w:val="95"/>
                </w:rPr>
                <w:t>PART II</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Proceedings</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28</w:t>
            </w:r>
          </w:p>
        </w:tc>
      </w:tr>
      <w:tr>
        <w:trPr>
          <w:trHeight w:val="216"/>
        </w:trPr>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1A.</w:t>
            </w: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28</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Unregistered Sales of Equity Securities and Use of Proceeds</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28</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Defaults Upon Senior Securities</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28</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Mine Safety Disclosures</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28</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Other Information</w:t>
              </w:r>
            </w:hyperlink>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28</w:t>
            </w:r>
          </w:p>
        </w:tc>
      </w:tr>
      <w:tr>
        <w:trPr>
          <w:trHeight w:val="230"/>
        </w:trPr>
        <w:tc>
          <w:tcPr>
            <w:tcW w:w="10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240" w:type="dxa"/>
            <w:vAlign w:val="bottom"/>
          </w:tcPr>
          <w:p>
            <w:pPr>
              <w:spacing w:after="0"/>
              <w:rPr>
                <w:sz w:val="20"/>
                <w:szCs w:val="20"/>
                <w:color w:val="auto"/>
              </w:rPr>
            </w:pPr>
          </w:p>
        </w:tc>
        <w:tc>
          <w:tcPr>
            <w:tcW w:w="67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Exhibits</w:t>
              </w:r>
            </w:hyperlink>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29</w:t>
            </w:r>
          </w:p>
        </w:tc>
      </w:tr>
      <w:tr>
        <w:trPr>
          <w:trHeight w:val="675"/>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1300" w:type="dxa"/>
            <w:vAlign w:val="bottom"/>
            <w:tcBorders>
              <w:bottom w:val="single" w:sz="8" w:color="9A9A9A"/>
            </w:tcBorders>
            <w:gridSpan w:val="2"/>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w w:val="90"/>
              </w:rPr>
            </w:pPr>
            <w:hyperlink w:anchor="page2">
              <w:r>
                <w:rPr>
                  <w:rFonts w:ascii="Arial" w:cs="Arial" w:eastAsia="Arial" w:hAnsi="Arial"/>
                  <w:sz w:val="18"/>
                  <w:szCs w:val="18"/>
                  <w:u w:val="single" w:color="auto"/>
                  <w:color w:val="0000EE"/>
                  <w:w w:val="90"/>
                </w:rPr>
                <w:t>Table of Contents</w:t>
              </w:r>
            </w:hyperlink>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57"/>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Proto Labs, Inc.</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87"/>
              </w:rPr>
              <w:t>Consolidated Balance Sheets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1"/>
        </w:trPr>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gridSpan w:val="3"/>
          </w:tcPr>
          <w:p>
            <w:pPr>
              <w:spacing w:after="0"/>
              <w:rPr>
                <w:sz w:val="24"/>
                <w:szCs w:val="24"/>
                <w:color w:val="auto"/>
              </w:rPr>
            </w:pPr>
          </w:p>
        </w:tc>
      </w:tr>
      <w:tr>
        <w:trPr>
          <w:trHeight w:val="522"/>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09"/>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125,225</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30,993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35,437</w:t>
            </w:r>
          </w:p>
        </w:tc>
      </w:tr>
      <w:tr>
        <w:trPr>
          <w:trHeight w:val="202"/>
        </w:trPr>
        <w:tc>
          <w:tcPr>
            <w:tcW w:w="80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$1,854 and $952 as of September 30,</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2020 and December 31, 2019, respectively</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57,450</w:t>
            </w:r>
          </w:p>
        </w:tc>
      </w:tr>
      <w:tr>
        <w:trPr>
          <w:trHeight w:val="216"/>
        </w:trPr>
        <w:tc>
          <w:tcPr>
            <w:tcW w:w="1300" w:type="dxa"/>
            <w:vAlign w:val="bottom"/>
            <w:gridSpan w:val="2"/>
          </w:tcPr>
          <w:p>
            <w:pPr>
              <w:ind w:left="340"/>
              <w:spacing w:after="0"/>
              <w:rPr>
                <w:sz w:val="20"/>
                <w:szCs w:val="20"/>
                <w:color w:val="auto"/>
              </w:rPr>
            </w:pPr>
            <w:r>
              <w:rPr>
                <w:rFonts w:ascii="Arial" w:cs="Arial" w:eastAsia="Arial" w:hAnsi="Arial"/>
                <w:sz w:val="18"/>
                <w:szCs w:val="18"/>
                <w:color w:val="auto"/>
              </w:rPr>
              <w:t>Inventory</w:t>
            </w: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10,075</w:t>
            </w: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8,232</w:t>
            </w:r>
          </w:p>
        </w:tc>
      </w:tr>
      <w:tr>
        <w:trPr>
          <w:trHeight w:val="209"/>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236,419</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281,895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263,712</w:t>
            </w:r>
          </w:p>
        </w:tc>
      </w:tr>
      <w:tr>
        <w:trPr>
          <w:trHeight w:val="216"/>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128,752</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17,369</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12,960</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11,425</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3,030</w:t>
            </w:r>
          </w:p>
        </w:tc>
      </w:tr>
      <w:tr>
        <w:trPr>
          <w:trHeight w:val="249"/>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726,126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673,667</w:t>
            </w:r>
          </w:p>
        </w:tc>
      </w:tr>
      <w:tr>
        <w:trPr>
          <w:trHeight w:val="196"/>
        </w:trPr>
        <w:tc>
          <w:tcPr>
            <w:tcW w:w="8000" w:type="dxa"/>
            <w:vAlign w:val="bottom"/>
            <w:tcBorders>
              <w:top w:val="single" w:sz="8" w:color="CCEEFF"/>
            </w:tcBorders>
            <w:gridSpan w:val="3"/>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w w:val="96"/>
              </w:rPr>
              <w:t>Current liabilities</w:t>
            </w: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16,804</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15,058</w:t>
            </w: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11,057</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3,340</w:t>
            </w: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finance lease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1,322</w:t>
            </w:r>
          </w:p>
        </w:tc>
      </w:tr>
      <w:tr>
        <w:trPr>
          <w:trHeight w:val="209"/>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47,581</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Long-term operating lease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8,565</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finance lease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Long-term deferred tax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26,283</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5,448</w:t>
            </w:r>
          </w:p>
        </w:tc>
      </w:tr>
      <w:tr>
        <w:trPr>
          <w:trHeight w:val="209"/>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100,305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87,877</w:t>
            </w:r>
          </w:p>
        </w:tc>
      </w:tr>
      <w:tr>
        <w:trPr>
          <w:trHeight w:val="216"/>
        </w:trPr>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-7037070</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-7045960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-5356860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-5365750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2" w:name="page3"/>
    <w:bookmarkEnd w:id="2"/>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Preferred stock, $0.001 par value, authorized 10,000,000 shares; issued and outstanding 0 shares as of</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each of September 30, 2020 and December 31, 2019</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4"/>
              </w:rPr>
              <w:t>Common stock, $0.001 par value, authorized 150,000,000 shares; issued and outstanding 26,753,545</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and 26,786,459 shares as of September 30, 2020 and December 31, 2019, respectively</w:t>
            </w:r>
          </w:p>
        </w:tc>
        <w:tc>
          <w:tcPr>
            <w:tcW w:w="4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278,996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268,059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353,322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324,722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625,821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585,790</w:t>
            </w:r>
          </w:p>
        </w:tc>
      </w:tr>
      <w:tr>
        <w:trPr>
          <w:trHeight w:val="25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726,126</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673,667</w:t>
            </w:r>
          </w:p>
        </w:tc>
      </w:tr>
      <w:tr>
        <w:trPr>
          <w:trHeight w:val="311"/>
        </w:trPr>
        <w:tc>
          <w:tcPr>
            <w:tcW w:w="80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107,504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117,455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329,187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346,839</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52,861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57,839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163,988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168,127</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54,643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165,199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178,712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16,705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17,604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51,821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55,466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24,541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12,354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12,380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38,983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38,411</w:t>
            </w:r>
          </w:p>
        </w:tc>
      </w:tr>
      <w:tr>
        <w:trPr>
          <w:trHeight w:val="210"/>
        </w:trPr>
        <w:tc>
          <w:tcPr>
            <w:tcW w:w="5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36,974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116,354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118,418</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17,669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60,294</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18,397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21,501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51,394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61,860</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13,391</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14,697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16,792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41,288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48,469</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98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0.55</w:t>
            </w: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0.62</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1.54</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1.79</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used to compute net income per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26,736,709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26,846,030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26,724,715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26,894,420</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26,886,433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27,005,341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26,861,647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27,072,873</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Comprehensive Income (net of tax)</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41,782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46,317</w:t>
            </w:r>
          </w:p>
        </w:tc>
      </w:tr>
      <w:tr>
        <w:trPr>
          <w:trHeight w:val="311"/>
        </w:trPr>
        <w:tc>
          <w:tcPr>
            <w:tcW w:w="598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400" w:type="dxa"/>
        <w:tblCellMar>
          <w:top w:w="0" w:type="dxa"/>
          <w:left w:w="0" w:type="dxa"/>
          <w:bottom w:w="0" w:type="dxa"/>
          <w:right w:w="0" w:type="dxa"/>
        </w:tblCellMar>
      </w:tblPr>
      <w:tr>
        <w:trPr>
          <w:trHeight w:val="216"/>
        </w:trPr>
        <w:tc>
          <w:tcPr>
            <w:tcW w:w="21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680" w:type="dxa"/>
            <w:vAlign w:val="bottom"/>
          </w:tcPr>
          <w:p>
            <w:pPr>
              <w:spacing w:after="0"/>
              <w:rPr>
                <w:sz w:val="18"/>
                <w:szCs w:val="18"/>
                <w:color w:val="auto"/>
              </w:rPr>
            </w:pPr>
          </w:p>
        </w:tc>
        <w:tc>
          <w:tcPr>
            <w:tcW w:w="174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226"/>
        </w:trPr>
        <w:tc>
          <w:tcPr>
            <w:tcW w:w="2120" w:type="dxa"/>
            <w:vAlign w:val="bottom"/>
            <w:tcBorders>
              <w:bottom w:val="single" w:sz="8" w:color="auto"/>
            </w:tcBorders>
            <w:vMerge w:val="continue"/>
          </w:tcPr>
          <w:p>
            <w:pPr>
              <w:spacing w:after="0"/>
              <w:rPr>
                <w:sz w:val="19"/>
                <w:szCs w:val="19"/>
                <w:color w:val="auto"/>
              </w:rPr>
            </w:pPr>
          </w:p>
        </w:tc>
        <w:tc>
          <w:tcPr>
            <w:tcW w:w="1680" w:type="dxa"/>
            <w:vAlign w:val="bottom"/>
          </w:tcPr>
          <w:p>
            <w:pPr>
              <w:ind w:left="140"/>
              <w:spacing w:after="0"/>
              <w:rPr>
                <w:sz w:val="20"/>
                <w:szCs w:val="20"/>
                <w:color w:val="auto"/>
              </w:rPr>
            </w:pPr>
            <w:r>
              <w:rPr>
                <w:rFonts w:ascii="Arial" w:cs="Arial" w:eastAsia="Arial" w:hAnsi="Arial"/>
                <w:sz w:val="18"/>
                <w:szCs w:val="18"/>
                <w:b w:val="1"/>
                <w:bCs w:val="1"/>
                <w:color w:val="auto"/>
              </w:rPr>
              <w:t>Additional</w:t>
            </w:r>
          </w:p>
        </w:tc>
        <w:tc>
          <w:tcPr>
            <w:tcW w:w="1740" w:type="dxa"/>
            <w:vAlign w:val="bottom"/>
          </w:tcPr>
          <w:p>
            <w:pPr>
              <w:jc w:val="center"/>
              <w:ind w:left="63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bl>
    <w:p>
      <w:pPr>
        <w:sectPr>
          <w:pgSz w:w="11900" w:h="16864" w:orient="portrait"/>
          <w:cols w:equalWidth="0" w:num="1">
            <w:col w:w="11240"/>
          </w:cols>
          <w:pgMar w:left="320" w:top="125"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26,786,459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324,722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585,790</w:t>
            </w:r>
          </w:p>
        </w:tc>
        <w:tc>
          <w:tcPr>
            <w:tcW w:w="0" w:type="dxa"/>
            <w:vAlign w:val="bottom"/>
          </w:tcPr>
          <w:p>
            <w:pPr>
              <w:spacing w:after="0"/>
              <w:rPr>
                <w:sz w:val="1"/>
                <w:szCs w:val="1"/>
                <w:color w:val="auto"/>
              </w:rPr>
            </w:pPr>
          </w:p>
        </w:tc>
      </w:tr>
      <w:tr>
        <w:trPr>
          <w:trHeight w:val="202"/>
        </w:trPr>
        <w:tc>
          <w:tcPr>
            <w:tcW w:w="440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(161,460)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4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26,648,524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329,137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587,740</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96,186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(38,154)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4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26,706,556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272,231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338,625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601,249</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46,989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26,753,545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278,996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353,322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625,821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400" w:type="dxa"/>
            <w:vAlign w:val="bottom"/>
          </w:tcPr>
          <w:p>
            <w:pPr>
              <w:spacing w:after="0"/>
              <w:rPr>
                <w:sz w:val="24"/>
                <w:szCs w:val="24"/>
                <w:color w:val="auto"/>
              </w:rPr>
            </w:pPr>
          </w:p>
        </w:tc>
        <w:tc>
          <w:tcPr>
            <w:tcW w:w="2120" w:type="dxa"/>
            <w:vAlign w:val="bottom"/>
            <w:gridSpan w:val="4"/>
            <w:vMerge w:val="restart"/>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19"/>
                <w:szCs w:val="19"/>
                <w:color w:val="auto"/>
              </w:rPr>
            </w:pPr>
          </w:p>
        </w:tc>
        <w:tc>
          <w:tcPr>
            <w:tcW w:w="212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16"/>
                <w:szCs w:val="16"/>
                <w:color w:val="auto"/>
              </w:rPr>
            </w:pPr>
          </w:p>
        </w:tc>
        <w:tc>
          <w:tcPr>
            <w:tcW w:w="13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26,984,747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291,460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541,497</w:t>
            </w:r>
          </w:p>
        </w:tc>
        <w:tc>
          <w:tcPr>
            <w:tcW w:w="0" w:type="dxa"/>
            <w:vAlign w:val="bottom"/>
          </w:tcPr>
          <w:p>
            <w:pPr>
              <w:spacing w:after="0"/>
              <w:rPr>
                <w:sz w:val="1"/>
                <w:szCs w:val="1"/>
                <w:color w:val="auto"/>
              </w:rPr>
            </w:pPr>
          </w:p>
        </w:tc>
      </w:tr>
      <w:tr>
        <w:trPr>
          <w:trHeight w:val="202"/>
        </w:trPr>
        <w:tc>
          <w:tcPr>
            <w:tcW w:w="440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(157,716)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15,987</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26,846,981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259,611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291,173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542,795</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75,785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(40,669)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16,166</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15,688</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26,882,097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262,952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303,628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558,113</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(128,077)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16,792</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14,642</w:t>
            </w:r>
          </w:p>
        </w:tc>
        <w:tc>
          <w:tcPr>
            <w:tcW w:w="0" w:type="dxa"/>
            <w:vAlign w:val="bottom"/>
          </w:tcPr>
          <w:p>
            <w:pPr>
              <w:spacing w:after="0"/>
              <w:rPr>
                <w:sz w:val="1"/>
                <w:szCs w:val="1"/>
                <w:color w:val="auto"/>
              </w:rPr>
            </w:pPr>
          </w:p>
        </w:tc>
      </w:tr>
      <w:tr>
        <w:trPr>
          <w:trHeight w:val="24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26,759,109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265,178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309,536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564,097</w:t>
            </w:r>
          </w:p>
        </w:tc>
        <w:tc>
          <w:tcPr>
            <w:tcW w:w="0" w:type="dxa"/>
            <w:vAlign w:val="bottom"/>
          </w:tcPr>
          <w:p>
            <w:pPr>
              <w:spacing w:after="0"/>
              <w:rPr>
                <w:sz w:val="1"/>
                <w:szCs w:val="1"/>
                <w:color w:val="auto"/>
              </w:rPr>
            </w:pPr>
          </w:p>
        </w:tc>
      </w:tr>
      <w:tr>
        <w:trPr>
          <w:trHeight w:val="311"/>
        </w:trPr>
        <w:tc>
          <w:tcPr>
            <w:tcW w:w="440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21" w:right="3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2019</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41,288</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48,469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23,891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22,658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held-to-maturity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1,479</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liabilities and other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82,375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83,779</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equipment and other capital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other assets and investments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56,428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54,352</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2,486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shares withheld for tax obligations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(33,521)</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(33,455)</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125,225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85,046</w:t>
            </w: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118,254</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121,568</w:t>
            </w:r>
          </w:p>
        </w:tc>
      </w:tr>
      <w:tr>
        <w:trPr>
          <w:trHeight w:val="311"/>
        </w:trPr>
        <w:tc>
          <w:tcPr>
            <w:tcW w:w="80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2019 as filed with the Securities and Exchange Commission (SEC) on February 26, 2020.</w:t>
      </w:r>
    </w:p>
    <w:p>
      <w:pPr>
        <w:spacing w:after="0" w:line="188"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The accompanying Consolidated Balance Sheet as of December 31, 2019 was derived from the audited Consolidated Financial Statements but does not include all disclosures required by U.S. GAAP for a full set of financial statements. This Form 10-Q should be read in conjunction with the Company’s Consolidated Financial Statements and Notes included in the Annual Report on Form 10-K filed on February 26, 2020 as referenced above.</w:t>
      </w:r>
    </w:p>
    <w:p>
      <w:pPr>
        <w:sectPr>
          <w:pgSz w:w="11900" w:h="16838" w:orient="portrait"/>
          <w:cols w:equalWidth="0" w:num="1">
            <w:col w:w="11240"/>
          </w:cols>
          <w:pgMar w:left="320" w:top="337" w:right="339" w:bottom="29" w:gutter="0" w:footer="0" w:header="0"/>
        </w:sectPr>
      </w:pPr>
    </w:p>
    <w:bookmarkStart w:id="5" w:name="page6"/>
    <w:bookmarkEnd w:id="5"/>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During the first quarter of 2020, the Company adopted the Financial Accounting Standards Board (FASB) Accounting Standards Update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is intended to provide financial statement users with more decision-useful information about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on financial instruments held by a reporting entity at each reporting date. The adoption of this guidance had no material impact on our consolidated financial statements.</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During the fourth quarter of 2019, the Company early adopted the FASB ASU 2017-04, Intangibles – Goodwill and Other, which is intended to simplify the subsequent measurement of goodwill. The adoption of this guidance had no material impact on our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Net Income per Common Share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restricted stock units and restricted stock awards granted under stock-based compensation plans and shares committed to be purchased under the employee stock purchase plan. Performance stock units are excluded from the calculation of dilutive potential common shares until the performance conditions have been satisfied.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(in thousands, except share and per share amounts)</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41,288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48,469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weighted-average shares outstanding:</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26,736,709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26,846,030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26,724,715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26,894,420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options and other</w:t>
            </w: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149,724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159,311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136,932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178,453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Diluted - weighted-average shares outstanding:</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26,886,433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27,005,341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26,861,647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27,072,873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44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0.55</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0.62</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1.54</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444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amount of Goodwill during the three and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at September 30, 2020 and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September 30, 2020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December 31, 2019</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Useful</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Useful Life</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Life (in</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(in</w:t>
            </w: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Gross</w:t>
            </w: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Gross</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finite lives: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Marketing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930</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3.5</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2.0 - 5.0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2.3</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Software technology</w:t>
            </w: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13,229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13,229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10,954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7.3</w:t>
            </w:r>
          </w:p>
        </w:tc>
      </w:tr>
      <w:tr>
        <w:trPr>
          <w:trHeight w:val="216"/>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10,070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5,964</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6.0 - 9.0</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3.1</w:t>
            </w:r>
          </w:p>
        </w:tc>
      </w:tr>
      <w:tr>
        <w:trPr>
          <w:trHeight w:val="209"/>
        </w:trPr>
        <w:tc>
          <w:tcPr>
            <w:tcW w:w="266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24,499</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15,107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24,499</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17,369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Amortization expense for intangible assets was $0.8 million and $0.9 million for the three months ended September 30, 2020 and 2019, respectively, and $2.3 million and $2.6 million for the nine months ended September, 2020 and 2019, respectively.</w:t>
      </w:r>
    </w:p>
    <w:p>
      <w:pPr>
        <w:sectPr>
          <w:pgSz w:w="11900" w:h="16868" w:orient="portrait"/>
          <w:cols w:equalWidth="0" w:num="1">
            <w:col w:w="11240"/>
          </w:cols>
          <w:pgMar w:left="320" w:top="364" w:right="339" w:bottom="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234950</wp:posOffset>
            </wp:positionV>
            <wp:extent cx="6412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0580"/>
          </w:cols>
          <w:pgMar w:left="320" w:top="34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Remaining 2020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2024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estimated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166370</wp:posOffset>
            </wp:positionV>
            <wp:extent cx="6412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Estimated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Amortization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020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1240" w:hanging="1239"/>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754</w:t>
      </w:r>
    </w:p>
    <w:p>
      <w:pPr>
        <w:spacing w:after="0" w:line="45"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3,016</w:t>
      </w:r>
    </w:p>
    <w:p>
      <w:pPr>
        <w:spacing w:after="0" w:line="3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3,016</w:t>
      </w:r>
    </w:p>
    <w:p>
      <w:pPr>
        <w:spacing w:after="0" w:line="3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2,813</w:t>
      </w:r>
    </w:p>
    <w:p>
      <w:pPr>
        <w:spacing w:after="0" w:line="3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1,400</w:t>
      </w:r>
    </w:p>
    <w:p>
      <w:pPr>
        <w:spacing w:after="0" w:line="3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4,108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0204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12" w:lineRule="exact"/>
        <w:rPr>
          <w:sz w:val="20"/>
          <w:szCs w:val="20"/>
          <w:color w:val="auto"/>
        </w:rPr>
      </w:pPr>
    </w:p>
    <w:p>
      <w:pPr>
        <w:ind w:left="1020" w:hanging="1019"/>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15,107</w:t>
      </w:r>
    </w:p>
    <w:p>
      <w:pPr>
        <w:spacing w:after="0" w:line="239" w:lineRule="exact"/>
        <w:rPr>
          <w:sz w:val="20"/>
          <w:szCs w:val="20"/>
          <w:color w:val="auto"/>
        </w:rPr>
      </w:pPr>
    </w:p>
    <w:p>
      <w:pPr>
        <w:sectPr>
          <w:pgSz w:w="11900" w:h="16838" w:orient="portrait"/>
          <w:cols w:equalWidth="0" w:num="2">
            <w:col w:w="8340" w:space="720"/>
            <w:col w:w="1520"/>
          </w:cols>
          <w:pgMar w:left="320" w:top="341" w:right="999" w:bottom="1440" w:gutter="0" w:footer="0" w:header="0"/>
          <w:type w:val="continuous"/>
        </w:sect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341" w:right="9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Accounting Standards Codification (ASC 820), </w:t>
      </w:r>
      <w:r>
        <w:rPr>
          <w:rFonts w:ascii="Arial" w:cs="Arial" w:eastAsia="Arial" w:hAnsi="Arial"/>
          <w:sz w:val="17"/>
          <w:szCs w:val="17"/>
          <w:i w:val="1"/>
          <w:iCs w:val="1"/>
          <w:color w:val="auto"/>
        </w:rPr>
        <w:t>Fair Value Measuremen</w:t>
      </w:r>
      <w:r>
        <w:rPr>
          <w:rFonts w:ascii="Arial" w:cs="Arial" w:eastAsia="Arial" w:hAnsi="Arial"/>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1—Quoted prices in active markets for identical assets or liabilities.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Level </w:t>
      </w:r>
      <w:r>
        <w:rPr>
          <w:rFonts w:ascii="Arial" w:cs="Arial" w:eastAsia="Arial" w:hAnsi="Arial"/>
          <w:sz w:val="16"/>
          <w:szCs w:val="16"/>
          <w:color w:val="auto"/>
        </w:rPr>
        <w:t>2—Observable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3—Unobservable inputs that are supported by little or no market activity and that are significant to the fair value of the assets or liabilities.</w:t>
      </w:r>
    </w:p>
    <w:p>
      <w:pPr>
        <w:spacing w:after="0" w:line="2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cash consists of bank deposits. The Company’s cash equivalents measured at fair value consist of money market mutual funds. The Company determines the fair value of these investments using Level 1 inputs.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financial assets as of September 30, 2020 and December 31, 2019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2019</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Level 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Level 3</w:t>
            </w:r>
          </w:p>
        </w:tc>
        <w:tc>
          <w:tcPr>
            <w:tcW w:w="28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mutual fund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66,374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68,962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66,374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68,962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Marketable Securities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invests in short-term and long-term agency, municipal, corporate and other debt securities. The securities are categorized as held-to-maturity and are recorded at amortized cost, net of an allowance for credit losses. Categorization as held-to-maturity is based on the Company’s ability and intent to hold these securities to maturity. The following table summarizes information regarding the Company’s short-term and long-term marketable securities as of September 30,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September 30, 2020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4380" w:type="dxa"/>
            <w:vAlign w:val="bottom"/>
            <w:gridSpan w:val="2"/>
          </w:tcPr>
          <w:p>
            <w:pPr>
              <w:ind w:left="560"/>
              <w:spacing w:after="0"/>
              <w:rPr>
                <w:sz w:val="20"/>
                <w:szCs w:val="20"/>
                <w:color w:val="auto"/>
              </w:rPr>
            </w:pPr>
            <w:r>
              <w:rPr>
                <w:rFonts w:ascii="Arial" w:cs="Arial" w:eastAsia="Arial" w:hAnsi="Arial"/>
                <w:sz w:val="18"/>
                <w:szCs w:val="18"/>
                <w:color w:val="auto"/>
              </w:rPr>
              <w:t>(in thousands)</w:t>
            </w: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17,863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38,876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39,134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18,997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5,294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c>
          <w:tcPr>
            <w:tcW w:w="560" w:type="dxa"/>
            <w:vAlign w:val="bottom"/>
          </w:tcPr>
          <w:p>
            <w:pPr>
              <w:spacing w:after="0"/>
              <w:rPr>
                <w:sz w:val="18"/>
                <w:szCs w:val="18"/>
                <w:color w:val="auto"/>
              </w:rPr>
            </w:pPr>
          </w:p>
        </w:tc>
      </w:tr>
      <w:tr>
        <w:trPr>
          <w:trHeight w:val="210"/>
        </w:trPr>
        <w:tc>
          <w:tcPr>
            <w:tcW w:w="4380" w:type="dxa"/>
            <w:vAlign w:val="bottom"/>
            <w:gridSpan w:val="2"/>
          </w:tcPr>
          <w:p>
            <w:pPr>
              <w:ind w:left="560"/>
              <w:spacing w:after="0"/>
              <w:rPr>
                <w:sz w:val="20"/>
                <w:szCs w:val="20"/>
                <w:color w:val="auto"/>
              </w:rPr>
            </w:pPr>
            <w:r>
              <w:rPr>
                <w:rFonts w:ascii="Arial" w:cs="Arial" w:eastAsia="Arial" w:hAnsi="Arial"/>
                <w:sz w:val="18"/>
                <w:szCs w:val="18"/>
                <w:color w:val="auto"/>
              </w:rPr>
              <w:t>Total marketable securities</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82,362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82,787</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1"/>
        </w:trPr>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r>
        <w:trPr>
          <w:trHeight w:val="540"/>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60" w:type="dxa"/>
            <w:vAlign w:val="bottom"/>
          </w:tcPr>
          <w:p>
            <w:pPr>
              <w:jc w:val="right"/>
              <w:ind w:right="59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380" w:type="dxa"/>
            <w:vAlign w:val="bottom"/>
            <w:tcBorders>
              <w:bottom w:val="single" w:sz="8" w:color="9A9A9A"/>
            </w:tcBorders>
            <w:gridSpan w:val="2"/>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r>
        <w:trPr>
          <w:trHeight w:val="324"/>
        </w:trPr>
        <w:tc>
          <w:tcPr>
            <w:tcW w:w="43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-641985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-213995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3"/>
              </w:rPr>
              <w:t>December 31, 2019</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6340" w:type="dxa"/>
            <w:vAlign w:val="bottom"/>
            <w:gridSpan w:val="2"/>
          </w:tcPr>
          <w:p>
            <w:pPr>
              <w:ind w:left="56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26,944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27,012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c>
          <w:tcPr>
            <w:tcW w:w="560" w:type="dxa"/>
            <w:vAlign w:val="bottom"/>
          </w:tcPr>
          <w:p>
            <w:pPr>
              <w:spacing w:after="0"/>
              <w:rPr>
                <w:sz w:val="18"/>
                <w:szCs w:val="18"/>
                <w:color w:val="auto"/>
              </w:rPr>
            </w:pPr>
          </w:p>
        </w:tc>
      </w:tr>
      <w:tr>
        <w:trPr>
          <w:trHeight w:val="209"/>
        </w:trPr>
        <w:tc>
          <w:tcPr>
            <w:tcW w:w="6340" w:type="dxa"/>
            <w:vAlign w:val="bottom"/>
            <w:gridSpan w:val="2"/>
          </w:tcPr>
          <w:p>
            <w:pPr>
              <w:ind w:left="560"/>
              <w:spacing w:after="0"/>
              <w:rPr>
                <w:sz w:val="20"/>
                <w:szCs w:val="20"/>
                <w:color w:val="auto"/>
              </w:rPr>
            </w:pPr>
            <w:r>
              <w:rPr>
                <w:rFonts w:ascii="Arial" w:cs="Arial" w:eastAsia="Arial" w:hAnsi="Arial"/>
                <w:sz w:val="18"/>
                <w:szCs w:val="18"/>
                <w:color w:val="auto"/>
              </w:rPr>
              <w:t>Total marketable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48,397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48,487</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2"/>
        </w:trPr>
        <w:tc>
          <w:tcPr>
            <w:tcW w:w="58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50" w:gutter="0" w:footer="0" w:header="0"/>
        </w:sectPr>
      </w:pPr>
    </w:p>
    <w:bookmarkStart w:id="8" w:name="page9"/>
    <w:bookmarkEnd w:id="8"/>
    <w:p>
      <w:pPr>
        <w:jc w:val="both"/>
        <w:ind w:right="40"/>
        <w:spacing w:after="0" w:line="263" w:lineRule="auto"/>
        <w:rPr>
          <w:sz w:val="20"/>
          <w:szCs w:val="20"/>
          <w:color w:val="auto"/>
        </w:rPr>
      </w:pPr>
      <w:r>
        <w:rPr>
          <w:rFonts w:ascii="Arial" w:cs="Arial" w:eastAsia="Arial" w:hAnsi="Arial"/>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During the first quarter of 2020, the Company adopted the FASB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The Company calculated the expected credit loss for each security in its portfolio using the probability-of-default method. The Company concluded the adoption of the guidance had no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24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September 30, 2020 balance of held-to-maturity debt securities by contractual maturity is shown in the following table at amortized cost, net of an allowance for credit losses.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September 30,</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51,369</w:t>
            </w: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82,362</w:t>
            </w:r>
          </w:p>
        </w:tc>
        <w:tc>
          <w:tcPr>
            <w:tcW w:w="1140" w:type="dxa"/>
            <w:vAlign w:val="bottom"/>
          </w:tcPr>
          <w:p>
            <w:pPr>
              <w:spacing w:after="0"/>
              <w:rPr>
                <w:sz w:val="21"/>
                <w:szCs w:val="21"/>
                <w:color w:val="auto"/>
              </w:rPr>
            </w:pPr>
          </w:p>
        </w:tc>
      </w:tr>
      <w:tr>
        <w:trPr>
          <w:trHeight w:val="312"/>
        </w:trPr>
        <w:tc>
          <w:tcPr>
            <w:tcW w:w="11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Inventory</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or market using the average-cost method, which approximates first-in, first-out (FIFO) cost. The Company periodically reviews its inventory for slow-moving, damaged and discontinued items and provides allowances to reduce such items identified to their recoverable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Allowance for obsolescence</w:t>
            </w:r>
          </w:p>
        </w:tc>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14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 of allowance</w:t>
            </w:r>
          </w:p>
        </w:tc>
        <w:tc>
          <w:tcPr>
            <w:tcW w:w="3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1140" w:type="dxa"/>
            <w:vAlign w:val="bottom"/>
          </w:tcPr>
          <w:p>
            <w:pPr>
              <w:spacing w:after="0"/>
              <w:rPr>
                <w:sz w:val="21"/>
                <w:szCs w:val="21"/>
                <w:color w:val="auto"/>
              </w:rPr>
            </w:pPr>
          </w:p>
        </w:tc>
      </w:tr>
      <w:tr>
        <w:trPr>
          <w:trHeight w:val="311"/>
        </w:trPr>
        <w:tc>
          <w:tcPr>
            <w:tcW w:w="1120" w:type="dxa"/>
            <w:vAlign w:val="bottom"/>
            <w:tcBorders>
              <w:bottom w:val="single" w:sz="8" w:color="9A9A9A"/>
            </w:tcBorders>
          </w:tcPr>
          <w:p>
            <w:pPr>
              <w:spacing w:after="0"/>
              <w:rPr>
                <w:sz w:val="24"/>
                <w:szCs w:val="24"/>
                <w:color w:val="auto"/>
              </w:rPr>
            </w:pPr>
          </w:p>
        </w:tc>
        <w:tc>
          <w:tcPr>
            <w:tcW w:w="3220" w:type="dxa"/>
            <w:vAlign w:val="bottom"/>
            <w:tcBorders>
              <w:top w:val="single" w:sz="8" w:color="CCEEFF"/>
              <w:bottom w:val="single" w:sz="8" w:color="9A9A9A"/>
            </w:tcBorders>
          </w:tcPr>
          <w:p>
            <w:pPr>
              <w:spacing w:after="0"/>
              <w:rPr>
                <w:sz w:val="24"/>
                <w:szCs w:val="24"/>
                <w:color w:val="auto"/>
              </w:rPr>
            </w:pPr>
          </w:p>
        </w:tc>
        <w:tc>
          <w:tcPr>
            <w:tcW w:w="32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r>
        <w:trPr>
          <w:trHeight w:val="540"/>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-350520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Company’s 2012 Long-Term Incentive Plan, as amended (the 2012 Plan), the Company has the ability to grant stock options, stock appreciation rights (SARs), restricted stock, restricted stock units, other stock-based awards and cash incentive awards. Awards under the 2012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2012 Plan generally may not be less than the fair market value of a share of our common stock on the date of the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Stock-based compensation expense was $3.9 million and $3.2 million for the three months ended September 30, 2020 and 2019, respectively, and $10.6 million and $9.7 million for the nine months ended September 30,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ectPr>
          <w:pgSz w:w="11900" w:h="16838" w:orient="portrait"/>
          <w:cols w:equalWidth="0" w:num="1">
            <w:col w:w="11240"/>
          </w:cols>
          <w:pgMar w:left="320" w:top="125" w:right="3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Exercise Price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276,266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105.79</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57.24</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67.92</w:t>
            </w:r>
          </w:p>
        </w:tc>
      </w:tr>
      <w:tr>
        <w:trPr>
          <w:trHeight w:val="249"/>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233,557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85.89</w:t>
            </w:r>
          </w:p>
        </w:tc>
      </w:tr>
      <w:tr>
        <w:trPr>
          <w:trHeight w:val="197"/>
        </w:trPr>
        <w:tc>
          <w:tcPr>
            <w:tcW w:w="738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135,837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98.38</w:t>
            </w: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outstanding options generally have a term of ten years. For employees, options granted become exercisable ratably over the vesting period, which is generally a period from four to five years, beginning on the first anniversary of the grant date, subject to the employee’s continuing service to the Company. For directors, options generally become exercisable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options that were granted during the nine months ended September 30, 2020 was $45.32.</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the assumptions used in the Black-Scholes pricing model valuation of options during the nine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117475</wp:posOffset>
            </wp:positionV>
            <wp:extent cx="6412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2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0.50 - 1.47%</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2.35 - 2.58%</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42.40 - 43.83%</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42.52 - 42.74%</w:t>
            </w: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97"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As of September 30, 2020, there was $4.8 million of unrecognized compensation expense related to unvested stock options, which is expected to be recognized over a weighted-average period of 2.8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stock awards are share-settled awards and restrictions lapse ratably over the vesting period, which is generally a period from four to five years, beginning on the first anniversary of the grant date, subject to the employee's continuing service to the Company. For directors, restrictions generally lapse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jc w:val="right"/>
              <w:ind w:right="370"/>
              <w:spacing w:after="0"/>
              <w:rPr>
                <w:sz w:val="20"/>
                <w:szCs w:val="20"/>
                <w:color w:val="auto"/>
              </w:rPr>
            </w:pPr>
            <w:r>
              <w:rPr>
                <w:rFonts w:ascii="Arial" w:cs="Arial" w:eastAsia="Arial" w:hAnsi="Arial"/>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108,179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117.76</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84.57</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92.61</w:t>
            </w:r>
          </w:p>
        </w:tc>
      </w:tr>
      <w:tr>
        <w:trPr>
          <w:trHeight w:val="249"/>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at September 30,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310,335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98.84</w:t>
            </w: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2020, there was $24.3 million of unrecognized compensation expense related to non-vested restricted stock, which is expected to be recognized over a weighted-average period of 2.6 years.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Performance Stock</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Performance stock units (PSUs) are expressed in terms of a target number of PSUs, with anywhere between 0 percent and 150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are based on performance conditions and the related compensation cost is based on the probability that the performance conditions will be achieved. The Company’s PSUs granted in 2020 are based on market conditions and the related compensation cost is based on the fair value at grant date calculated using a Monte Carlo pricing model.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stock activity during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30"/>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stock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19,956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118.66</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Performance change</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r>
      <w:tr>
        <w:trPr>
          <w:trHeight w:val="209"/>
        </w:trPr>
        <w:tc>
          <w:tcPr>
            <w:tcW w:w="7380" w:type="dxa"/>
            <w:vAlign w:val="bottom"/>
            <w:gridSpan w:val="2"/>
          </w:tcPr>
          <w:p>
            <w:pPr>
              <w:spacing w:after="0"/>
              <w:rPr>
                <w:sz w:val="20"/>
                <w:szCs w:val="20"/>
                <w:color w:val="auto"/>
              </w:rPr>
            </w:pPr>
            <w:r>
              <w:rPr>
                <w:rFonts w:ascii="Arial" w:cs="Arial" w:eastAsia="Arial" w:hAnsi="Arial"/>
                <w:sz w:val="18"/>
                <w:szCs w:val="18"/>
                <w:color w:val="auto"/>
              </w:rPr>
              <w:t>Performance stock at September 30, 2020</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19,956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118.66</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140" w:right="520" w:hanging="161"/>
        <w:spacing w:after="0" w:line="277" w:lineRule="auto"/>
        <w:rPr>
          <w:sz w:val="20"/>
          <w:szCs w:val="20"/>
          <w:color w:val="auto"/>
        </w:rPr>
      </w:pPr>
      <w:r>
        <w:rPr>
          <w:rFonts w:ascii="Arial" w:cs="Arial" w:eastAsia="Arial" w:hAnsi="Arial"/>
          <w:sz w:val="18"/>
          <w:szCs w:val="18"/>
          <w:color w:val="auto"/>
        </w:rPr>
        <w:t>The following table provides the assumptions used in the Monte Carlo pricing model valuation of PSUs during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186055</wp:posOffset>
            </wp:positionV>
            <wp:extent cx="6772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1.41%</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Expected life (years)</w:t>
            </w:r>
          </w:p>
        </w:tc>
        <w:tc>
          <w:tcPr>
            <w:tcW w:w="1760" w:type="dxa"/>
            <w:vAlign w:val="bottom"/>
          </w:tcPr>
          <w:p>
            <w:pPr>
              <w:jc w:val="center"/>
              <w:ind w:right="30"/>
              <w:spacing w:after="0"/>
              <w:rPr>
                <w:sz w:val="20"/>
                <w:szCs w:val="20"/>
                <w:color w:val="auto"/>
              </w:rPr>
            </w:pPr>
            <w:r>
              <w:rPr>
                <w:rFonts w:ascii="Arial" w:cs="Arial" w:eastAsia="Arial" w:hAnsi="Arial"/>
                <w:sz w:val="18"/>
                <w:szCs w:val="18"/>
                <w:color w:val="auto"/>
                <w:w w:val="91"/>
              </w:rPr>
              <w:t>2.88</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38.70%</w:t>
            </w: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jc w:val="center"/>
              <w:ind w:right="30"/>
              <w:spacing w:after="0"/>
              <w:rPr>
                <w:sz w:val="20"/>
                <w:szCs w:val="20"/>
                <w:color w:val="auto"/>
              </w:rPr>
            </w:pPr>
            <w:r>
              <w:rPr>
                <w:rFonts w:ascii="Arial" w:cs="Arial" w:eastAsia="Arial" w:hAnsi="Arial"/>
                <w:sz w:val="18"/>
                <w:szCs w:val="18"/>
                <w:color w:val="auto"/>
                <w:w w:val="92"/>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128270</wp:posOffset>
            </wp:positionV>
            <wp:extent cx="67722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2020, there was $1.9 million of unrecognized compensation expense related to non-vested performance stock, which is expected to be recognized over a weighted-average period of 2.4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assumptions used to estimate the fair value of the ESPP during the nine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166370</wp:posOffset>
            </wp:positionV>
            <wp:extent cx="67722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9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4"/>
              </w:rPr>
              <w:t>Nine Months Ended September 30,</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60" w:type="dxa"/>
            <w:vAlign w:val="bottom"/>
            <w:gridSpan w:val="2"/>
            <w:shd w:val="clear" w:color="auto" w:fill="CCEEFF"/>
          </w:tcPr>
          <w:p>
            <w:pPr>
              <w:jc w:val="center"/>
              <w:ind w:left="4150"/>
              <w:spacing w:after="0"/>
              <w:rPr>
                <w:sz w:val="20"/>
                <w:szCs w:val="20"/>
                <w:color w:val="auto"/>
              </w:rPr>
            </w:pPr>
            <w:r>
              <w:rPr>
                <w:rFonts w:ascii="Arial" w:cs="Arial" w:eastAsia="Arial" w:hAnsi="Arial"/>
                <w:sz w:val="18"/>
                <w:szCs w:val="18"/>
                <w:color w:val="auto"/>
                <w:w w:val="92"/>
              </w:rPr>
              <w:t>0.17 - 1.59%</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2.33 - 2.35%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life (months)</w:t>
            </w:r>
          </w:p>
        </w:tc>
        <w:tc>
          <w:tcPr>
            <w:tcW w:w="5660" w:type="dxa"/>
            <w:vAlign w:val="bottom"/>
            <w:gridSpan w:val="2"/>
          </w:tcPr>
          <w:p>
            <w:pPr>
              <w:jc w:val="center"/>
              <w:ind w:left="4130"/>
              <w:spacing w:after="0"/>
              <w:rPr>
                <w:sz w:val="20"/>
                <w:szCs w:val="20"/>
                <w:color w:val="auto"/>
              </w:rPr>
            </w:pPr>
            <w:r>
              <w:rPr>
                <w:rFonts w:ascii="Arial" w:cs="Arial" w:eastAsia="Arial" w:hAnsi="Arial"/>
                <w:sz w:val="18"/>
                <w:szCs w:val="18"/>
                <w:color w:val="auto"/>
                <w:w w:val="91"/>
              </w:rPr>
              <w:t>6.00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1"/>
              </w:rPr>
              <w:t>6.00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60" w:type="dxa"/>
            <w:vAlign w:val="bottom"/>
            <w:gridSpan w:val="2"/>
            <w:shd w:val="clear" w:color="auto" w:fill="CCEEFF"/>
          </w:tcPr>
          <w:p>
            <w:pPr>
              <w:jc w:val="center"/>
              <w:ind w:left="4150"/>
              <w:spacing w:after="0"/>
              <w:rPr>
                <w:sz w:val="20"/>
                <w:szCs w:val="20"/>
                <w:color w:val="auto"/>
              </w:rPr>
            </w:pPr>
            <w:r>
              <w:rPr>
                <w:rFonts w:ascii="Arial" w:cs="Arial" w:eastAsia="Arial" w:hAnsi="Arial"/>
                <w:sz w:val="18"/>
                <w:szCs w:val="18"/>
                <w:color w:val="auto"/>
                <w:w w:val="90"/>
              </w:rPr>
              <w:t>42.63 - 59.99%</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37.36 - 53.57%</w:t>
            </w: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660" w:type="dxa"/>
            <w:vAlign w:val="bottom"/>
            <w:gridSpan w:val="2"/>
          </w:tcPr>
          <w:p>
            <w:pPr>
              <w:jc w:val="center"/>
              <w:ind w:left="4130"/>
              <w:spacing w:after="0"/>
              <w:rPr>
                <w:sz w:val="20"/>
                <w:szCs w:val="20"/>
                <w:color w:val="auto"/>
              </w:rPr>
            </w:pPr>
            <w:r>
              <w:rPr>
                <w:rFonts w:ascii="Arial" w:cs="Arial" w:eastAsia="Arial" w:hAnsi="Arial"/>
                <w:sz w:val="18"/>
                <w:szCs w:val="18"/>
                <w:color w:val="auto"/>
                <w:w w:val="92"/>
              </w:rPr>
              <w:t>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r>
      <w:tr>
        <w:trPr>
          <w:trHeight w:val="202"/>
        </w:trPr>
        <w:tc>
          <w:tcPr>
            <w:tcW w:w="300" w:type="dxa"/>
            <w:vAlign w:val="bottom"/>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5"/>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40" w:type="dxa"/>
            <w:vAlign w:val="bottom"/>
          </w:tcPr>
          <w:p>
            <w:pPr>
              <w:jc w:val="right"/>
              <w:ind w:right="2210"/>
              <w:spacing w:after="0"/>
              <w:rPr>
                <w:sz w:val="20"/>
                <w:szCs w:val="20"/>
                <w:color w:val="auto"/>
              </w:rPr>
            </w:pPr>
            <w:r>
              <w:rPr>
                <w:rFonts w:ascii="Arial" w:cs="Arial" w:eastAsia="Arial" w:hAnsi="Arial"/>
                <w:sz w:val="18"/>
                <w:szCs w:val="18"/>
                <w:color w:val="auto"/>
              </w:rPr>
              <w:t>13</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Note 9 – Accumulated Other Comprehensive Income (Loss)</w:t>
      </w:r>
    </w:p>
    <w:p>
      <w:pPr>
        <w:spacing w:after="0" w:line="229"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Other comprehensive income (loss) is comprised entirely of foreign currency translation adjustments. The following table presents the changes in accumulated other comprehensive income (loss) balances during the three and nine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(8,494)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(7,018)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(8,492)</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(10,644)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(10,644)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5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is subject to income tax in multiple jurisdictions and the use of estimates is required to determine the provision for income taxes. For the three months ended September 30, 2020 and 2019, the Company recorded an income tax provision of $3.7 million and $4.7 million, respectively. For the nine months ended September 30, 2020 and 2019, the Company recorded an income tax provision of $10.1 million and $13.4 million, respectively. The income tax provision is based on the estimated annual effective tax rate for the year applied to pre-tax income. The effective income tax rate for the three months ended September 30, 2020 was 20.1 percent compared to 21.9 percent in the same period of the prior year. The effective tax rate decreased by 1.8 percent for the three months ended September 30, 2020 when compared to the same period in 2019 primarily due to an increase in tax benefits from the vesting of restricted stock and the exercise of stock options. The effective income tax rate for the nine months ended September 30, 2020 was 19.7 percent compared to 21.6 percent in the same period of the prior year. The effective tax rate decreased by 1.9 percent for the nine months ended September 30, 2020 when compared to the same period in 2019 primarily due to an increase in tax benefits from the vesting of restricted stock and the exercise of stock options.</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effective income tax rate for the nine months ended September 30, 2020 differs from the U.S. federal statutory rate of 21.0 percent due to various factors, including operating in multiple state and foreign jurisdictions and tax credits for which the Company qualifies.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unrecognized tax benefits totaling $4.9 million as of September 30, 2020 and $4.6 million as of December 31, 2019, respectively, all of which, if recognized, would affect the Company’s effective tax rate. The Company recognizes interest and penalties related to income tax matters in income tax expense, and reports the liability in current or long-term income taxes payable as appropriate.</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CARES Act is meant to infuse companies with various income and payroll tax cash benefits to ease the impact of the pandemic. A technical correction to the Tax Cuts and Jobs Act of 2017 was included in the CARES Act allowing qualified improvement property to claim bonus depreciation for respective assets placed in service in 2018 and 2019. The impact of the CARES Act to the Company was a $2.6 million reduction in our income taxes payable and a corresponding increase to our deferred tax liability. In addition, the Company has elected to defer deposits of the employer portion of the Social Security tax for the quarter ended September 30, 2020 through the quarter ended December 31, 2020. The Social Security taxes are being accrued for and will be paid beginning in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11 – Segment Reporting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Revenue and income from operations by reportable segment for the three and nine months ended September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85,608</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92,916</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262,507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271,877</w:t>
            </w: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62,915</w:t>
            </w: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12,047</w:t>
            </w:r>
          </w:p>
        </w:tc>
      </w:tr>
      <w:tr>
        <w:trPr>
          <w:trHeight w:val="249"/>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117,455</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329,187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346,839</w:t>
            </w:r>
          </w:p>
        </w:tc>
      </w:tr>
      <w:tr>
        <w:trPr>
          <w:trHeight w:val="312"/>
        </w:trPr>
        <w:tc>
          <w:tcPr>
            <w:tcW w:w="59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r>
      <w:tr>
        <w:trPr>
          <w:trHeight w:val="439"/>
        </w:trPr>
        <w:tc>
          <w:tcPr>
            <w:tcW w:w="5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-299720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Nine Months Ended</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r>
      <w:tr>
        <w:trPr>
          <w:trHeight w:val="210"/>
        </w:trPr>
        <w:tc>
          <w:tcPr>
            <w:tcW w:w="456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25,164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28,109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74,602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82,367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Europe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12,022</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8"/>
                <w:szCs w:val="18"/>
                <w:color w:val="auto"/>
              </w:rPr>
              <w:t>Corporate Unallocated and Japan</w:t>
            </w: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(34,095)</w:t>
            </w: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4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Income from Operations</w:t>
            </w:r>
          </w:p>
        </w:tc>
        <w:tc>
          <w:tcPr>
            <w:tcW w:w="13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21,273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48,845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60,294</w:t>
            </w:r>
          </w:p>
        </w:tc>
        <w:tc>
          <w:tcPr>
            <w:tcW w:w="280" w:type="dxa"/>
            <w:vAlign w:val="bottom"/>
          </w:tcPr>
          <w:p>
            <w:pPr>
              <w:spacing w:after="0"/>
              <w:rPr>
                <w:sz w:val="21"/>
                <w:szCs w:val="2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5640" w:type="dxa"/>
            <w:vAlign w:val="bottom"/>
            <w:tcBorders>
              <w:top w:val="single" w:sz="8" w:color="CCEEFF"/>
              <w:bottom w:val="single" w:sz="8" w:color="9A9A9A"/>
            </w:tcBorders>
            <w:gridSpan w:val="2"/>
          </w:tcPr>
          <w:p>
            <w:pPr>
              <w:spacing w:after="0"/>
              <w:rPr>
                <w:sz w:val="24"/>
                <w:szCs w:val="24"/>
                <w:color w:val="auto"/>
              </w:rPr>
            </w:pPr>
          </w:p>
        </w:tc>
        <w:tc>
          <w:tcPr>
            <w:tcW w:w="1200" w:type="dxa"/>
            <w:vAlign w:val="bottom"/>
            <w:tcBorders>
              <w:top w:val="single" w:sz="8" w:color="auto"/>
              <w:bottom w:val="single" w:sz="8" w:color="9A9A9A"/>
            </w:tcBorders>
            <w:gridSpan w:val="2"/>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r>
        <w:trPr>
          <w:trHeight w:val="540"/>
        </w:trPr>
        <w:tc>
          <w:tcPr>
            <w:tcW w:w="7140" w:type="dxa"/>
            <w:vAlign w:val="bottom"/>
            <w:gridSpan w:val="5"/>
          </w:tcPr>
          <w:p>
            <w:pPr>
              <w:jc w:val="right"/>
              <w:ind w:right="730"/>
              <w:spacing w:after="0"/>
              <w:rPr>
                <w:sz w:val="20"/>
                <w:szCs w:val="20"/>
                <w:color w:val="auto"/>
              </w:rPr>
            </w:pPr>
            <w:r>
              <w:rPr>
                <w:rFonts w:ascii="Arial" w:cs="Arial" w:eastAsia="Arial" w:hAnsi="Arial"/>
                <w:sz w:val="18"/>
                <w:szCs w:val="18"/>
                <w:color w:val="auto"/>
                <w:w w:val="90"/>
              </w:rPr>
              <w:t>Total long-lived assets at September 30, 2020 and December 31, 2019 were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-351155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219,425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210,171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Japan</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114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281,895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263,712</w:t>
            </w:r>
          </w:p>
        </w:tc>
        <w:tc>
          <w:tcPr>
            <w:tcW w:w="1140" w:type="dxa"/>
            <w:vAlign w:val="bottom"/>
          </w:tcPr>
          <w:p>
            <w:pPr>
              <w:spacing w:after="0"/>
              <w:rPr>
                <w:sz w:val="21"/>
                <w:szCs w:val="21"/>
                <w:color w:val="auto"/>
              </w:rPr>
            </w:pPr>
          </w:p>
        </w:tc>
      </w:tr>
      <w:tr>
        <w:trPr>
          <w:trHeight w:val="311"/>
        </w:trPr>
        <w:tc>
          <w:tcPr>
            <w:tcW w:w="1120" w:type="dxa"/>
            <w:vAlign w:val="bottom"/>
            <w:tcBorders>
              <w:bottom w:val="single" w:sz="8" w:color="9A9A9A"/>
            </w:tcBorders>
          </w:tcPr>
          <w:p>
            <w:pPr>
              <w:spacing w:after="0"/>
              <w:rPr>
                <w:sz w:val="24"/>
                <w:szCs w:val="24"/>
                <w:color w:val="auto"/>
              </w:rPr>
            </w:pPr>
          </w:p>
        </w:tc>
        <w:tc>
          <w:tcPr>
            <w:tcW w:w="56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for the three and nine months ended September 30, 2020 and 2019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(in thousands)</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Injection Molding</w:t>
            </w:r>
          </w:p>
        </w:tc>
        <w:tc>
          <w:tcPr>
            <w:tcW w:w="27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53,257</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55,167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165,927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165,935</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CNC Machining</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116,979</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3D Printing</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46,478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45,644</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Sheet Metal</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15,777</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2,504</w:t>
            </w:r>
          </w:p>
        </w:tc>
      </w:tr>
      <w:tr>
        <w:trPr>
          <w:trHeight w:val="24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117,455</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329,187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346,839</w:t>
            </w:r>
          </w:p>
        </w:tc>
      </w:tr>
      <w:tr>
        <w:trPr>
          <w:trHeight w:val="629"/>
        </w:trPr>
        <w:tc>
          <w:tcPr>
            <w:tcW w:w="350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r>
        <w:trPr>
          <w:trHeight w:val="324"/>
        </w:trPr>
        <w:tc>
          <w:tcPr>
            <w:tcW w:w="35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-213360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50" w:right="33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the world’s largest and fastest digital manufacturer of custom prototypes and on-demand production parts. We manufacture prototypes and low-volume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 Molding</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aluminum molds and quick turnaround times help reduce design risk and limit overall production costs for product developers and engineers. Prototype quantities typically range from 25 to 100 parts. Because we retain possession of the molds, customers who need short-run production often come back to Protolabs’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product offering. This product offering utilizes our existing processes, but is designed to fulfill the needs of customers with on-going production needs, typically in annual volumes of less than 10,000 parts.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Machining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product developer or engineer. CNC turning with live tooling combines both lathe and mill capabilities to machine parts with cylindrical features from metal rod stock. Our efficiencies derive from the automation of the programming of these machines and a proprietary fixturing process.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Quick-turn CNC machining works best for prototyping, form and fit testing, jigs and fixtures and functional components for end-use applications. The CNC Machining product line is well suited to produce small quantities, typically in the range of one to 1,000 parts.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3D Printing</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3D Printing product line includes stereolithography, selective laser sintering, direct metal laser sintering, Multi Jet Fusion, PolyJet and digital light synthesis processes, which offer customers a wide-variety of high-quality, precision rapid prototyping and low-volume production. These processes create parts with a high level of accuracy, detail, strength and durability. Industrial 3D Printing is best suited for functional prototypes, complex designs and end-use applications produced in small quantities, typically in the range of one to several hundred parts.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Sheet Metal</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Sheet Metal product line includes quick-turn and e-commerce-enabled custom sheet metal parts, which provides customers with prototype and low-volume production parts. The rapid prototype sheet metal process is most often used when form, fit and function are all a priority. Our manufacturing process uses customer 3D CAD models uploaded by the product developer or engineer to fabricate quick-turn prototype sheet metal or short-run production parts. The Sheet Metal product line is well suited to produce quantities in the range of one to 500 parts.</w:t>
      </w:r>
    </w:p>
    <w:p>
      <w:pPr>
        <w:sectPr>
          <w:pgSz w:w="11900" w:h="16838" w:orient="portrait"/>
          <w:cols w:equalWidth="0" w:num="1">
            <w:col w:w="11240"/>
          </w:cols>
          <w:pgMar w:left="320" w:top="607" w:right="33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Key Financial Measures and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expanding the breadth of our product offerings, gaining new customers and selling to our existing customer base by increasing marketing and selling activities, including:</w:t>
      </w:r>
    </w:p>
    <w:p>
      <w:pPr>
        <w:spacing w:after="0" w:line="192" w:lineRule="exact"/>
        <w:rPr>
          <w:sz w:val="20"/>
          <w:szCs w:val="20"/>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the breadth and scope of each of our product lines by adding more sizes and materials to our offerings;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our 3D Printing product line through our acquisition of FineLine in 2014;</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3D Printing to Europe through our acquisition of Alphaform in October 2015;</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our Sheet Metal product line through our acquisition of Rapid Manufacturing Group, LLC (RAPID) in 2017; and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continuously improving the usability of our product lines such as our web-centric applications.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During the three months ended September 30, 2020, we served 18,796 unique product developers and engineers who purchased our products through our web-based customer interface, a decrease of 12.5% over the same period in 2019. During the nine months ended September 30, 2020, we served 37,504 unique product developers and engineers who purchased our products through our web-based customer interface, a decrease of 8.1% over the same period in 2019.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Cost of revenue consists primarily of raw materials, equipment depreciation, employee compensation, benefits,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 but remain relatively constant as a percentage of total revenue.</w:t>
      </w:r>
    </w:p>
    <w:p>
      <w:pPr>
        <w:spacing w:after="0" w:line="18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and foreign exchange rates.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recent decrease in operating expenses is mainly due to cost saving measures implemented as a result of the COVID-19 pandemic. However, our long-term business strategy is to continue to be a leading online and technology-enabled manufacturer of quick-turn, on-demand injection-molded, CNC-machined, CNC-turned, 3D-printed and sheet metal custom parts for prototyping and low-volume production. In order to achieve our long-term goals and support our revenue growth, we anticipate continued substantial investments in technology and personnel, resulting in increased operating expenses.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Marketing and sales expense consists primarily of employee compensation, benefits, commissions,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and outside service costs related to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6"/>
          <w:szCs w:val="16"/>
          <w:i w:val="1"/>
          <w:iCs w:val="1"/>
          <w:color w:val="auto"/>
        </w:rPr>
        <w:t>Intangibles — Goodwill and Other, Internal-Use Software</w:t>
      </w:r>
      <w:r>
        <w:rPr>
          <w:rFonts w:ascii="Arial" w:cs="Arial" w:eastAsia="Arial" w:hAnsi="Arial"/>
          <w:sz w:val="16"/>
          <w:szCs w:val="16"/>
          <w:color w:val="auto"/>
        </w:rPr>
        <w:t>. We expect research and development expense to increase in the future as we seek to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interface technology, internal software and supporting business systems, and continue to expand our product lines.</w:t>
      </w:r>
    </w:p>
    <w:p>
      <w:pPr>
        <w:spacing w:after="0" w:line="16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employee compensation,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fees related to accounting, tax and legal and other related overhead. We expect general and administrative expense to increase in the future as we continue to grow and expand as a global 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ectPr>
          <w:pgSz w:w="11900" w:h="16838" w:orient="portrait"/>
          <w:cols w:equalWidth="0" w:num="1">
            <w:col w:w="11240"/>
          </w:cols>
          <w:pgMar w:left="320" w:top="121" w:right="339" w:bottom="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Provision for income taxes is comprised of federal, state, local and foreign taxes based on pre-tax income. Overall, we expect our effective tax rate for 2020 and beyond will remain consistent based on the current tax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March 11, 2020, the World Health Organization declared the outbreak of the novel coronavirus (COVID-19) a pandemic. The full financial impact of COVID-19 is unknown at this time and will depend on the duration of government restrictions, including travel restrictions, quarantines, shelter in place orders and shutdowns and duration of the economic slowdown and nature and timing of a recovery. The Company has been deemed an essential business and all of our global manufacturing operations have remained open. The Company has activated a global, cross-functional response team, which is closely monitoring the situation and implementing additional safety measures to help ensure the well-being of our employees, customers and suppliers, to minimize disruptions and provide for the safe and reliable supply of products to our customers. In accordance with the guidance provided by both the World Health Organization and the U.S. Centers for Disease Control and Prevention, the Company has implemented safe work practices, including social distancing and work from home guidelines.</w:t>
      </w:r>
    </w:p>
    <w:p>
      <w:pPr>
        <w:spacing w:after="0" w:line="178"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We are actively monitoring key product availability and continue to stay connected with our customers to understand impacts on their operations. All of these efforts will help us better plan and prepare, so we can continue to be a leading supplier of custom parts. In anticipation of exposure due to an economic slowdown driven by COVID-19, the Company increased its bad debt reserve by $0.9 million during the nine months ended September 30, 2020.</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CARES Act is meant to infuse companies with various income and payroll tax cash benefits to ease the impact of the pandemic. A technical correction to the Tax Cuts and Jobs Act of 2017 was included in the CARES Act allowing qualified improvement property to claim bonus depreciation for respective assets placed in service in 2018 and 2019. The impact of the CARES Act to the Company was a $2.6 million reduction in our income taxes payable and a corresponding increase to our deferred tax liability. In addition, the Company has elected to defer deposits of the employer portion of the Social Security tax for the quarter ended September 30, 2020 through the quarter ended December 31, 2020. The Social Security taxes are being accrued for and will be paid beginning in 2021.</w:t>
      </w:r>
    </w:p>
    <w:p>
      <w:pPr>
        <w:spacing w:after="0" w:line="1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"Risk Factors" in Item 1A of this Quarterly Report on Form 10-Q for further information of the possible impact of the COVID-19 pandemic on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186055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00" w:type="dxa"/>
            <w:vAlign w:val="bottom"/>
            <w:vMerge w:val="restart"/>
          </w:tcPr>
          <w:p>
            <w:pPr>
              <w:spacing w:after="0"/>
              <w:rPr>
                <w:sz w:val="20"/>
                <w:szCs w:val="20"/>
                <w:color w:val="auto"/>
              </w:rPr>
            </w:pPr>
            <w:r>
              <w:rPr>
                <w:rFonts w:ascii="Arial" w:cs="Arial" w:eastAsia="Arial" w:hAnsi="Arial"/>
                <w:sz w:val="18"/>
                <w:szCs w:val="18"/>
                <w:color w:val="auto"/>
              </w:rPr>
              <w:t>(dollars in</w:t>
            </w:r>
          </w:p>
        </w:tc>
        <w:tc>
          <w:tcPr>
            <w:tcW w:w="3140" w:type="dxa"/>
            <w:vAlign w:val="bottom"/>
            <w:tcBorders>
              <w:bottom w:val="single" w:sz="8" w:color="auto"/>
            </w:tcBorders>
            <w:gridSpan w:val="10"/>
          </w:tcPr>
          <w:p>
            <w:pPr>
              <w:jc w:val="right"/>
              <w:ind w:right="170"/>
              <w:spacing w:after="0"/>
              <w:rPr>
                <w:sz w:val="20"/>
                <w:szCs w:val="20"/>
                <w:color w:val="auto"/>
              </w:rPr>
            </w:pPr>
            <w:r>
              <w:rPr>
                <w:rFonts w:ascii="Arial" w:cs="Arial" w:eastAsia="Arial" w:hAnsi="Arial"/>
                <w:sz w:val="18"/>
                <w:szCs w:val="18"/>
                <w:b w:val="1"/>
                <w:bCs w:val="1"/>
                <w:color w:val="auto"/>
                <w:w w:val="93"/>
              </w:rPr>
              <w:t>Three Months Ended September 30,</w:t>
            </w:r>
          </w:p>
        </w:tc>
        <w:tc>
          <w:tcPr>
            <w:tcW w:w="8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3160" w:type="dxa"/>
            <w:vAlign w:val="bottom"/>
            <w:tcBorders>
              <w:bottom w:val="single" w:sz="8" w:color="auto"/>
            </w:tcBorders>
            <w:gridSpan w:val="10"/>
          </w:tcPr>
          <w:p>
            <w:pPr>
              <w:jc w:val="right"/>
              <w:ind w:right="230"/>
              <w:spacing w:after="0"/>
              <w:rPr>
                <w:sz w:val="20"/>
                <w:szCs w:val="20"/>
                <w:color w:val="auto"/>
              </w:rPr>
            </w:pPr>
            <w:r>
              <w:rPr>
                <w:rFonts w:ascii="Arial" w:cs="Arial" w:eastAsia="Arial" w:hAnsi="Arial"/>
                <w:sz w:val="18"/>
                <w:szCs w:val="18"/>
                <w:b w:val="1"/>
                <w:bCs w:val="1"/>
                <w:color w:val="auto"/>
                <w:w w:val="95"/>
              </w:rPr>
              <w:t>Nine Months Ended September 30,</w:t>
            </w:r>
          </w:p>
        </w:tc>
        <w:tc>
          <w:tcPr>
            <w:tcW w:w="80" w:type="dxa"/>
            <w:vAlign w:val="bottom"/>
          </w:tcPr>
          <w:p>
            <w:pPr>
              <w:spacing w:after="0"/>
              <w:rPr>
                <w:sz w:val="20"/>
                <w:szCs w:val="20"/>
                <w:color w:val="auto"/>
              </w:rPr>
            </w:pPr>
          </w:p>
        </w:tc>
        <w:tc>
          <w:tcPr>
            <w:tcW w:w="100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87"/>
              </w:rPr>
              <w:t>Change</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00" w:type="dxa"/>
            <w:vAlign w:val="bottom"/>
            <w:vMerge w:val="continue"/>
          </w:tcPr>
          <w:p>
            <w:pPr>
              <w:spacing w:after="0"/>
              <w:rPr>
                <w:sz w:val="16"/>
                <w:szCs w:val="16"/>
                <w:color w:val="auto"/>
              </w:rPr>
            </w:pP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6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6"/>
                <w:szCs w:val="16"/>
                <w:color w:val="auto"/>
              </w:rPr>
            </w:pPr>
          </w:p>
        </w:tc>
        <w:tc>
          <w:tcPr>
            <w:tcW w:w="7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6"/>
                <w:szCs w:val="16"/>
                <w:color w:val="auto"/>
              </w:rPr>
            </w:pP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thousands)</w:t>
            </w:r>
          </w:p>
        </w:tc>
        <w:tc>
          <w:tcPr>
            <w:tcW w:w="920" w:type="dxa"/>
            <w:vAlign w:val="bottom"/>
            <w:tcBorders>
              <w:bottom w:val="single" w:sz="8" w:color="auto"/>
            </w:tcBorders>
            <w:gridSpan w:val="3"/>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20" w:type="dxa"/>
            <w:vAlign w:val="bottom"/>
            <w:tcBorders>
              <w:bottom w:val="single" w:sz="8" w:color="auto"/>
            </w:tcBorders>
            <w:gridSpan w:val="3"/>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$ 107,504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117,455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(9,951)</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$ 329,187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346,839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(17,652)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52,861</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57,839</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163,988</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168,127</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59,616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178,712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5"/>
              </w:rPr>
              <w:t>Operating expenses: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Marketing and</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17,604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51,821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1600" w:type="dxa"/>
            <w:vAlign w:val="bottom"/>
          </w:tcPr>
          <w:p>
            <w:pPr>
              <w:ind w:left="340"/>
              <w:spacing w:after="0" w:line="201" w:lineRule="exact"/>
              <w:rPr>
                <w:sz w:val="20"/>
                <w:szCs w:val="20"/>
                <w:color w:val="auto"/>
              </w:rPr>
            </w:pPr>
            <w:r>
              <w:rPr>
                <w:rFonts w:ascii="Arial" w:cs="Arial" w:eastAsia="Arial" w:hAnsi="Arial"/>
                <w:sz w:val="18"/>
                <w:szCs w:val="18"/>
                <w:color w:val="auto"/>
              </w:rPr>
              <w:t>Research and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0" w:type="dxa"/>
            <w:vAlign w:val="bottom"/>
          </w:tcPr>
          <w:p>
            <w:pPr>
              <w:ind w:left="340"/>
              <w:spacing w:after="0"/>
              <w:rPr>
                <w:sz w:val="20"/>
                <w:szCs w:val="20"/>
                <w:color w:val="auto"/>
              </w:rPr>
            </w:pPr>
            <w:r>
              <w:rPr>
                <w:rFonts w:ascii="Arial" w:cs="Arial" w:eastAsia="Arial" w:hAnsi="Arial"/>
                <w:sz w:val="18"/>
                <w:szCs w:val="18"/>
                <w:color w:val="auto"/>
              </w:rPr>
              <w:t>development</w:t>
            </w:r>
          </w:p>
        </w:tc>
        <w:tc>
          <w:tcPr>
            <w:tcW w:w="780" w:type="dxa"/>
            <w:vAlign w:val="bottom"/>
          </w:tcPr>
          <w:p>
            <w:pPr>
              <w:jc w:val="right"/>
              <w:spacing w:after="0"/>
              <w:rPr>
                <w:sz w:val="20"/>
                <w:szCs w:val="20"/>
                <w:color w:val="auto"/>
              </w:rPr>
            </w:pPr>
            <w:r>
              <w:rPr>
                <w:rFonts w:ascii="Arial" w:cs="Arial" w:eastAsia="Arial" w:hAnsi="Arial"/>
                <w:sz w:val="18"/>
                <w:szCs w:val="18"/>
                <w:color w:val="auto"/>
              </w:rPr>
              <w:t>7,915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8,359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25,550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24,541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1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General and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12,380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38,983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38,411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8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00" w:type="dxa"/>
            <w:vAlign w:val="bottom"/>
            <w:tcBorders>
              <w:top w:val="single" w:sz="8" w:color="CCEEFF"/>
            </w:tcBorders>
          </w:tcPr>
          <w:p>
            <w:pPr>
              <w:ind w:left="660"/>
              <w:spacing w:after="0" w:line="195" w:lineRule="exact"/>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rPr>
              <w:t>operating</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36,974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38,343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32.6</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(1,369)</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(3.6)</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116,354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89"/>
              </w:rPr>
              <w:t>118,418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34.1</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1600" w:type="dxa"/>
            <w:vAlign w:val="bottom"/>
          </w:tcPr>
          <w:p>
            <w:pPr>
              <w:ind w:left="660"/>
              <w:spacing w:after="0"/>
              <w:rPr>
                <w:sz w:val="20"/>
                <w:szCs w:val="20"/>
                <w:color w:val="auto"/>
              </w:rPr>
            </w:pPr>
            <w:r>
              <w:rPr>
                <w:rFonts w:ascii="Arial" w:cs="Arial" w:eastAsia="Arial" w:hAnsi="Arial"/>
                <w:sz w:val="18"/>
                <w:szCs w:val="18"/>
                <w:color w:val="auto"/>
              </w:rPr>
              <w:t>expenses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from</w:t>
            </w: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21,273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48,845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Other income, net</w:t>
            </w: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219.3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195"/>
        </w:trPr>
        <w:tc>
          <w:tcPr>
            <w:tcW w:w="1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before</w:t>
            </w: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21,501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51,394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(16.9)</w:t>
            </w:r>
          </w:p>
        </w:tc>
        <w:tc>
          <w:tcPr>
            <w:tcW w:w="0" w:type="dxa"/>
            <w:vAlign w:val="bottom"/>
          </w:tcPr>
          <w:p>
            <w:pPr>
              <w:spacing w:after="0"/>
              <w:rPr>
                <w:sz w:val="1"/>
                <w:szCs w:val="1"/>
                <w:color w:val="auto"/>
              </w:rPr>
            </w:pPr>
          </w:p>
        </w:tc>
      </w:tr>
      <w:tr>
        <w:trPr>
          <w:trHeight w:val="202"/>
        </w:trPr>
        <w:tc>
          <w:tcPr>
            <w:tcW w:w="1600" w:type="dxa"/>
            <w:vAlign w:val="bottom"/>
          </w:tcPr>
          <w:p>
            <w:pPr>
              <w:spacing w:after="0" w:line="201" w:lineRule="exact"/>
              <w:rPr>
                <w:sz w:val="20"/>
                <w:szCs w:val="20"/>
                <w:color w:val="auto"/>
              </w:rPr>
            </w:pPr>
            <w:r>
              <w:rPr>
                <w:rFonts w:ascii="Arial" w:cs="Arial" w:eastAsia="Arial" w:hAnsi="Arial"/>
                <w:sz w:val="18"/>
                <w:szCs w:val="18"/>
                <w:color w:val="auto"/>
              </w:rPr>
              <w:t>Provision for</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4,709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4.0</w:t>
            </w:r>
          </w:p>
        </w:tc>
        <w:tc>
          <w:tcPr>
            <w:tcW w:w="80" w:type="dxa"/>
            <w:vAlign w:val="bottom"/>
            <w:vMerge w:val="restart"/>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(1,009)</w:t>
            </w:r>
          </w:p>
        </w:tc>
        <w:tc>
          <w:tcPr>
            <w:tcW w:w="80" w:type="dxa"/>
            <w:vAlign w:val="bottom"/>
            <w:vMerge w:val="restart"/>
          </w:tcPr>
          <w:p>
            <w:pPr>
              <w:spacing w:after="0"/>
              <w:rPr>
                <w:sz w:val="17"/>
                <w:szCs w:val="17"/>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auto"/>
              </w:rPr>
              <w:t>(21.4)</w:t>
            </w:r>
          </w:p>
        </w:tc>
        <w:tc>
          <w:tcPr>
            <w:tcW w:w="80" w:type="dxa"/>
            <w:vAlign w:val="bottom"/>
            <w:vMerge w:val="restart"/>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10,106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13,391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3.8</w:t>
            </w:r>
          </w:p>
        </w:tc>
        <w:tc>
          <w:tcPr>
            <w:tcW w:w="80" w:type="dxa"/>
            <w:vAlign w:val="bottom"/>
            <w:vMerge w:val="restart"/>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(24.5)</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income taxes</w:t>
            </w: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14,697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16,792</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 $ (2,095)</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 $  41,288</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48,469</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(14.8)%</w:t>
            </w:r>
          </w:p>
        </w:tc>
        <w:tc>
          <w:tcPr>
            <w:tcW w:w="0" w:type="dxa"/>
            <w:vAlign w:val="bottom"/>
          </w:tcPr>
          <w:p>
            <w:pPr>
              <w:spacing w:after="0"/>
              <w:rPr>
                <w:sz w:val="1"/>
                <w:szCs w:val="1"/>
                <w:color w:val="auto"/>
              </w:rPr>
            </w:pPr>
          </w:p>
        </w:tc>
      </w:tr>
      <w:tr>
        <w:trPr>
          <w:trHeight w:val="311"/>
        </w:trPr>
        <w:tc>
          <w:tcPr>
            <w:tcW w:w="160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-7620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left="20" w:right="120"/>
        <w:spacing w:after="0" w:line="277" w:lineRule="auto"/>
        <w:rPr>
          <w:sz w:val="20"/>
          <w:szCs w:val="20"/>
          <w:color w:val="auto"/>
        </w:rPr>
      </w:pPr>
      <w:r>
        <w:rPr>
          <w:rFonts w:ascii="Arial" w:cs="Arial" w:eastAsia="Arial" w:hAnsi="Arial"/>
          <w:sz w:val="18"/>
          <w:szCs w:val="18"/>
          <w:color w:val="auto"/>
        </w:rPr>
        <w:t>Stock-based compensation expense included in the statements of operations data above for the three and nine months ended September 30, 2020 and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186055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341" w:right="339" w:bottom="388"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1"/>
              </w:rPr>
              <w:t>Three Months Ended September</w:t>
            </w:r>
          </w:p>
        </w:tc>
        <w:tc>
          <w:tcPr>
            <w:tcW w:w="120" w:type="dxa"/>
            <w:vAlign w:val="bottom"/>
          </w:tcPr>
          <w:p>
            <w:pPr>
              <w:spacing w:after="0"/>
              <w:rPr>
                <w:sz w:val="18"/>
                <w:szCs w:val="18"/>
                <w:color w:val="auto"/>
              </w:rPr>
            </w:pPr>
          </w:p>
        </w:tc>
        <w:tc>
          <w:tcPr>
            <w:tcW w:w="26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Marketing and sales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3,945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3,212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gridSpan w:val="2"/>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-350520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three months ended September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4"/>
            <w:vMerge w:val="restart"/>
          </w:tcPr>
          <w:p>
            <w:pPr>
              <w:ind w:left="48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 of Total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5"/>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85,608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rPr>
              <w:t>Japan</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2,999</w:t>
            </w:r>
          </w:p>
        </w:tc>
        <w:tc>
          <w:tcPr>
            <w:tcW w:w="100" w:type="dxa"/>
            <w:vAlign w:val="bottom"/>
            <w:vMerge w:val="restart"/>
          </w:tcPr>
          <w:p>
            <w:pPr>
              <w:spacing w:after="0"/>
              <w:rPr>
                <w:sz w:val="14"/>
                <w:szCs w:val="14"/>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79"/>
              <w:spacing w:after="0" w:line="16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jc w:val="right"/>
              <w:ind w:right="139"/>
              <w:spacing w:after="0" w:line="68" w:lineRule="exact"/>
              <w:rPr>
                <w:sz w:val="20"/>
                <w:szCs w:val="20"/>
                <w:color w:val="auto"/>
              </w:rPr>
            </w:pPr>
            <w:r>
              <w:rPr>
                <w:rFonts w:ascii="Arial" w:cs="Arial" w:eastAsia="Arial" w:hAnsi="Arial"/>
                <w:sz w:val="7"/>
                <w:szCs w:val="7"/>
                <w:color w:val="auto"/>
              </w:rPr>
              <w:t>(21.5</w:t>
            </w: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117,455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26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revenue decreased $10.0 million, or 8.5%, for the three months ended September 30, 2020 compared to the same period in 2019. By reportable segment, revenue in the United States decreased $7.3 million, or 7.9%, for the three months ended September 30, 2020 compared to the same period in 2019. Revenue in Europe decreased $1.8 million, or 8.8%, and revenue in Japan decreased $0.8 million, or 21.5%, in each case for the three months ended September 30, 2020 compared to the same period in 2019. Our revenue in Europe was impacted by foreign currency exchange rates. Excluding the $0.8 million impact of the changes in foreign currency exchange rates, the decrease in Europe revenue would have been 12.8%. In addition, our revenue in each region was impacted by a decline in order activity driven by current economic conditions as a result of the COVID-19 pandemic.</w:t>
      </w:r>
    </w:p>
    <w:p>
      <w:pPr>
        <w:spacing w:after="0" w:line="1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revenue decline during the three months ended September 30, 2020 was the result of a decrease in the volume of product developers and engineers we served. During the three months ended September 30, 2020, we served 18,796 unique product developers and engineers, a decrease of 12.5% over the same period in 2019.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7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decrease in product developers served led to a reduction in overall order activity as a result of the economic uncertainty created by the COVID-19 pandemic, which in turn resulted in a decrease in revenue. International revenue was positively impacted by $0.9 million during the three months ended September 30, 2020 compared to the same period in 2019 as a result of foreign currency movements, primarily the strengthening of the British Pound and Euro relative to the United States Dollar.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three months ended September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 of Total</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Revenue</w:t>
            </w:r>
          </w:p>
        </w:tc>
        <w:tc>
          <w:tcPr>
            <w:tcW w:w="7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85"/>
              </w:rPr>
              <w:t>Revenue</w:t>
            </w:r>
          </w:p>
        </w:tc>
        <w:tc>
          <w:tcPr>
            <w:tcW w:w="7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09"/>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53,257</w:t>
            </w:r>
          </w:p>
        </w:tc>
        <w:tc>
          <w:tcPr>
            <w:tcW w:w="1560" w:type="dxa"/>
            <w:vAlign w:val="bottom"/>
            <w:gridSpan w:val="4"/>
          </w:tcPr>
          <w:p>
            <w:pPr>
              <w:jc w:val="right"/>
              <w:ind w:right="160"/>
              <w:spacing w:after="0"/>
              <w:rPr>
                <w:sz w:val="20"/>
                <w:szCs w:val="20"/>
                <w:color w:val="auto"/>
              </w:rPr>
            </w:pPr>
            <w:r>
              <w:rPr>
                <w:rFonts w:ascii="Arial" w:cs="Arial" w:eastAsia="Arial" w:hAnsi="Arial"/>
                <w:sz w:val="18"/>
                <w:szCs w:val="18"/>
                <w:color w:val="auto"/>
              </w:rPr>
              <w:t>49.5% $</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55,167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47.0% $</w:t>
            </w:r>
          </w:p>
        </w:tc>
        <w:tc>
          <w:tcPr>
            <w:tcW w:w="78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33,115</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16,294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r>
    </w:tbl>
    <w:p>
      <w:pPr>
        <w:sectPr>
          <w:pgSz w:w="11900" w:h="16838" w:orient="portrait"/>
          <w:cols w:equalWidth="0" w:num="1">
            <w:col w:w="11240"/>
          </w:cols>
          <w:pgMar w:left="320" w:top="121" w:right="3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107,504</w:t>
            </w:r>
          </w:p>
        </w:tc>
        <w:tc>
          <w:tcPr>
            <w:tcW w:w="15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 $</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117,455</w:t>
            </w:r>
          </w:p>
        </w:tc>
        <w:tc>
          <w:tcPr>
            <w:tcW w:w="15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0"/>
              </w:rPr>
              <w:t>(8.5)%</w:t>
            </w:r>
          </w:p>
        </w:tc>
        <w:tc>
          <w:tcPr>
            <w:tcW w:w="280" w:type="dxa"/>
            <w:vAlign w:val="bottom"/>
          </w:tcPr>
          <w:p>
            <w:pPr>
              <w:spacing w:after="0"/>
              <w:rPr>
                <w:sz w:val="21"/>
                <w:szCs w:val="2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246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By product line, our revenue decrease was driven by a 3.5% decrease in Injection Molding revenue, a 17.7% decrease in CNC Machining revenue, a 24.5% decrease in Sheet Metal revenue and a 4.6% decrease in Other Revenue, which was partially offset by a 2.5% increase in 3D Printing revenue, in each case for the three months ended September 30, 2020 compared to the same period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decreased $5.0 million, or 8.6%, for the three months ended September 30, 2020 compared to the same period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slightly greater than the rate of revenue decrease of 8.5% for the three months ended September 30, 2020 compared to the same period in 2019. The decrease in cost of revenue was primarily driven by lower variable costs associated with lower revenue volumes and cost saving measures implemented as a result of the COVID-19 pandemic. Specifically, the decreases were driven by a decrease in direct labor headcount and hours worked resulting in personnel and related cost decreases of $2.8 million and raw material and production cost decreases of $3.5 million, which were partially offset by equipment and facility-related cost increases of $1.3 million to support future growth of the business.</w:t>
      </w:r>
    </w:p>
    <w:p>
      <w:pPr>
        <w:spacing w:after="0" w:line="178"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i w:val="1"/>
          <w:iCs w:val="1"/>
          <w:color w:val="auto"/>
        </w:rPr>
        <w:t xml:space="preserve">Gross Profit and Gross Margin. </w:t>
      </w:r>
      <w:r>
        <w:rPr>
          <w:rFonts w:ascii="Arial" w:cs="Arial" w:eastAsia="Arial" w:hAnsi="Arial"/>
          <w:sz w:val="16"/>
          <w:szCs w:val="16"/>
          <w:color w:val="auto"/>
        </w:rPr>
        <w:t>Gross profit decreased from $59.6 million in the three months ended September 30, 2019 to $54.6 million in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primarily due to lower revenue volumes offset by cost-saving measures implemented as a result of the COVID-19 pandemic and the timing and mix of revenue. Gross margin was 50.8% in each of the three months ended September 30, 2020 and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Income, net and Provision for Income Taxes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decreased $0.9 million, or 5.1%, during the three months ended September 30, 2020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2019 due primarily to personnel and related cost decreases of $0.4 million as well as marketing program cost decreases of $0.5 million.</w:t>
      </w:r>
    </w:p>
    <w:p>
      <w:pPr>
        <w:spacing w:after="0" w:line="12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decreased $0.4 million, or 5.3%, during the three months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due to a decrease in headcount resulting in personnel and related cost decreases of $0.4 million.</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remained consistent during the three months ended September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2019 due to administrative cost decreases of $0.6 million, amortization cost decreases of $0.1 million and professional service cost decreases of $0.1 million, which were partially offset by personnel and related cost increases of $0.3 million and stock-based compensation cost increases of $0.5 million.</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recognized other income, net of $0.7 million for the three months ended September 30, 2020, an increase of $0.5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other income, net of $0.2 million for the three months ended September 30, 2019. Other income, net for the three months ended September 30, 2020 primarily consisted of $0.3 million in interest income on investments, a $0.3 million gain on foreign currency and $0.1 million in other income. Other income, net for the three months ended September 30, 2019 primarily consisted of $0.5 million in interest income on investments, which was partially offset by a $0.3 million loss on foreign currency.</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of 20.1% for the three months ended September 30, 2020 decreased 1.8% compared to 21.9%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2019. The decrease in the effective tax rate is primarily due to an increase in tax benefits from the exercise of stock options. Our income tax provision of $3.7 million for the three months ended September 30, 2020 decreased $1.0 million compared to our income tax provision of $4.7 million for the three months ended September 30, 2019, due to a combination of lower pre-tax income and the lower effective tax 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nine months ended September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ind w:left="640"/>
              <w:spacing w:after="0"/>
              <w:rPr>
                <w:sz w:val="20"/>
                <w:szCs w:val="20"/>
                <w:color w:val="auto"/>
              </w:rPr>
            </w:pPr>
            <w:r>
              <w:rPr>
                <w:rFonts w:ascii="Arial" w:cs="Arial" w:eastAsia="Arial" w:hAnsi="Arial"/>
                <w:sz w:val="18"/>
                <w:szCs w:val="18"/>
                <w:b w:val="1"/>
                <w:bCs w:val="1"/>
                <w:color w:val="auto"/>
                <w:w w:val="91"/>
              </w:rPr>
              <w:t>Nine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262,507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271,877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320"/>
              <w:spacing w:after="0"/>
              <w:rPr>
                <w:sz w:val="20"/>
                <w:szCs w:val="20"/>
                <w:color w:val="auto"/>
              </w:rPr>
            </w:pPr>
            <w:r>
              <w:rPr>
                <w:rFonts w:ascii="Arial" w:cs="Arial" w:eastAsia="Arial" w:hAnsi="Arial"/>
                <w:sz w:val="18"/>
                <w:szCs w:val="18"/>
                <w:color w:val="auto"/>
              </w:rPr>
              <w:t>Japan</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346,839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26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90" w:gutter="0" w:footer="0" w:header="0"/>
        </w:sectPr>
      </w:pPr>
    </w:p>
    <w:bookmarkStart w:id="19" w:name="page20"/>
    <w:bookmarkEnd w:id="19"/>
    <w:p>
      <w:pPr>
        <w:ind w:right="60"/>
        <w:spacing w:after="0" w:line="293" w:lineRule="auto"/>
        <w:rPr>
          <w:sz w:val="20"/>
          <w:szCs w:val="20"/>
          <w:color w:val="auto"/>
        </w:rPr>
      </w:pPr>
      <w:r>
        <w:rPr>
          <w:rFonts w:ascii="Arial" w:cs="Arial" w:eastAsia="Arial" w:hAnsi="Arial"/>
          <w:sz w:val="16"/>
          <w:szCs w:val="16"/>
          <w:color w:val="auto"/>
        </w:rPr>
        <w:t>Our revenue decreased $17.7 million, or 5.1%, for the nine months ended September 30, 2020 compared to the same period in 2019. By reportable segment, revenue in the United States decreased $9.4 million, or 3.4%, for the nine months ended September 30, 2020 compared to the same period in 2019. Revenue in Europe decreased $6.5 million, or 10.3%, and revenue in Japan decreased $1.8 million, or 14.8%, in each case for the nine months ended September 30, 2020 compared to the same period in 2019. Our revenue in Europe was impacted by foreign currency exchange rates. Excluding the $0.2 million impact of the changes in foreign currency exchange rates, the decrease in Europe revenue would have been 10.0%. In addition, our revenue in each region was impacted by a decline in order activity driven by current economic conditions as a result of the COVID-19 pandemic.</w:t>
      </w:r>
    </w:p>
    <w:p>
      <w:pPr>
        <w:spacing w:after="0" w:line="16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revenue decline during the nine months ended September 30, 2020 was the result of a decrease in the volume of product developers and engineers we served. During the nine months ended September 30, 2020, we served 37,504 unique product developers and engineers, a decrease of 8.1% over the same period in 2019.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7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decrease in product developers served led to a reduction in overall order activity as a result of the economic uncertainty created by the COVID-19 pandemic, which in turn resulted in a decrease in revenue. International revenue was negatively impacted by $0.1 million during the nine months ended September 30, 2020 compared to the same period in 2019 as a result of foreign currency movements, primarily the weakening of the British Pound and Euro relative to the United States Dollar.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nine months ended September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ind w:left="640"/>
              <w:spacing w:after="0"/>
              <w:rPr>
                <w:sz w:val="20"/>
                <w:szCs w:val="20"/>
                <w:color w:val="auto"/>
              </w:rPr>
            </w:pPr>
            <w:r>
              <w:rPr>
                <w:rFonts w:ascii="Arial" w:cs="Arial" w:eastAsia="Arial" w:hAnsi="Arial"/>
                <w:sz w:val="18"/>
                <w:szCs w:val="18"/>
                <w:b w:val="1"/>
                <w:bCs w:val="1"/>
                <w:color w:val="auto"/>
                <w:w w:val="91"/>
              </w:rPr>
              <w:t>Nine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165,927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165,935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46,478</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45,644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346,839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26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By product line, our revenue decrease was driven by a 14.7% decrease in CNC Machining revenue and a 9.3% decrease in Sheet Metal revenue, which was partially offset by a 1.8% increase in 3D Printing revenue and an 8.5% increase in Other Revenue, in each case for the nine months ended September 30, 2020 compared to the same period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decreased $4.1 million, or 2.5%, for the nine months ended September 30, 2020 compared to the same period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less than the rate of revenue decrease of 5.1% for the nine months ended September 30, 2020 compared to the same period in 2019. The decreases were driven by a $4.3 million decrease in raw material and production costs and a $2.7 million decrease in personnel and related cost, which was partially offset by a $2.9 million increase in equipment and facility-related costs to support future growth of the business.</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decreased from $178.7 million in the nine months ended September 30, 2019 to $165.2 million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primarily due to a decrease in revenue. Gross margin decreased from 51.5% in the nine months ended September 30, 2019 to 50.2% in the nine months ended September 30, 2020 due to the fixed cost structure of our facilities and equipment supporting lower revenue this year and the timing and mix of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Income, net and Provision for Income Taxes</w:t>
      </w:r>
    </w:p>
    <w:p>
      <w:pPr>
        <w:spacing w:after="0" w:line="22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decreased $3.6 million, or 6.6%, during the nine months ended September 30, 2020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2019 due primarily to personnel and related cost decreases of $1.6 million as well as marketing program cost decreases of $2.0 million.</w:t>
      </w:r>
    </w:p>
    <w:p>
      <w:pPr>
        <w:spacing w:after="0" w:line="124"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increased $1.0 million, or 4.1%, during the nine months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due to an increase in headcount resulting in personnel and related cost increases of $1.1 million and operating cost increases of $0.2 million, which were partially offset by professional services decreases of $0.3 million.</w:t>
      </w:r>
    </w:p>
    <w:p>
      <w:pPr>
        <w:spacing w:after="0" w:line="16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$0.6 million, or 1.5%, during the nine months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due to personnel and related cost increases of $1.6 million and professional services increases of $0.1 million, which were partially offset by a $0.4 million decrease in amortization cost and a $0.7 million decrease in administrative costs.</w:t>
      </w:r>
    </w:p>
    <w:p>
      <w:pPr>
        <w:spacing w:after="0" w:line="16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We recognized other income, net of $2.6 million for the nine months ended September 30, 2020, an increase of $1.0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other income, net of $1.6 million for the nine months ended September 30, 2019. Other income, net for the nine months ended September 30, 2020</w:t>
      </w:r>
    </w:p>
    <w:p>
      <w:pPr>
        <w:sectPr>
          <w:pgSz w:w="11900" w:h="16838" w:orient="portrait"/>
          <w:cols w:equalWidth="0" w:num="1">
            <w:col w:w="11240"/>
          </w:cols>
          <w:pgMar w:left="320" w:top="125" w:right="339" w:bottom="0" w:gutter="0" w:footer="0" w:header="0"/>
        </w:sectPr>
      </w:pPr>
    </w:p>
    <w:bookmarkStart w:id="20" w:name="page21"/>
    <w:bookmarkEnd w:id="20"/>
    <w:p>
      <w:pPr>
        <w:ind w:right="260"/>
        <w:spacing w:after="0" w:line="277" w:lineRule="auto"/>
        <w:rPr>
          <w:sz w:val="20"/>
          <w:szCs w:val="20"/>
          <w:color w:val="auto"/>
        </w:rPr>
      </w:pPr>
      <w:r>
        <w:rPr>
          <w:rFonts w:ascii="Arial" w:cs="Arial" w:eastAsia="Arial" w:hAnsi="Arial"/>
          <w:sz w:val="18"/>
          <w:szCs w:val="18"/>
          <w:color w:val="auto"/>
        </w:rPr>
        <w:t>primarily consisted of $1.2 million in interest income on investments and a $1.2 million gain on foreign currency. Other income, net for the nine months ended September 30, 2019 primarily consisted of $1.5 million in interest income on investments.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effective tax rate of 19.7% for the nine months ended September 30, 2020 decreased 1.9% compared to 21.6%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2019. The decrease in the effective tax rate is primarily due to an increase in tax benefits from the vesting of restricted stock and the exercise of stock options. Our income tax provision of $10.1 million for the nine months ended September 30, 2020 decreased $3.3 million compared to our income tax provision of $13.4 million for the nine months ended September 30,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during the nine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Net cash used in financing activities</w:t>
      </w:r>
    </w:p>
    <w:p>
      <w:pPr>
        <w:spacing w:after="0" w:line="22" w:lineRule="exact"/>
        <w:rPr>
          <w:sz w:val="20"/>
          <w:szCs w:val="20"/>
          <w:color w:val="auto"/>
        </w:rPr>
      </w:pPr>
    </w:p>
    <w:p>
      <w:pPr>
        <w:ind w:left="560" w:right="2180"/>
        <w:spacing w:after="0" w:line="395" w:lineRule="auto"/>
        <w:rPr>
          <w:sz w:val="20"/>
          <w:szCs w:val="20"/>
          <w:color w:val="auto"/>
        </w:rPr>
      </w:pPr>
      <w:r>
        <w:rPr>
          <w:rFonts w:ascii="Arial" w:cs="Arial" w:eastAsia="Arial" w:hAnsi="Arial"/>
          <w:sz w:val="16"/>
          <w:szCs w:val="16"/>
          <w:color w:val="auto"/>
        </w:rPr>
        <w:t>Effect of exchange rates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-237490</wp:posOffset>
            </wp:positionV>
            <wp:extent cx="641223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195"/>
        </w:trPr>
        <w:tc>
          <w:tcPr>
            <w:tcW w:w="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82,375</w:t>
            </w:r>
          </w:p>
        </w:tc>
        <w:tc>
          <w:tcPr>
            <w:tcW w:w="10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83,779</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(77,657)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(13,242)</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(33,455)</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36,522</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ectPr>
          <w:pgSz w:w="11900" w:h="16838" w:orient="portrait"/>
          <w:cols w:equalWidth="0" w:num="2">
            <w:col w:w="6620" w:space="720"/>
            <w:col w:w="3880"/>
          </w:cols>
          <w:pgMar w:left="320" w:top="125" w:right="359" w:bottom="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Historically, we have primarily financed our operations and capital expenditures through cash flow from operations. We had cash and cash equivalents of $118.3 million as of September 30, 2020, a decrease of $7.0 million from December 31, 2019. The decrease in our cash was primarily due to cash used in investing activity including net investments in marketable securities of $34.2 million and purchases of property, equipment and other capital assets of $40.5 million and repurchases of common stock of $14.7 million, which were partially offset by cash generated through operations of $82.4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Cash flows from operating activities were $82.4 million during the nine months ended September 30, 2020 and primarily consisted of net income of $41.3 million, adjusted for certain non-cash items, including depreciation and amortization of $23.9 million, stock-based compensation expense of $10.6 million and deferred taxes of $6.6 million. Cash flows from operating activities were $83.8 million during the nine months ended September 30, 2019 and primarily consisted of net income of $48.5 million, adjusted for certain non-cash items, including depreciation and amortization of $22.7 million, stock-based compensation expense of $9.7 million, deferred taxes of $1.6 million and changes in operating assets and liabilities and other items totaling $1.3 million.</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flows from operating activities decreased $1.4 million during the nine months ended September 30, 2020 compared to the same period in 2019, primarily due to decreases in net income of $7.2 million and decreases in changes in operating assets and liabilities of $0.8 million driven by timing of cash receipts and payments, which were partially offset by increases in deferred taxes of $5.0 million, increases in depreciation and amortization of $1.2 million and increases of $0.4 million in other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Cash used in investing activities was $77.7 million during the nine months ended September 30, 2020, consisting of $34.2 million in net investments in marketable securities, $40.5 million for the purchases of property, equipment and other capital assets and $3.0 million for purchases of other assets and investments.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used in investing activities was $13.2 million during the nine months ended September 30, 2019, consisting of $46.2 million for the purchases of property, equipment and other capital assets and $4.0 million for purchases of other assets and investments, which were partially offset by $37.0 million in net proceeds from maturities of marketable securities.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Cash used in financing activities was $12.4 million during the nine months ended September 30, 2020, consisting of $14.7 million in repurchases of common stock and $3.4 million in purchases of shares withheld for tax obligations associated with equity transactions, which were partially offset by $5.7 million in proceeds from the exercise of stock options.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Cash used in financing activities was $33.4 million during the nine months ended September 30, 2019, consisting of $33.5 million in repurchases of common stock and $2.4 million in purchases of shares withheld for tax obligations associated with equity transactions, which were partially offset by $2.5 million in proceeds from the exercise of stock options.</w:t>
      </w:r>
    </w:p>
    <w:p>
      <w:pPr>
        <w:sectPr>
          <w:pgSz w:w="11900" w:h="16838" w:orient="portrait"/>
          <w:cols w:equalWidth="0" w:num="1">
            <w:col w:w="11220"/>
          </w:cols>
          <w:pgMar w:left="320" w:top="125" w:right="359"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information on recent accounting pronouncements, see Note 2 to the Consolidated Financial Statements appearing in Part I, Item 1 in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$0.3 million and $1.2 million during the three and nine months ended September 30, 2020, respectively. We recognized foreign currency losses of $0.3 million and $0.2 million during the three and nine months ended September 30, 2019, respectively. The changes in foreign exchange rates had a positive impact on consolidated revenue of $0.9 million for the three months ended September 30, 2020 and a negative impact of $0.1 million for the nine months ended September 30, 2020 as compared to the same periods in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ectPr>
          <w:pgSz w:w="11900" w:h="16838" w:orient="portrait"/>
          <w:cols w:equalWidth="0" w:num="1">
            <w:col w:w="11240"/>
          </w:cols>
          <w:pgMar w:left="320" w:top="121" w:right="339" w:bottom="96" w:gutter="0" w:footer="0" w:header="0"/>
        </w:sectPr>
      </w:pPr>
    </w:p>
    <w:bookmarkStart w:id="22" w:name="page23"/>
    <w:bookmarkEnd w:id="22"/>
    <w:p>
      <w:pPr>
        <w:ind w:left="20" w:right="280"/>
        <w:spacing w:after="0" w:line="263" w:lineRule="auto"/>
        <w:rPr>
          <w:sz w:val="20"/>
          <w:szCs w:val="20"/>
          <w:color w:val="auto"/>
        </w:rPr>
      </w:pPr>
      <w:r>
        <w:rPr>
          <w:rFonts w:ascii="Arial" w:cs="Arial" w:eastAsia="Arial" w:hAnsi="Arial"/>
          <w:sz w:val="18"/>
          <w:szCs w:val="18"/>
          <w:color w:val="auto"/>
        </w:rPr>
        <w:t>Part I, Item 1A. “Risk Factors” in our Annual Report on Form 10-K for the year ended December 31, 2019 includes a discussion of our risk factors. The information presented below updates, and should be read in conjunction with, the risk factors and information disclosed in our Form 10-K. Except as presented below, there have been no material changes from the risk factors described in our Form 10-K.</w:t>
      </w:r>
    </w:p>
    <w:p>
      <w:pPr>
        <w:spacing w:after="0" w:line="184"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b w:val="1"/>
          <w:bCs w:val="1"/>
          <w:i w:val="1"/>
          <w:iCs w:val="1"/>
          <w:color w:val="auto"/>
        </w:rPr>
        <w:t>Economic uncertainty arising from the recent COVID-19 pandemic has adversely affected our business and results of operations and could continue to do so in the future.</w:t>
      </w:r>
    </w:p>
    <w:p>
      <w:pPr>
        <w:spacing w:after="0" w:line="170"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the novel coronavirus (COVID-19) a pandemic. The COVID-19 pandemic and associated counter-acting measures implemented by governments around the world, as well as increased business uncertainty, has adversely affected our business and results of operations and could continue to do so in the future. The Company is monitoring the global COVID-19 pandemic and has taken steps to mitigate the risks to our employees, customers, suppliers and other stakeholders. The Company has been deemed an essential business and all of our global manufacturing operations have remained open. The current business environment and quickly evolving market conditions require significant management judgment to interpret and quantify the actual and potential impact on our assumptions about future financial performance and operating cash flows. To the extent that changes in the current business environment continue to impact our ability to achieve levels of forecasted operating results and cash flows, if our stock price were to trade below book value per share for an extended period of time and/or should other events occur indicating the carrying value of our assets might be impaired, we may be required to recognize impairment losses on goodwill, intangible and tangible assets.</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color w:val="auto"/>
        </w:rPr>
        <w:t>On February 9, 2017, we announced that our board of directors had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This authorization increases the stock repurchase program to $100 million. The timing and amount of any share repurchases will be determined by our management based on market conditions and other factors.</w:t>
      </w:r>
    </w:p>
    <w:p>
      <w:pPr>
        <w:spacing w:after="0" w:line="188" w:lineRule="exact"/>
        <w:rPr>
          <w:sz w:val="20"/>
          <w:szCs w:val="20"/>
          <w:color w:val="auto"/>
        </w:rPr>
      </w:pPr>
    </w:p>
    <w:p>
      <w:pPr>
        <w:ind w:left="20" w:right="300"/>
        <w:spacing w:after="0" w:line="342" w:lineRule="auto"/>
        <w:rPr>
          <w:sz w:val="20"/>
          <w:szCs w:val="20"/>
          <w:color w:val="auto"/>
        </w:rPr>
      </w:pPr>
      <w:r>
        <w:rPr>
          <w:rFonts w:ascii="Arial" w:cs="Arial" w:eastAsia="Arial" w:hAnsi="Arial"/>
          <w:sz w:val="16"/>
          <w:szCs w:val="16"/>
          <w:color w:val="auto"/>
        </w:rPr>
        <w:t>The Company had no repurchases in the third quarter of 2020. During the nine months ended September 30, 2020, we repurchased 199,614 shares at an average price of $73.54 per share for an aggregate purchase price of $14.7 million. We have $35.2 million remaining under this authorization.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matters to disclose.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Exhibit</w:t>
            </w:r>
          </w:p>
        </w:tc>
        <w:tc>
          <w:tcPr>
            <w:tcW w:w="60" w:type="dxa"/>
            <w:vAlign w:val="bottom"/>
          </w:tcPr>
          <w:p>
            <w:pPr>
              <w:spacing w:after="0"/>
              <w:rPr>
                <w:sz w:val="18"/>
                <w:szCs w:val="18"/>
                <w:color w:val="auto"/>
              </w:rPr>
            </w:pPr>
          </w:p>
        </w:tc>
        <w:tc>
          <w:tcPr>
            <w:tcW w:w="10440" w:type="dxa"/>
            <w:vAlign w:val="bottom"/>
          </w:tcPr>
          <w:p>
            <w:pPr>
              <w:ind w:left="438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20"/>
                <w:szCs w:val="20"/>
                <w:color w:val="auto"/>
              </w:rPr>
            </w:pPr>
          </w:p>
        </w:tc>
        <w:tc>
          <w:tcPr>
            <w:tcW w:w="10440" w:type="dxa"/>
            <w:vAlign w:val="bottom"/>
          </w:tcPr>
          <w:p>
            <w:pPr>
              <w:spacing w:after="0"/>
              <w:rPr>
                <w:sz w:val="20"/>
                <w:szCs w:val="20"/>
                <w:color w:val="auto"/>
              </w:rPr>
            </w:pPr>
          </w:p>
        </w:tc>
      </w:tr>
      <w:tr>
        <w:trPr>
          <w:trHeight w:val="195"/>
        </w:trPr>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22"/>
                <w:szCs w:val="22"/>
                <w:color w:val="auto"/>
                <w:vertAlign w:val="subscript"/>
              </w:rPr>
              <w:t>3.1</w:t>
            </w:r>
            <w:r>
              <w:rPr>
                <w:rFonts w:ascii="Arial" w:cs="Arial" w:eastAsia="Arial" w:hAnsi="Arial"/>
                <w:sz w:val="10"/>
                <w:szCs w:val="10"/>
                <w:color w:val="auto"/>
              </w:rPr>
              <w:t>(1)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4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Third Amended and Restated Articles of Incorporation of Proto Labs, Inc.</w:t>
              </w:r>
            </w:hyperlink>
          </w:p>
        </w:tc>
      </w:tr>
      <w:tr>
        <w:trPr>
          <w:trHeight w:val="216"/>
        </w:trPr>
        <w:tc>
          <w:tcPr>
            <w:tcW w:w="680" w:type="dxa"/>
            <w:vAlign w:val="bottom"/>
          </w:tcPr>
          <w:p>
            <w:pPr>
              <w:jc w:val="center"/>
              <w:spacing w:after="0" w:line="216" w:lineRule="exact"/>
              <w:rPr>
                <w:sz w:val="20"/>
                <w:szCs w:val="20"/>
                <w:color w:val="auto"/>
              </w:rPr>
            </w:pPr>
            <w:r>
              <w:rPr>
                <w:rFonts w:ascii="Arial" w:cs="Arial" w:eastAsia="Arial" w:hAnsi="Arial"/>
                <w:sz w:val="18"/>
                <w:szCs w:val="18"/>
                <w:color w:val="auto"/>
                <w:w w:val="82"/>
              </w:rPr>
              <w:t>3.2</w:t>
            </w:r>
            <w:r>
              <w:rPr>
                <w:rFonts w:ascii="Arial" w:cs="Arial" w:eastAsia="Arial" w:hAnsi="Arial"/>
                <w:sz w:val="23"/>
                <w:szCs w:val="23"/>
                <w:color w:val="auto"/>
                <w:w w:val="82"/>
                <w:vertAlign w:val="superscript"/>
              </w:rPr>
              <w:t>(2)</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Articles of Amendment to Third Amended and Restated Articles of Incorporation of Proto Labs, Inc. dated May 20, 2015</w:t>
              </w:r>
            </w:hyperlink>
          </w:p>
        </w:tc>
      </w:tr>
      <w:tr>
        <w:trPr>
          <w:trHeight w:val="216"/>
        </w:trPr>
        <w:tc>
          <w:tcPr>
            <w:tcW w:w="68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3.3</w:t>
            </w:r>
            <w:r>
              <w:rPr>
                <w:rFonts w:ascii="Arial" w:cs="Arial" w:eastAsia="Arial" w:hAnsi="Arial"/>
                <w:sz w:val="10"/>
                <w:szCs w:val="10"/>
                <w:color w:val="auto"/>
              </w:rPr>
              <w:t>(3)</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Second Amended and Restated By-Laws of Proto Labs, Inc., as amended through November 8, 2016</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Certification of the Chief Executive Officer pursuant to Section 302 of the Sarbanes-Oxley Act</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Certification of the Chief Financial Officer pursuant to Section 302 of the Sarbanes-Oxley Act</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Certification of the Chief Executive Officer and the Chief Financial Officer pursuant to Section 906 of the Sarbanes-Oxley Act</w:t>
              </w:r>
            </w:hyperlink>
          </w:p>
        </w:tc>
      </w:tr>
      <w:tr>
        <w:trPr>
          <w:trHeight w:val="216"/>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101.INS</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 tags are embedded</w:t>
            </w:r>
          </w:p>
        </w:tc>
      </w:tr>
      <w:tr>
        <w:trPr>
          <w:trHeight w:val="216"/>
        </w:trPr>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101.SCH</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101.CAL</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101.DEF</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101.LAB</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101.PRE</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820" w:hanging="590"/>
        <w:spacing w:after="0"/>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400" w:right="640" w:hanging="372"/>
        <w:spacing w:after="0" w:line="221" w:lineRule="auto"/>
        <w:tabs>
          <w:tab w:leader="none" w:pos="40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3.2 to the Company’s Registration Statement on Form S-1/A (File No. 333-175745), filed with the Commission on February 13, 2012, and incorporated by reference herein.</w:t>
      </w:r>
    </w:p>
    <w:p>
      <w:pPr>
        <w:spacing w:after="0" w:line="1" w:lineRule="exact"/>
        <w:rPr>
          <w:rFonts w:ascii="Arial" w:cs="Arial" w:eastAsia="Arial" w:hAnsi="Arial"/>
          <w:sz w:val="24"/>
          <w:szCs w:val="24"/>
          <w:color w:val="auto"/>
          <w:vertAlign w:val="superscript"/>
        </w:rPr>
      </w:pPr>
    </w:p>
    <w:p>
      <w:pPr>
        <w:ind w:left="400" w:right="280" w:hanging="372"/>
        <w:spacing w:after="0" w:line="214" w:lineRule="auto"/>
        <w:tabs>
          <w:tab w:leader="none" w:pos="40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May 21, 2015 and incorporated by reference herein.</w:t>
      </w:r>
    </w:p>
    <w:p>
      <w:pPr>
        <w:spacing w:after="0" w:line="1" w:lineRule="exact"/>
        <w:rPr>
          <w:rFonts w:ascii="Arial" w:cs="Arial" w:eastAsia="Arial" w:hAnsi="Arial"/>
          <w:sz w:val="24"/>
          <w:szCs w:val="24"/>
          <w:color w:val="auto"/>
          <w:vertAlign w:val="superscript"/>
        </w:rPr>
      </w:pPr>
    </w:p>
    <w:p>
      <w:pPr>
        <w:ind w:left="400" w:right="180" w:hanging="372"/>
        <w:spacing w:after="0" w:line="214" w:lineRule="auto"/>
        <w:tabs>
          <w:tab w:leader="none" w:pos="40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November 8, 2016 and incorporated by reference herein.</w:t>
      </w:r>
    </w:p>
    <w:p>
      <w:pPr>
        <w:sectPr>
          <w:pgSz w:w="11900" w:h="16838" w:orient="portrait"/>
          <w:cols w:equalWidth="0" w:num="1">
            <w:col w:w="11260"/>
          </w:cols>
          <w:pgMar w:left="300" w:top="125" w:right="339" w:bottom="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Proto Labs, Inc.</w:t>
            </w:r>
          </w:p>
        </w:tc>
        <w:tc>
          <w:tcPr>
            <w:tcW w:w="112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3, 2020</w:t>
            </w:r>
          </w:p>
        </w:tc>
        <w:tc>
          <w:tcPr>
            <w:tcW w:w="19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Victoria M. Holt</w:t>
            </w:r>
          </w:p>
        </w:tc>
        <w:tc>
          <w:tcPr>
            <w:tcW w:w="112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Victoria M. Holt</w:t>
            </w:r>
          </w:p>
        </w:tc>
        <w:tc>
          <w:tcPr>
            <w:tcW w:w="112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12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3, 2020</w:t>
            </w:r>
          </w:p>
        </w:tc>
        <w:tc>
          <w:tcPr>
            <w:tcW w:w="19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Way</w:t>
            </w:r>
          </w:p>
        </w:tc>
        <w:tc>
          <w:tcPr>
            <w:tcW w:w="112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John A. Way</w:t>
            </w:r>
          </w:p>
        </w:tc>
        <w:tc>
          <w:tcPr>
            <w:tcW w:w="112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12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6460" w:type="dxa"/>
            <w:vAlign w:val="bottom"/>
            <w:gridSpan w:val="2"/>
          </w:tcPr>
          <w:p>
            <w:pPr>
              <w:jc w:val="right"/>
              <w:ind w:right="43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101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Victoria M. Holt,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November 3, 2020</w:t>
            </w:r>
          </w:p>
        </w:tc>
        <w:tc>
          <w:tcPr>
            <w:tcW w:w="7380" w:type="dxa"/>
            <w:vAlign w:val="bottom"/>
            <w:gridSpan w:val="2"/>
          </w:tcPr>
          <w:p>
            <w:pPr>
              <w:ind w:left="2080"/>
              <w:spacing w:after="0"/>
              <w:rPr>
                <w:sz w:val="20"/>
                <w:szCs w:val="20"/>
                <w:color w:val="auto"/>
              </w:rPr>
            </w:pPr>
            <w:r>
              <w:rPr>
                <w:rFonts w:ascii="Arial" w:cs="Arial" w:eastAsia="Arial" w:hAnsi="Arial"/>
                <w:sz w:val="18"/>
                <w:szCs w:val="18"/>
                <w:color w:val="auto"/>
              </w:rPr>
              <w:t>By: /s/ Victoria M. Holt</w:t>
            </w:r>
          </w:p>
        </w:tc>
      </w:tr>
      <w:tr>
        <w:trPr>
          <w:trHeight w:val="195"/>
        </w:trPr>
        <w:tc>
          <w:tcPr>
            <w:tcW w:w="3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Victoria M. Holt</w:t>
            </w:r>
          </w:p>
        </w:tc>
      </w:tr>
      <w:tr>
        <w:trPr>
          <w:trHeight w:val="216"/>
        </w:trPr>
        <w:tc>
          <w:tcPr>
            <w:tcW w:w="3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90"/>
        </w:trPr>
        <w:tc>
          <w:tcPr>
            <w:tcW w:w="3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Way,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November 3, 2020</w:t>
            </w:r>
          </w:p>
        </w:tc>
        <w:tc>
          <w:tcPr>
            <w:tcW w:w="7380" w:type="dxa"/>
            <w:vAlign w:val="bottom"/>
            <w:gridSpan w:val="2"/>
          </w:tcPr>
          <w:p>
            <w:pPr>
              <w:ind w:left="2080"/>
              <w:spacing w:after="0"/>
              <w:rPr>
                <w:sz w:val="20"/>
                <w:szCs w:val="20"/>
                <w:color w:val="auto"/>
              </w:rPr>
            </w:pPr>
            <w:r>
              <w:rPr>
                <w:rFonts w:ascii="Arial" w:cs="Arial" w:eastAsia="Arial" w:hAnsi="Arial"/>
                <w:sz w:val="18"/>
                <w:szCs w:val="18"/>
                <w:color w:val="auto"/>
              </w:rPr>
              <w:t>By: /s/ John A. Way</w:t>
            </w:r>
          </w:p>
        </w:tc>
      </w:tr>
      <w:tr>
        <w:trPr>
          <w:trHeight w:val="195"/>
        </w:trPr>
        <w:tc>
          <w:tcPr>
            <w:tcW w:w="3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74"/>
        </w:trPr>
        <w:tc>
          <w:tcPr>
            <w:tcW w:w="3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Victoria M. Holt, certify, pursuant to 18 U.S.C. Section 1350, as adopted pursuant to Section 906 of the Sarbanes-Oxley Act of 2002, that the Quarterly Report of Proto Labs, Inc. on Form 10-Q for the fiscal quarter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Victoria M. Holt</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Victoria M. Holt</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John A. Way, certify, pursuant to 18 U.S.C. Section 1350, as adopted pursuant to Section 906 of the Sarbanes-Oxley Act of 2002, that the Quarterly Report of Proto Labs, Inc. on Form 10-Q for the fiscal quarter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John A. Way</w:t>
            </w:r>
          </w:p>
        </w:tc>
      </w:tr>
      <w:tr>
        <w:trPr>
          <w:trHeight w:val="195"/>
        </w:trPr>
        <w:tc>
          <w:tcPr>
            <w:tcW w:w="6920" w:type="dxa"/>
            <w:vAlign w:val="bottom"/>
          </w:tcPr>
          <w:p>
            <w:pPr>
              <w:ind w:left="644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John A. Way</w:t>
            </w:r>
          </w:p>
        </w:tc>
      </w:t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574"/>
        </w:trPr>
        <w:tc>
          <w:tcPr>
            <w:tcW w:w="6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decimal"/>
      <w:start w:val="104"/>
    </w:lvl>
  </w:abstractNum>
  <w:abstractNum w:abstractNumId="6">
    <w:nsid w:val="7545E146"/>
    <w:multiLevelType w:val="hybridMultilevel"/>
    <w:lvl w:ilvl="0">
      <w:lvlJc w:val="left"/>
      <w:lvlText w:val="(%1)"/>
      <w:numFmt w:val="decimal"/>
      <w:start w:val="1"/>
    </w:lvl>
    <w:lvl w:ilvl="1">
      <w:lvlJc w:val="left"/>
      <w:lvlText w:val="%2"/>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25" Type="http://schemas.openxmlformats.org/officeDocument/2006/relationships/hyperlink" Target="http://www.sec.gov/Archives/edgar/data/1443669/000119312512054357/d199869dex32.htm" TargetMode="External"/><Relationship Id="rId126" Type="http://schemas.openxmlformats.org/officeDocument/2006/relationships/hyperlink" Target="http://www.sec.gov/Archives/edgar/data/1443669/000143774915010824/ex3-1.htm" TargetMode="External"/><Relationship Id="rId127" Type="http://schemas.openxmlformats.org/officeDocument/2006/relationships/hyperlink" Target="http://www.sec.gov/Archives/edgar/data/1443669/000143774916041414/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2020-11-03T14:44:26Z</dcterms:created>
  <dcterms:modified xsi:type="dcterms:W3CDTF">2020-11-03T14:44:26Z</dcterms:modified>
</cp:coreProperties>
</file>