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7"/>
          <w:szCs w:val="17"/>
          <w:color w:val="auto"/>
        </w:rPr>
        <w:t>___________________________</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9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(Mark One)</w:t>
      </w:r>
    </w:p>
    <w:p>
      <w:pPr>
        <w:spacing w:after="0" w:line="155" w:lineRule="exact"/>
        <w:rPr>
          <w:sz w:val="24"/>
          <w:szCs w:val="24"/>
          <w:color w:val="auto"/>
        </w:rPr>
      </w:pPr>
    </w:p>
    <w:p>
      <w:pPr>
        <w:ind w:left="480" w:right="1920" w:hanging="458"/>
        <w:spacing w:after="0" w:line="346" w:lineRule="auto"/>
        <w:tabs>
          <w:tab w:leader="none" w:pos="4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2025</w:t>
      </w:r>
    </w:p>
    <w:p>
      <w:pPr>
        <w:spacing w:after="0" w:line="103"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70" w:lineRule="exact"/>
        <w:rPr>
          <w:sz w:val="24"/>
          <w:szCs w:val="24"/>
          <w:color w:val="auto"/>
        </w:rPr>
      </w:pPr>
    </w:p>
    <w:p>
      <w:pPr>
        <w:ind w:left="480" w:right="1920" w:hanging="458"/>
        <w:spacing w:after="0" w:line="336" w:lineRule="auto"/>
        <w:tabs>
          <w:tab w:leader="none" w:pos="480"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 to ___________</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Commission File Number: 001-35435</w:t>
      </w:r>
    </w:p>
    <w:p>
      <w:pPr>
        <w:spacing w:after="0" w:line="10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Proto Labs,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48" w:lineRule="exact"/>
        <w:rPr>
          <w:sz w:val="24"/>
          <w:szCs w:val="24"/>
          <w:color w:val="auto"/>
        </w:rPr>
      </w:pPr>
    </w:p>
    <w:tbl>
      <w:tblPr>
        <w:tblLayout w:type="fixed"/>
        <w:tblInd w:w="740" w:type="dxa"/>
        <w:tblCellMar>
          <w:top w:w="0" w:type="dxa"/>
          <w:left w:w="0" w:type="dxa"/>
          <w:bottom w:w="0" w:type="dxa"/>
          <w:right w:w="0" w:type="dxa"/>
        </w:tblCellMar>
      </w:tblPr>
      <w:tr>
        <w:trPr>
          <w:trHeight w:val="229"/>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Minnesota</w:t>
            </w:r>
          </w:p>
        </w:tc>
        <w:tc>
          <w:tcPr>
            <w:tcW w:w="3660" w:type="dxa"/>
            <w:vAlign w:val="bottom"/>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41-1939628</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457"/>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b w:val="1"/>
                <w:bCs w:val="1"/>
                <w:color w:val="auto"/>
              </w:rPr>
              <w:t>5540 Pioneer Creek Drive</w:t>
            </w:r>
          </w:p>
        </w:tc>
        <w:tc>
          <w:tcPr>
            <w:tcW w:w="3660" w:type="dxa"/>
            <w:vAlign w:val="bottom"/>
          </w:tcPr>
          <w:p>
            <w:pPr>
              <w:spacing w:after="0"/>
              <w:rPr>
                <w:sz w:val="24"/>
                <w:szCs w:val="24"/>
                <w:color w:val="auto"/>
              </w:rPr>
            </w:pPr>
          </w:p>
        </w:tc>
      </w:tr>
      <w:tr>
        <w:trPr>
          <w:trHeight w:val="248"/>
        </w:trPr>
        <w:tc>
          <w:tcPr>
            <w:tcW w:w="5300" w:type="dxa"/>
            <w:vAlign w:val="bottom"/>
          </w:tcPr>
          <w:p>
            <w:pPr>
              <w:jc w:val="center"/>
              <w:ind w:right="1073"/>
              <w:spacing w:after="0"/>
              <w:rPr>
                <w:sz w:val="20"/>
                <w:szCs w:val="20"/>
                <w:color w:val="auto"/>
              </w:rPr>
            </w:pPr>
            <w:r>
              <w:rPr>
                <w:rFonts w:ascii="Times New Roman" w:cs="Times New Roman" w:eastAsia="Times New Roman" w:hAnsi="Times New Roman"/>
                <w:sz w:val="17"/>
                <w:szCs w:val="17"/>
                <w:b w:val="1"/>
                <w:bCs w:val="1"/>
                <w:color w:val="auto"/>
              </w:rPr>
              <w:t>Maple Plain, Minnesota</w:t>
            </w:r>
          </w:p>
        </w:tc>
        <w:tc>
          <w:tcPr>
            <w:tcW w:w="3660" w:type="dxa"/>
            <w:vAlign w:val="bottom"/>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rPr>
              <w:t>55359</w:t>
            </w:r>
          </w:p>
        </w:tc>
      </w:tr>
      <w:tr>
        <w:trPr>
          <w:trHeight w:val="248"/>
        </w:trPr>
        <w:tc>
          <w:tcPr>
            <w:tcW w:w="5300" w:type="dxa"/>
            <w:vAlign w:val="bottom"/>
          </w:tcPr>
          <w:p>
            <w:pPr>
              <w:jc w:val="center"/>
              <w:ind w:right="1053"/>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660" w:type="dxa"/>
            <w:vAlign w:val="bottom"/>
          </w:tcPr>
          <w:p>
            <w:pPr>
              <w:jc w:val="center"/>
              <w:ind w:left="1033"/>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(763) 479-3680</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Not Applicable</w:t>
      </w:r>
    </w:p>
    <w:p>
      <w:pPr>
        <w:spacing w:after="0" w:line="3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3" w:lineRule="exact"/>
        <w:rPr>
          <w:sz w:val="24"/>
          <w:szCs w:val="24"/>
          <w:color w:val="auto"/>
        </w:rPr>
      </w:pPr>
    </w:p>
    <w:tbl>
      <w:tblPr>
        <w:tblLayout w:type="fixed"/>
        <w:tblInd w:w="10" w:type="dxa"/>
        <w:tblCellMar>
          <w:top w:w="0" w:type="dxa"/>
          <w:left w:w="0" w:type="dxa"/>
          <w:bottom w:w="0" w:type="dxa"/>
          <w:right w:w="0" w:type="dxa"/>
        </w:tblCellMar>
      </w:tblPr>
      <w:tr>
        <w:trPr>
          <w:trHeight w:val="255"/>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41"/>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PRLB</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65" w:lineRule="exact"/>
        <w:rPr>
          <w:sz w:val="24"/>
          <w:szCs w:val="24"/>
          <w:color w:val="auto"/>
        </w:rPr>
      </w:pPr>
    </w:p>
    <w:p>
      <w:pPr>
        <w:ind w:right="20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60" w:lineRule="exact"/>
        <w:rPr>
          <w:sz w:val="24"/>
          <w:szCs w:val="24"/>
          <w:color w:val="auto"/>
        </w:rPr>
      </w:pPr>
    </w:p>
    <w:p>
      <w:pPr>
        <w:ind w:right="260"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No</w:t>
      </w:r>
    </w:p>
    <w:p>
      <w:pPr>
        <w:spacing w:after="0" w:line="58" w:lineRule="exact"/>
        <w:rPr>
          <w:sz w:val="24"/>
          <w:szCs w:val="24"/>
          <w:color w:val="auto"/>
        </w:rPr>
      </w:pPr>
    </w:p>
    <w:p>
      <w:pPr>
        <w:jc w:val="both"/>
        <w:ind w:right="12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180" w:type="dxa"/>
            <w:vAlign w:val="bottom"/>
          </w:tcPr>
          <w:p>
            <w:pPr>
              <w:ind w:left="760"/>
              <w:spacing w:after="0" w:line="171" w:lineRule="exact"/>
              <w:rPr>
                <w:sz w:val="20"/>
                <w:szCs w:val="20"/>
                <w:color w:val="auto"/>
              </w:rPr>
            </w:pPr>
            <w:r>
              <w:rPr>
                <w:rFonts w:ascii="MS PGothic" w:cs="MS PGothic" w:eastAsia="MS PGothic" w:hAnsi="MS PGothic"/>
                <w:sz w:val="17"/>
                <w:szCs w:val="17"/>
                <w:color w:val="auto"/>
              </w:rPr>
              <w:t>☑</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17"/>
                <w:szCs w:val="17"/>
                <w:color w:val="auto"/>
              </w:rPr>
              <w:t>Smaller reporting company</w:t>
            </w:r>
          </w:p>
        </w:tc>
        <w:tc>
          <w:tcPr>
            <w:tcW w:w="2180" w:type="dxa"/>
            <w:vAlign w:val="bottom"/>
          </w:tcPr>
          <w:p>
            <w:pPr>
              <w:ind w:left="760"/>
              <w:spacing w:after="0"/>
              <w:rPr>
                <w:sz w:val="20"/>
                <w:szCs w:val="20"/>
                <w:color w:val="auto"/>
              </w:rPr>
            </w:pPr>
            <w:r>
              <w:rPr>
                <w:rFonts w:ascii="Wingdings" w:cs="Wingdings" w:eastAsia="Wingdings" w:hAnsi="Wingdings"/>
                <w:sz w:val="17"/>
                <w:szCs w:val="17"/>
                <w:b w:val="1"/>
                <w:bCs w:val="1"/>
                <w:color w:val="auto"/>
              </w:rPr>
              <w:t>o</w:t>
            </w:r>
          </w:p>
        </w:tc>
        <w:tc>
          <w:tcPr>
            <w:tcW w:w="39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60"/>
              <w:spacing w:after="0"/>
              <w:rPr>
                <w:sz w:val="20"/>
                <w:szCs w:val="20"/>
                <w:color w:val="auto"/>
              </w:rPr>
            </w:pPr>
            <w:r>
              <w:rPr>
                <w:rFonts w:ascii="Wingdings" w:cs="Wingdings" w:eastAsia="Wingdings" w:hAnsi="Wingdings"/>
                <w:sz w:val="17"/>
                <w:szCs w:val="17"/>
                <w:b w:val="1"/>
                <w:bCs w:val="1"/>
                <w:color w:val="auto"/>
                <w:w w:val="92"/>
              </w:rPr>
              <w:t>o</w:t>
            </w:r>
          </w:p>
        </w:tc>
      </w:tr>
    </w:tbl>
    <w:p>
      <w:pPr>
        <w:spacing w:after="0" w:line="191" w:lineRule="exact"/>
        <w:rPr>
          <w:sz w:val="24"/>
          <w:szCs w:val="24"/>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 w:lineRule="exact"/>
        <w:rPr>
          <w:sz w:val="24"/>
          <w:szCs w:val="24"/>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w:t>
      </w:r>
    </w:p>
    <w:p>
      <w:pPr>
        <w:spacing w:after="0" w:line="157" w:lineRule="exact"/>
        <w:rPr>
          <w:sz w:val="24"/>
          <w:szCs w:val="24"/>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23,678,745 shares of Common Stock, par value $0.001 per share, were outstanding at October 28,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38735</wp:posOffset>
            </wp:positionV>
            <wp:extent cx="6899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63500</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10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953"/>
        </w:trPr>
        <w:tc>
          <w:tcPr>
            <w:tcW w:w="1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20" w:type="dxa"/>
            <w:vAlign w:val="bottom"/>
            <w:gridSpan w:val="9"/>
          </w:tcPr>
          <w:p>
            <w:pPr>
              <w:jc w:val="center"/>
              <w:ind w:right="2340"/>
              <w:spacing w:after="0"/>
              <w:rPr>
                <w:sz w:val="20"/>
                <w:szCs w:val="20"/>
                <w:color w:val="auto"/>
              </w:rPr>
            </w:pPr>
            <w:r>
              <w:rPr>
                <w:rFonts w:ascii="Times New Roman" w:cs="Times New Roman" w:eastAsia="Times New Roman" w:hAnsi="Times New Roman"/>
                <w:sz w:val="17"/>
                <w:szCs w:val="17"/>
                <w:b w:val="1"/>
                <w:bCs w:val="1"/>
                <w:color w:val="auto"/>
              </w:rPr>
              <w:t>Proto Labs, Inc.</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9"/>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1"/>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120" w:type="dxa"/>
            <w:vAlign w:val="bottom"/>
          </w:tcPr>
          <w:p>
            <w:pPr>
              <w:spacing w:after="0"/>
              <w:rPr>
                <w:sz w:val="24"/>
                <w:szCs w:val="24"/>
                <w:color w:val="auto"/>
              </w:rPr>
            </w:pPr>
          </w:p>
        </w:tc>
        <w:tc>
          <w:tcPr>
            <w:tcW w:w="878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80" w:type="dxa"/>
            <w:vAlign w:val="bottom"/>
          </w:tcPr>
          <w:p>
            <w:pPr>
              <w:spacing w:after="0"/>
              <w:rPr>
                <w:sz w:val="24"/>
                <w:szCs w:val="24"/>
                <w:color w:val="auto"/>
              </w:rPr>
            </w:pPr>
          </w:p>
        </w:tc>
        <w:tc>
          <w:tcPr>
            <w:tcW w:w="11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444"/>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7"/>
          </w:tcPr>
          <w:p>
            <w:pPr>
              <w:jc w:val="center"/>
              <w:ind w:right="4220"/>
              <w:spacing w:after="0"/>
              <w:rPr>
                <w:sz w:val="20"/>
                <w:szCs w:val="20"/>
                <w:color w:val="auto"/>
              </w:rPr>
            </w:pPr>
            <w:r>
              <w:rPr>
                <w:rFonts w:ascii="Times New Roman" w:cs="Times New Roman" w:eastAsia="Times New Roman" w:hAnsi="Times New Roman"/>
                <w:sz w:val="17"/>
                <w:szCs w:val="17"/>
                <w:color w:val="0000EE"/>
                <w:w w:val="97"/>
              </w:rPr>
              <w:t>PART I</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6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Financial Statements</w:t>
            </w:r>
          </w:p>
        </w:tc>
        <w:tc>
          <w:tcPr>
            <w:tcW w:w="2660" w:type="dxa"/>
            <w:vAlign w:val="bottom"/>
            <w:gridSpan w:val="4"/>
          </w:tcPr>
          <w:p>
            <w:pPr>
              <w:spacing w:after="0"/>
              <w:rPr>
                <w:sz w:val="19"/>
                <w:szCs w:val="19"/>
                <w:color w:val="auto"/>
              </w:rPr>
            </w:pPr>
          </w:p>
        </w:tc>
        <w:tc>
          <w:tcPr>
            <w:tcW w:w="520" w:type="dxa"/>
            <w:vAlign w:val="bottom"/>
            <w:tcBorders>
              <w:top w:val="single" w:sz="8" w:color="0000EE"/>
            </w:tcBorders>
            <w:gridSpan w:val="3"/>
          </w:tcPr>
          <w:p>
            <w:pPr>
              <w:spacing w:after="0"/>
              <w:rPr>
                <w:sz w:val="19"/>
                <w:szCs w:val="19"/>
                <w:color w:val="auto"/>
              </w:rPr>
            </w:pPr>
          </w:p>
        </w:tc>
        <w:tc>
          <w:tcPr>
            <w:tcW w:w="4220" w:type="dxa"/>
            <w:vAlign w:val="bottom"/>
            <w:gridSpan w:val="4"/>
          </w:tcPr>
          <w:p>
            <w:pPr>
              <w:spacing w:after="0"/>
              <w:rPr>
                <w:sz w:val="19"/>
                <w:szCs w:val="19"/>
                <w:color w:val="auto"/>
              </w:rPr>
            </w:pPr>
          </w:p>
        </w:tc>
        <w:tc>
          <w:tcPr>
            <w:tcW w:w="660" w:type="dxa"/>
            <w:vAlign w:val="bottom"/>
            <w:gridSpan w:val="4"/>
          </w:tcPr>
          <w:p>
            <w:pPr>
              <w:jc w:val="center"/>
              <w:ind w:left="413"/>
              <w:spacing w:after="0"/>
              <w:rPr>
                <w:sz w:val="20"/>
                <w:szCs w:val="20"/>
                <w:color w:val="auto"/>
              </w:rPr>
            </w:pPr>
            <w:r>
              <w:rPr>
                <w:rFonts w:ascii="Times New Roman" w:cs="Times New Roman" w:eastAsia="Times New Roman" w:hAnsi="Times New Roman"/>
                <w:sz w:val="17"/>
                <w:szCs w:val="17"/>
                <w:color w:val="0000EE"/>
                <w:w w:val="93"/>
              </w:rPr>
              <w:t>2</w:t>
            </w:r>
          </w:p>
        </w:tc>
        <w:tc>
          <w:tcPr>
            <w:tcW w:w="48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262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19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20"/>
                <w:szCs w:val="20"/>
                <w:color w:val="auto"/>
              </w:rPr>
            </w:pPr>
          </w:p>
        </w:tc>
        <w:tc>
          <w:tcPr>
            <w:tcW w:w="6240" w:type="dxa"/>
            <w:vAlign w:val="bottom"/>
            <w:gridSpan w:val="13"/>
          </w:tcPr>
          <w:p>
            <w:pPr>
              <w:spacing w:after="0"/>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2620" w:type="dxa"/>
            <w:vAlign w:val="bottom"/>
            <w:gridSpan w:val="2"/>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28</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4160" w:type="dxa"/>
            <w:vAlign w:val="bottom"/>
            <w:gridSpan w:val="9"/>
          </w:tcPr>
          <w:p>
            <w:pPr>
              <w:spacing w:after="0"/>
              <w:rPr>
                <w:sz w:val="20"/>
                <w:szCs w:val="20"/>
                <w:color w:val="auto"/>
              </w:rPr>
            </w:pPr>
            <w:r>
              <w:rPr>
                <w:rFonts w:ascii="Times New Roman" w:cs="Times New Roman" w:eastAsia="Times New Roman" w:hAnsi="Times New Roman"/>
                <w:sz w:val="17"/>
                <w:szCs w:val="17"/>
                <w:color w:val="0000EE"/>
              </w:rPr>
              <w:t>Controls and Procedures</w:t>
            </w:r>
          </w:p>
        </w:tc>
        <w:tc>
          <w:tcPr>
            <w:tcW w:w="4700" w:type="dxa"/>
            <w:vAlign w:val="bottom"/>
            <w:gridSpan w:val="6"/>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28</w:t>
            </w:r>
          </w:p>
        </w:tc>
      </w:tr>
      <w:tr>
        <w:trPr>
          <w:trHeight w:val="228"/>
        </w:trPr>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6620" w:type="dxa"/>
            <w:vAlign w:val="bottom"/>
            <w:gridSpan w:val="9"/>
          </w:tcPr>
          <w:p>
            <w:pPr>
              <w:jc w:val="center"/>
              <w:ind w:right="2320"/>
              <w:spacing w:after="0"/>
              <w:rPr>
                <w:sz w:val="20"/>
                <w:szCs w:val="20"/>
                <w:color w:val="auto"/>
              </w:rPr>
            </w:pPr>
            <w:r>
              <w:rPr>
                <w:rFonts w:ascii="Times New Roman" w:cs="Times New Roman" w:eastAsia="Times New Roman" w:hAnsi="Times New Roman"/>
                <w:sz w:val="17"/>
                <w:szCs w:val="17"/>
                <w:color w:val="0000EE"/>
                <w:w w:val="98"/>
              </w:rPr>
              <w:t>PART II</w:t>
            </w:r>
          </w:p>
        </w:tc>
        <w:tc>
          <w:tcPr>
            <w:tcW w:w="48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80" w:type="dxa"/>
            <w:vAlign w:val="bottom"/>
          </w:tcPr>
          <w:p>
            <w:pPr>
              <w:spacing w:after="0"/>
              <w:rPr>
                <w:sz w:val="19"/>
                <w:szCs w:val="19"/>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4100" w:type="dxa"/>
            <w:vAlign w:val="bottom"/>
            <w:gridSpan w:val="7"/>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80" w:type="dxa"/>
            <w:vAlign w:val="bottom"/>
            <w:tcBorders>
              <w:top w:val="single" w:sz="8" w:color="0000EE"/>
            </w:tcBorders>
            <w:gridSpan w:val="5"/>
          </w:tcPr>
          <w:p>
            <w:pPr>
              <w:spacing w:after="0"/>
              <w:rPr>
                <w:sz w:val="19"/>
                <w:szCs w:val="19"/>
                <w:color w:val="auto"/>
              </w:rPr>
            </w:pPr>
          </w:p>
        </w:tc>
        <w:tc>
          <w:tcPr>
            <w:tcW w:w="4180" w:type="dxa"/>
            <w:vAlign w:val="bottom"/>
            <w:gridSpan w:val="3"/>
          </w:tcPr>
          <w:p>
            <w:pPr>
              <w:spacing w:after="0"/>
              <w:rPr>
                <w:sz w:val="19"/>
                <w:szCs w:val="19"/>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29</w:t>
            </w:r>
          </w:p>
        </w:tc>
      </w:tr>
      <w:tr>
        <w:trPr>
          <w:trHeight w:val="20"/>
        </w:trPr>
        <w:tc>
          <w:tcPr>
            <w:tcW w:w="124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1A.</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380" w:type="dxa"/>
            <w:vAlign w:val="bottom"/>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7"/>
                <w:szCs w:val="17"/>
                <w:color w:val="0000EE"/>
              </w:rPr>
              <w:t>Unregistered Sales of Equity Securities and Use of Proceeds</w:t>
            </w: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0000EE"/>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Pr>
          <w:p>
            <w:pPr>
              <w:spacing w:after="0"/>
              <w:rPr>
                <w:sz w:val="19"/>
                <w:szCs w:val="19"/>
                <w:color w:val="auto"/>
              </w:rPr>
            </w:pPr>
          </w:p>
        </w:tc>
        <w:tc>
          <w:tcPr>
            <w:tcW w:w="4200" w:type="dxa"/>
            <w:vAlign w:val="bottom"/>
            <w:gridSpan w:val="10"/>
          </w:tcPr>
          <w:p>
            <w:pPr>
              <w:spacing w:after="0"/>
              <w:rPr>
                <w:sz w:val="20"/>
                <w:szCs w:val="20"/>
                <w:color w:val="auto"/>
              </w:rPr>
            </w:pPr>
            <w:r>
              <w:rPr>
                <w:rFonts w:ascii="Times New Roman" w:cs="Times New Roman" w:eastAsia="Times New Roman" w:hAnsi="Times New Roman"/>
                <w:sz w:val="17"/>
                <w:szCs w:val="17"/>
                <w:color w:val="0000EE"/>
              </w:rPr>
              <w:t>Defaults Upon Senior Securities</w:t>
            </w:r>
          </w:p>
        </w:tc>
        <w:tc>
          <w:tcPr>
            <w:tcW w:w="46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29</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gridSpan w:val="3"/>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1"/>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20"/>
                <w:szCs w:val="20"/>
                <w:color w:val="auto"/>
              </w:rPr>
            </w:pPr>
          </w:p>
        </w:tc>
        <w:tc>
          <w:tcPr>
            <w:tcW w:w="2240" w:type="dxa"/>
            <w:vAlign w:val="bottom"/>
            <w:gridSpan w:val="6"/>
          </w:tcPr>
          <w:p>
            <w:pPr>
              <w:spacing w:after="0"/>
              <w:rPr>
                <w:sz w:val="20"/>
                <w:szCs w:val="20"/>
                <w:color w:val="auto"/>
              </w:rPr>
            </w:pPr>
            <w:r>
              <w:rPr>
                <w:rFonts w:ascii="Times New Roman" w:cs="Times New Roman" w:eastAsia="Times New Roman" w:hAnsi="Times New Roman"/>
                <w:sz w:val="17"/>
                <w:szCs w:val="17"/>
                <w:color w:val="0000EE"/>
              </w:rPr>
              <w:t>Mine Safety Disclosures</w:t>
            </w:r>
          </w:p>
        </w:tc>
        <w:tc>
          <w:tcPr>
            <w:tcW w:w="6620" w:type="dxa"/>
            <w:vAlign w:val="bottom"/>
            <w:gridSpan w:val="9"/>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30</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71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17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Other Information</w:t>
            </w:r>
          </w:p>
        </w:tc>
        <w:tc>
          <w:tcPr>
            <w:tcW w:w="7160" w:type="dxa"/>
            <w:vAlign w:val="bottom"/>
            <w:gridSpan w:val="10"/>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30</w:t>
            </w:r>
          </w:p>
        </w:tc>
      </w:tr>
      <w:tr>
        <w:trPr>
          <w:trHeight w:val="20"/>
        </w:trPr>
        <w:tc>
          <w:tcPr>
            <w:tcW w:w="1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760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19"/>
                <w:szCs w:val="19"/>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0000EE"/>
                <w:w w:val="98"/>
              </w:rPr>
              <w:t>Exhibits</w:t>
            </w:r>
          </w:p>
        </w:tc>
        <w:tc>
          <w:tcPr>
            <w:tcW w:w="680" w:type="dxa"/>
            <w:vAlign w:val="bottom"/>
            <w:gridSpan w:val="2"/>
          </w:tcPr>
          <w:p>
            <w:pPr>
              <w:spacing w:after="0"/>
              <w:rPr>
                <w:sz w:val="19"/>
                <w:szCs w:val="19"/>
                <w:color w:val="auto"/>
              </w:rPr>
            </w:pPr>
          </w:p>
        </w:tc>
        <w:tc>
          <w:tcPr>
            <w:tcW w:w="7600" w:type="dxa"/>
            <w:vAlign w:val="bottom"/>
            <w:gridSpan w:val="12"/>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gridSpan w:val="4"/>
          </w:tcPr>
          <w:p>
            <w:pPr>
              <w:jc w:val="center"/>
              <w:ind w:right="480"/>
              <w:spacing w:after="0"/>
              <w:rPr>
                <w:sz w:val="20"/>
                <w:szCs w:val="20"/>
                <w:color w:val="auto"/>
              </w:rPr>
            </w:pPr>
            <w:r>
              <w:rPr>
                <w:rFonts w:ascii="Times New Roman" w:cs="Times New Roman" w:eastAsia="Times New Roman" w:hAnsi="Times New Roman"/>
                <w:sz w:val="17"/>
                <w:szCs w:val="17"/>
                <w:color w:val="0000EE"/>
              </w:rPr>
              <w:t>31</w:t>
            </w:r>
          </w:p>
        </w:tc>
      </w:tr>
      <w:tr>
        <w:trPr>
          <w:trHeight w:val="908"/>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60" w:type="dxa"/>
            <w:vAlign w:val="bottom"/>
            <w:gridSpan w:val="10"/>
          </w:tcPr>
          <w:p>
            <w:pPr>
              <w:jc w:val="center"/>
              <w:ind w:left="3453"/>
              <w:spacing w:after="0"/>
              <w:rPr>
                <w:sz w:val="20"/>
                <w:szCs w:val="20"/>
                <w:color w:val="auto"/>
              </w:rPr>
            </w:pPr>
            <w:r>
              <w:rPr>
                <w:rFonts w:ascii="Times New Roman" w:cs="Times New Roman" w:eastAsia="Times New Roman" w:hAnsi="Times New Roman"/>
                <w:sz w:val="17"/>
                <w:szCs w:val="17"/>
                <w:color w:val="auto"/>
                <w:w w:val="93"/>
              </w:rPr>
              <w:t>1</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r>
        <w:trPr>
          <w:trHeight w:val="98"/>
        </w:trPr>
        <w:tc>
          <w:tcPr>
            <w:tcW w:w="1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220" w:type="dxa"/>
            <w:vAlign w:val="bottom"/>
          </w:tcPr>
          <w:p>
            <w:pPr>
              <w:spacing w:after="0"/>
              <w:rPr>
                <w:sz w:val="14"/>
                <w:szCs w:val="14"/>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4"/>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6"/>
        </w:trPr>
        <w:tc>
          <w:tcPr>
            <w:tcW w:w="8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9"/>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104,422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89,071</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Short-term marketable securities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14,019</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$2,378 and $1,975 as of September 30, 2025, and December 31, 2024,</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77,790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66,504</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Inventory</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12,305</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taxes receivable</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2,906</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10,049</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225,792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194,854</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227,263</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273,991</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21,422</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marketable securities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19,149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17,773</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2,993</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assets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4,524</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0"/>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756,855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743,512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15,504</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16,550</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19,621</w:t>
            </w:r>
          </w:p>
        </w:tc>
      </w:tr>
      <w:tr>
        <w:trPr>
          <w:trHeight w:val="186"/>
        </w:trPr>
        <w:tc>
          <w:tcPr>
            <w:tcW w:w="8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2"/>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Current finance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69,742</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53,271</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finance lease liabilities</w:t>
            </w:r>
          </w:p>
        </w:tc>
        <w:tc>
          <w:tcPr>
            <w:tcW w:w="200" w:type="dxa"/>
            <w:vAlign w:val="bottom"/>
          </w:tcPr>
          <w:p>
            <w:pPr>
              <w:spacing w:after="0"/>
              <w:rPr>
                <w:sz w:val="16"/>
                <w:szCs w:val="16"/>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deferred tax liabilities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13,565</w:t>
            </w:r>
          </w:p>
        </w:tc>
      </w:tr>
      <w:tr>
        <w:trPr>
          <w:trHeight w:val="18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4,605</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9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92,136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73,361</w:t>
            </w:r>
          </w:p>
        </w:tc>
      </w:tr>
      <w:tr>
        <w:trPr>
          <w:trHeight w:val="91"/>
        </w:trPr>
        <w:tc>
          <w:tcPr>
            <w:tcW w:w="8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r>
      <w:tr>
        <w:trPr>
          <w:trHeight w:val="202"/>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r>
      <w:tr>
        <w:trPr>
          <w:trHeight w:val="174"/>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$0.001 par value, authorized 10,000,000 shares; issued and outstanding 0 shares as of each of September 30, 2025, and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2"/>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December 31, 2024</w:t>
            </w:r>
          </w:p>
        </w:tc>
        <w:tc>
          <w:tcPr>
            <w:tcW w:w="20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174"/>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Common stock, $0.001 par value, authorized 150,000,000 shares; issued and outstanding 23,677,746 and 24,226,088 shares as of</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September 30, 2025, and December 31, 2024,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450,852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453,705</w:t>
            </w:r>
          </w:p>
        </w:tc>
      </w:tr>
      <w:tr>
        <w:trPr>
          <w:trHeight w:val="36"/>
        </w:trPr>
        <w:tc>
          <w:tcPr>
            <w:tcW w:w="8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02"/>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238,568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244,406</w:t>
            </w:r>
          </w:p>
        </w:tc>
      </w:tr>
      <w:tr>
        <w:trPr>
          <w:trHeight w:val="186"/>
        </w:trPr>
        <w:tc>
          <w:tcPr>
            <w:tcW w:w="82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(24,724)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(27,984)</w:t>
            </w:r>
          </w:p>
        </w:tc>
      </w:tr>
      <w:tr>
        <w:trPr>
          <w:trHeight w:val="36"/>
        </w:trPr>
        <w:tc>
          <w:tcPr>
            <w:tcW w:w="8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15"/>
        </w:trPr>
        <w:tc>
          <w:tcPr>
            <w:tcW w:w="82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664,719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670,151</w:t>
            </w:r>
          </w:p>
        </w:tc>
      </w:tr>
      <w:tr>
        <w:trPr>
          <w:trHeight w:val="179"/>
        </w:trPr>
        <w:tc>
          <w:tcPr>
            <w:tcW w:w="82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756,855</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743,512</w:t>
            </w:r>
          </w:p>
        </w:tc>
      </w:tr>
      <w:tr>
        <w:trPr>
          <w:trHeight w:val="36"/>
        </w:trPr>
        <w:tc>
          <w:tcPr>
            <w:tcW w:w="8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8"/>
        </w:trPr>
        <w:tc>
          <w:tcPr>
            <w:tcW w:w="8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w:t>
      </w:r>
    </w:p>
    <w:p>
      <w:pPr>
        <w:spacing w:after="0" w:line="1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4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4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Statements of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135,366</w:t>
            </w:r>
          </w:p>
        </w:tc>
        <w:tc>
          <w:tcPr>
            <w:tcW w:w="100" w:type="dxa"/>
            <w:vAlign w:val="bottom"/>
          </w:tcPr>
          <w:p>
            <w:pPr>
              <w:spacing w:after="0"/>
              <w:rPr>
                <w:sz w:val="20"/>
                <w:szCs w:val="20"/>
                <w:color w:val="auto"/>
              </w:rPr>
            </w:pP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396,634</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379,140</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74,073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219,869</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207,897</w:t>
            </w: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61,293</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57,230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176,765</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171,243</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Marketing and sales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73,054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69,070</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31,600</w:t>
            </w: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17,163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52,763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49,167</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related to exit and disposal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49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52,483</w:t>
            </w: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48,650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158,455</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149,837</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21,406</w:t>
            </w:r>
          </w:p>
        </w:tc>
      </w:tr>
      <w:tr>
        <w:trPr>
          <w:trHeight w:val="23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4,600</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3,548</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10,251</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22,910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r>
      <w:tr>
        <w:trPr>
          <w:trHeight w:val="235"/>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7,957</w:t>
            </w:r>
          </w:p>
        </w:tc>
      </w:tr>
      <w:tr>
        <w:trPr>
          <w:trHeight w:val="26"/>
        </w:trPr>
        <w:tc>
          <w:tcPr>
            <w:tcW w:w="4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15,242</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4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tcPr>
          <w:p>
            <w:pPr>
              <w:spacing w:after="0"/>
              <w:rPr>
                <w:sz w:val="20"/>
                <w:szCs w:val="20"/>
                <w:color w:val="auto"/>
              </w:rPr>
            </w:pP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79"/>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5"/>
        </w:trPr>
        <w:tc>
          <w:tcPr>
            <w:tcW w:w="4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used to compute net income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23,889,157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24,980,536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23,974,054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25,304,985</w:t>
            </w:r>
          </w:p>
        </w:tc>
      </w:tr>
      <w:tr>
        <w:trPr>
          <w:trHeight w:val="26"/>
        </w:trPr>
        <w:tc>
          <w:tcPr>
            <w:tcW w:w="4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4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24,191,039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25,022,485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24,249,669</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25,382,280</w:t>
            </w:r>
          </w:p>
        </w:tc>
      </w:tr>
      <w:tr>
        <w:trPr>
          <w:trHeight w:val="209"/>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(net of tax)</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5"/>
        </w:trPr>
        <w:tc>
          <w:tcPr>
            <w:tcW w:w="49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7,055</w:t>
            </w:r>
          </w:p>
        </w:tc>
        <w:tc>
          <w:tcPr>
            <w:tcW w:w="100" w:type="dxa"/>
            <w:vAlign w:val="bottom"/>
          </w:tcPr>
          <w:p>
            <w:pPr>
              <w:spacing w:after="0"/>
              <w:rPr>
                <w:sz w:val="20"/>
                <w:szCs w:val="20"/>
                <w:color w:val="auto"/>
              </w:rPr>
            </w:pPr>
          </w:p>
        </w:tc>
        <w:tc>
          <w:tcPr>
            <w:tcW w:w="560" w:type="dxa"/>
            <w:vAlign w:val="bottom"/>
          </w:tcPr>
          <w:p>
            <w:pPr>
              <w:jc w:val="right"/>
              <w:ind w:right="3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9,769</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18,502</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18,158</w:t>
            </w:r>
          </w:p>
        </w:tc>
      </w:tr>
      <w:tr>
        <w:trPr>
          <w:trHeight w:val="26"/>
        </w:trPr>
        <w:tc>
          <w:tcPr>
            <w:tcW w:w="4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3"/>
        </w:trPr>
        <w:tc>
          <w:tcPr>
            <w:tcW w:w="49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10"/>
                <w:szCs w:val="10"/>
                <w:color w:val="auto"/>
              </w:rPr>
            </w:pPr>
          </w:p>
        </w:tc>
        <w:tc>
          <w:tcPr>
            <w:tcW w:w="1020" w:type="dxa"/>
            <w:vAlign w:val="bottom"/>
            <w:gridSpan w:val="2"/>
            <w:vMerge w:val="restart"/>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860" w:type="dxa"/>
            <w:vAlign w:val="bottom"/>
          </w:tcPr>
          <w:p>
            <w:pPr>
              <w:spacing w:after="0"/>
              <w:rPr>
                <w:sz w:val="15"/>
                <w:szCs w:val="15"/>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24,226,088</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453,705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244,406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670,151</w:t>
            </w:r>
          </w:p>
        </w:tc>
        <w:tc>
          <w:tcPr>
            <w:tcW w:w="0" w:type="dxa"/>
            <w:vAlign w:val="bottom"/>
          </w:tcPr>
          <w:p>
            <w:pPr>
              <w:spacing w:after="0"/>
              <w:rPr>
                <w:sz w:val="1"/>
                <w:szCs w:val="1"/>
                <w:color w:val="auto"/>
              </w:rPr>
            </w:pPr>
          </w:p>
        </w:tc>
      </w:tr>
      <w:tr>
        <w:trPr>
          <w:trHeight w:val="160"/>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(513,739)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23,770,640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447,115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236,554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656,801</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3860" w:type="dxa"/>
            <w:vAlign w:val="bottom"/>
            <w:shd w:val="clear" w:color="auto" w:fill="CCEEFF"/>
          </w:tcPr>
          <w:p>
            <w:pPr>
              <w:ind w:left="180"/>
              <w:spacing w:after="0" w:line="13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179,393</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4,259</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(75,432)</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4,427</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6,755</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23,874,601</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449,903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664,707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80"/>
              <w:spacing w:after="0" w:line="152"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86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61,599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 and other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(258,454)</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(12,832)</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7,055</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23,677,746</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450,852</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238,568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664,719</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080" w:type="dxa"/>
            <w:vAlign w:val="bottom"/>
            <w:gridSpan w:val="3"/>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860" w:type="dxa"/>
            <w:vAlign w:val="bottom"/>
          </w:tcPr>
          <w:p>
            <w:pPr>
              <w:spacing w:after="0"/>
              <w:rPr>
                <w:sz w:val="9"/>
                <w:szCs w:val="9"/>
                <w:color w:val="auto"/>
              </w:rPr>
            </w:pPr>
          </w:p>
        </w:tc>
        <w:tc>
          <w:tcPr>
            <w:tcW w:w="20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center"/>
              <w:ind w:right="260"/>
              <w:spacing w:after="0" w:line="123" w:lineRule="exact"/>
              <w:rPr>
                <w:sz w:val="20"/>
                <w:szCs w:val="20"/>
                <w:color w:val="auto"/>
              </w:rPr>
            </w:pPr>
            <w:r>
              <w:rPr>
                <w:rFonts w:ascii="Times New Roman" w:cs="Times New Roman" w:eastAsia="Times New Roman" w:hAnsi="Times New Roman"/>
                <w:sz w:val="14"/>
                <w:szCs w:val="14"/>
                <w:b w:val="1"/>
                <w:bCs w:val="1"/>
                <w:color w:val="auto"/>
                <w:w w:val="97"/>
              </w:rPr>
              <w:t>Paid-In</w:t>
            </w: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38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25,721,957</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256,398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695,295</w:t>
            </w:r>
          </w:p>
        </w:tc>
        <w:tc>
          <w:tcPr>
            <w:tcW w:w="0" w:type="dxa"/>
            <w:vAlign w:val="bottom"/>
          </w:tcPr>
          <w:p>
            <w:pPr>
              <w:spacing w:after="0"/>
              <w:rPr>
                <w:sz w:val="1"/>
                <w:szCs w:val="1"/>
                <w:color w:val="auto"/>
              </w:rPr>
            </w:pPr>
          </w:p>
        </w:tc>
      </w:tr>
      <w:tr>
        <w:trPr>
          <w:trHeight w:val="174"/>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29,974</w:t>
            </w: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(435,861)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5,268</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4,436</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25,316,070</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462,715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253,414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(28,845)</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687,310</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86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176,780</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(345,234)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(10,978)</w:t>
            </w:r>
          </w:p>
        </w:tc>
        <w:tc>
          <w:tcPr>
            <w:tcW w:w="0" w:type="dxa"/>
            <w:vAlign w:val="bottom"/>
          </w:tcPr>
          <w:p>
            <w:pPr>
              <w:spacing w:after="0"/>
              <w:rPr>
                <w:sz w:val="1"/>
                <w:szCs w:val="1"/>
                <w:color w:val="auto"/>
              </w:rPr>
            </w:pPr>
          </w:p>
        </w:tc>
      </w:tr>
      <w:tr>
        <w:trPr>
          <w:trHeight w:val="186"/>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179"/>
        </w:trPr>
        <w:tc>
          <w:tcPr>
            <w:tcW w:w="3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25,147,616</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461,400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(29,432)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685,236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Common shares issued on exercise of options and other, net of</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withheld for tax obligations</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(637,540)</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7"/>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(19,208)</w:t>
            </w: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0" w:type="dxa"/>
            <w:vAlign w:val="bottom"/>
          </w:tcPr>
          <w:p>
            <w:pPr>
              <w:spacing w:after="0"/>
              <w:rPr>
                <w:sz w:val="1"/>
                <w:szCs w:val="1"/>
                <w:color w:val="auto"/>
              </w:rPr>
            </w:pPr>
          </w:p>
        </w:tc>
      </w:tr>
      <w:tr>
        <w:trPr>
          <w:trHeight w:val="186"/>
        </w:trPr>
        <w:tc>
          <w:tcPr>
            <w:tcW w:w="386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Other comprehensive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8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38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86"/>
        </w:trPr>
        <w:tc>
          <w:tcPr>
            <w:tcW w:w="38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unrealized gains on investments in securities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36"/>
        </w:trPr>
        <w:tc>
          <w:tcPr>
            <w:tcW w:w="3860" w:type="dxa"/>
            <w:vAlign w:val="bottom"/>
            <w:tcBorders>
              <w:bottom w:val="single" w:sz="8" w:color="CCEEFF"/>
            </w:tcBorders>
          </w:tcPr>
          <w:p>
            <w:pPr>
              <w:spacing w:after="0"/>
              <w:rPr>
                <w:sz w:val="3"/>
                <w:szCs w:val="3"/>
                <w:color w:val="auto"/>
              </w:rPr>
            </w:pPr>
          </w:p>
        </w:tc>
        <w:tc>
          <w:tcPr>
            <w:tcW w:w="1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Comprehensive income</w:t>
            </w: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9,769</w:t>
            </w: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24,510,076</w:t>
            </w:r>
          </w:p>
        </w:tc>
        <w:tc>
          <w:tcPr>
            <w:tcW w:w="1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454,025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252,795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(26,852)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679,993</w:t>
            </w:r>
          </w:p>
        </w:tc>
        <w:tc>
          <w:tcPr>
            <w:tcW w:w="0" w:type="dxa"/>
            <w:vAlign w:val="bottom"/>
          </w:tcPr>
          <w:p>
            <w:pPr>
              <w:spacing w:after="0"/>
              <w:rPr>
                <w:sz w:val="1"/>
                <w:szCs w:val="1"/>
                <w:color w:val="auto"/>
              </w:rPr>
            </w:pPr>
          </w:p>
        </w:tc>
      </w:tr>
      <w:tr>
        <w:trPr>
          <w:trHeight w:val="24"/>
        </w:trPr>
        <w:tc>
          <w:tcPr>
            <w:tcW w:w="38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Proto Labs,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15,242</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16,997</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26,984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Interest on finance lease obligations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Loss on impairment of equipment</w:t>
            </w:r>
          </w:p>
        </w:tc>
        <w:tc>
          <w:tcPr>
            <w:tcW w:w="34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Impairments related to exit and closure of facilities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Loss (gain) on disposal of property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35"/>
        </w:trPr>
        <w:tc>
          <w:tcPr>
            <w:tcW w:w="82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4,581</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Inventories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(2,709)</w:t>
            </w:r>
          </w:p>
        </w:tc>
      </w:tr>
      <w:tr>
        <w:trPr>
          <w:trHeight w:val="235"/>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Accrued liabilities and other</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58,053</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60,535</w:t>
            </w:r>
          </w:p>
        </w:tc>
      </w:tr>
      <w:tr>
        <w:trPr>
          <w:trHeight w:val="124"/>
        </w:trPr>
        <w:tc>
          <w:tcPr>
            <w:tcW w:w="8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property, equipment and other capital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(8,339)</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sales of property, equipment and other capital assets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(18,087)</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call redemptions and maturities of marketable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15,709</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(10,683)</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4"/>
        </w:trPr>
        <w:tc>
          <w:tcPr>
            <w:tcW w:w="8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Proceeds from issuance of common stock from equity plans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shares withheld for tax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(1,920)</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(36,732)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(45,958)</w:t>
            </w:r>
          </w:p>
        </w:tc>
      </w:tr>
      <w:tr>
        <w:trPr>
          <w:trHeight w:val="235"/>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repayments of finance lease obligations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(46,004)</w:t>
            </w:r>
          </w:p>
        </w:tc>
      </w:tr>
      <w:tr>
        <w:trPr>
          <w:trHeight w:val="228"/>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increase in cash and cash equivalents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w:t>
            </w: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period</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89,071</w:t>
            </w: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83,790</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104,422</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87,873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8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r>
    </w:tbl>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 Basis of Presentation</w:t>
      </w:r>
    </w:p>
    <w:p>
      <w:pPr>
        <w:spacing w:after="0" w:line="186"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The unaudited interim Consolidated Financial Statements of Proto Labs, Inc. (Protolabs, the Company, we, us or our) have been prepared in accordance with accounting principles generally accepted in the United States of America (U.S. GAAP) for interim financial information and with the instructions to Form 10-Q and Article 10 of Regulation S-X</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In the opinion of management, the accompanying financial statements reflect all adjustments necessary for a fair presentation of the Company’s statements of financial position, results of operations and cash flows for the periods presented. Except as otherwise disclosed herein, these adjustments consist of normal, recurring items. Operating results for interim periods are not necessarily indicative of results that may be expected for the fiscal year as a whole.</w:t>
      </w:r>
    </w:p>
    <w:p>
      <w:pPr>
        <w:spacing w:after="0" w:line="14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liabilities, revenues, expenses, and the related disclosures at the date of the financial statements and during the reporting period. Actual results could materially differ from these estimates. For further information, refer to the audited Consolidated Financial Statements and Notes thereto included in the Company’s Annual Report on Form 10-K for the year ended December 31, 2024, as filed with the Securities and Exchange Commission (SEC) on February 21, 2025</w:t>
      </w:r>
      <w:r>
        <w:rPr>
          <w:rFonts w:ascii="Times New Roman" w:cs="Times New Roman" w:eastAsia="Times New Roman" w:hAnsi="Times New Roman"/>
          <w:sz w:val="17"/>
          <w:szCs w:val="17"/>
          <w:i w:val="1"/>
          <w:iCs w:val="1"/>
          <w:color w:val="auto"/>
        </w:rPr>
        <w:t>.</w:t>
      </w:r>
    </w:p>
    <w:p>
      <w:pPr>
        <w:spacing w:after="0" w:line="342"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The accompanying Consolidated Balance Sheet as of December 31, 2024 was derived from the audited Consolidated Financial Statements but does not include all disclosures required by U.S. GAAP for a full set of financial statements. This Quarterly Report on Form 10-Q should be read in conjunction with the Company’s Consolidated Financial Statements and Notes included in the Company's Annual Report on Form 10-K filed on February 21, 2025 as referenced above.</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 Recent Accounting Pronouncements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did not recently adopt any accounting pronouncements that had a material impact on the Company's Consolidated Financial Statements.</w:t>
      </w:r>
    </w:p>
    <w:p>
      <w:pPr>
        <w:spacing w:after="0" w:line="182"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Financial Accounting Standards Board (FASB) issued Accounting Standards Update (ASU) No. 2023-09, </w:t>
      </w:r>
      <w:r>
        <w:rPr>
          <w:rFonts w:ascii="Times New Roman" w:cs="Times New Roman" w:eastAsia="Times New Roman" w:hAnsi="Times New Roman"/>
          <w:sz w:val="17"/>
          <w:szCs w:val="17"/>
          <w:i w:val="1"/>
          <w:iCs w:val="1"/>
          <w:color w:val="auto"/>
        </w:rPr>
        <w:t>Income Taxes (Topic 740):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that enhances the transparency of income tax disclosures by expanding annual disclosure requirements related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rate reconciliation and income taxes paid. The Company is required to adopt this guidance for its annual year ending December 31, 2025. Early adoption is permitted. The Company is currently evaluating the impact of this guidance on its disclosures and believes the adoption will not have a material impact on its consolidated financial statements.</w:t>
      </w:r>
    </w:p>
    <w:p>
      <w:pPr>
        <w:spacing w:after="0" w:line="14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 - Reporting Comprehensive Income - Expense Disaggregation Disclosures (Subtopic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220-40): Disaggregation of Income Statement Expenses</w:t>
      </w:r>
      <w:r>
        <w:rPr>
          <w:rFonts w:ascii="Times New Roman" w:cs="Times New Roman" w:eastAsia="Times New Roman" w:hAnsi="Times New Roman"/>
          <w:sz w:val="17"/>
          <w:szCs w:val="17"/>
          <w:color w:val="auto"/>
        </w:rPr>
        <w:t>, which is intended to improve disclosures about a public business entity's expenses, primarily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disaggregation of income statement expenses. ASU 2024-03 is effective for annual periods beginning after December 15, 2026, and interim periods beginning after December 15, 2027, with early adoption permitted. The Company is currently evaluating ASU 2024-03 to determine the impact on the Company's disclosures.</w:t>
      </w:r>
    </w:p>
    <w:p>
      <w:pPr>
        <w:spacing w:after="0" w:line="128"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7"/>
          <w:szCs w:val="17"/>
          <w:color w:val="auto"/>
        </w:rPr>
        <w:t xml:space="preserve">In July 2025, the FASB issued ASU No. 2025-05, </w:t>
      </w:r>
      <w:r>
        <w:rPr>
          <w:rFonts w:ascii="Times New Roman" w:cs="Times New Roman" w:eastAsia="Times New Roman" w:hAnsi="Times New Roman"/>
          <w:sz w:val="17"/>
          <w:szCs w:val="17"/>
          <w:i w:val="1"/>
          <w:iCs w:val="1"/>
          <w:color w:val="auto"/>
        </w:rPr>
        <w:t>Financial Instruments - Credit Losses (Topic 326): Measurement of Credit Losses for Accounts Receivables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Contract Assets</w:t>
      </w:r>
      <w:r>
        <w:rPr>
          <w:rFonts w:ascii="Times New Roman" w:cs="Times New Roman" w:eastAsia="Times New Roman" w:hAnsi="Times New Roman"/>
          <w:sz w:val="17"/>
          <w:szCs w:val="17"/>
          <w:color w:val="auto"/>
        </w:rPr>
        <w:t>, which introduces a practical expedient for the application of the current expected credit loss model to current accounts receivables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 assets. ASU 2025-05 is effective for annual and interim periods beginning after December 15, 2025, with early adoption permitted. The Company is currently evaluating ASU 2025-05 to determine the impact on the Company's financial statements and disclosures.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In September 2025, the FASB issued ASU No. 2025-06, </w:t>
      </w:r>
      <w:r>
        <w:rPr>
          <w:rFonts w:ascii="Times New Roman" w:cs="Times New Roman" w:eastAsia="Times New Roman" w:hAnsi="Times New Roman"/>
          <w:sz w:val="17"/>
          <w:szCs w:val="17"/>
          <w:i w:val="1"/>
          <w:iCs w:val="1"/>
          <w:color w:val="auto"/>
        </w:rPr>
        <w:t>Intangibles - Goodwill and Other - Internal-Use Software (Subtopic 350-40): Targeted Improvements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Accounting for Internal-Use Software</w:t>
      </w:r>
      <w:r>
        <w:rPr>
          <w:rFonts w:ascii="Times New Roman" w:cs="Times New Roman" w:eastAsia="Times New Roman" w:hAnsi="Times New Roman"/>
          <w:sz w:val="17"/>
          <w:szCs w:val="17"/>
          <w:color w:val="auto"/>
        </w:rPr>
        <w:t>, which updates the cost capitalization threshold for internal-use software development costs by removing all references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software project development stages and provides new guidance on how to evaluate whether the probable-to-complete recognition threshold has been met.</w:t>
      </w:r>
    </w:p>
    <w:p>
      <w:pPr>
        <w:spacing w:after="0" w:line="2"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17"/>
          <w:szCs w:val="17"/>
          <w:color w:val="auto"/>
        </w:rPr>
        <w:t>ASU 2025-06 is effective for annual and interim periods beginning after December 15, 2027, with early adoption permitted. The Company is currently evaluating ASU 2025-06 to determine the impact on the Company's financial statements and disclosures.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 Net Income per Common Share</w:t>
      </w:r>
    </w:p>
    <w:p>
      <w:pPr>
        <w:spacing w:after="0" w:line="18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7"/>
          <w:szCs w:val="17"/>
          <w:color w:val="auto"/>
        </w:rPr>
        <w:t>Basic net income per share is computed based on the weighted-average number of common shares outstanding. Diluted net income per share is computed based on the weighted-average number of common shares outstanding, increased by the number of additional shares that would have been outstanding had potentially dilutive common shares been issued and reduced by the number of shares the Company could have repurchased from the proceeds from issuance of the potentially dilutive shares. Potentially dilutive shares of common stock include stock options and other stock-based awards granted under stock-based compensation plans and shares committed to be purchased under the employee stock purchase plan. Performance stock units are excluded from the calculation of dilutive potential common shares until the performance conditions have been satisfied. Anti-dilutive options were excluded from the calculation of diluted weighted average shares outstanding and were 214,801 and 466,127 for the three months ended September 30, 2025 and 2024</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 and 380,740 and 450,275 for the nine months ended September 30, 2025 and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sets forth the computation of basic and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2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7"/>
                <w:szCs w:val="17"/>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6"/>
        </w:trPr>
        <w:tc>
          <w:tcPr>
            <w:tcW w:w="50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41"/>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 except share and per share amounts)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15,242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16,997</w:t>
            </w:r>
          </w:p>
        </w:tc>
      </w:tr>
      <w:tr>
        <w:trPr>
          <w:trHeight w:val="261"/>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 weighted-average shares outstanding:</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23,889,157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24,980,536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23,974,054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25,304,985</w:t>
            </w:r>
          </w:p>
        </w:tc>
      </w:tr>
      <w:tr>
        <w:trPr>
          <w:trHeight w:val="242"/>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8"/>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Employee stock options and other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301,882</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41,949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275,615</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77,295</w:t>
            </w:r>
          </w:p>
        </w:tc>
      </w:tr>
      <w:tr>
        <w:trPr>
          <w:trHeight w:val="248"/>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Diluted - weighted-average shares outstanding:</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24,191,039</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25,022,485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24,249,669</w:t>
            </w:r>
          </w:p>
        </w:tc>
        <w:tc>
          <w:tcPr>
            <w:tcW w:w="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25,382,280</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4"/>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per share: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5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0.64</w:t>
            </w:r>
          </w:p>
        </w:tc>
        <w:tc>
          <w:tcPr>
            <w:tcW w:w="80" w:type="dxa"/>
            <w:vAlign w:val="bottom"/>
          </w:tcPr>
          <w:p>
            <w:pPr>
              <w:spacing w:after="0"/>
              <w:rPr>
                <w:sz w:val="21"/>
                <w:szCs w:val="21"/>
                <w:color w:val="auto"/>
              </w:rPr>
            </w:pPr>
          </w:p>
        </w:tc>
        <w:tc>
          <w:tcPr>
            <w:tcW w:w="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6"/>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3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50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 Goodwill and Other Intangible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changes in the carrying amount of goodwill during the three and nine months ended September 30,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other than goodwill at September 30, 2025 and December 31,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70"/>
        </w:trPr>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70"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27"/>
        </w:trPr>
        <w:tc>
          <w:tcPr>
            <w:tcW w:w="1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6"/>
                <w:szCs w:val="16"/>
                <w:b w:val="1"/>
                <w:bCs w:val="1"/>
                <w:color w:val="auto"/>
                <w:w w:val="98"/>
              </w:rPr>
              <w:t>Useful Life</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60"/>
              <w:spacing w:after="0" w:line="17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40"/>
              <w:spacing w:after="0" w:line="173" w:lineRule="exact"/>
              <w:rPr>
                <w:sz w:val="20"/>
                <w:szCs w:val="20"/>
                <w:color w:val="auto"/>
              </w:rPr>
            </w:pPr>
            <w:r>
              <w:rPr>
                <w:rFonts w:ascii="Times New Roman" w:cs="Times New Roman" w:eastAsia="Times New Roman" w:hAnsi="Times New Roman"/>
                <w:sz w:val="16"/>
                <w:szCs w:val="16"/>
                <w:b w:val="1"/>
                <w:bCs w:val="1"/>
                <w:color w:val="auto"/>
                <w:w w:val="97"/>
              </w:rPr>
              <w:t>Accumulated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6"/>
                <w:szCs w:val="16"/>
                <w:b w:val="1"/>
                <w:bCs w:val="1"/>
                <w:color w:val="auto"/>
              </w:rPr>
              <w:t>Useful</w:t>
            </w:r>
          </w:p>
        </w:tc>
        <w:tc>
          <w:tcPr>
            <w:tcW w:w="1220" w:type="dxa"/>
            <w:vAlign w:val="bottom"/>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23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00" w:type="dxa"/>
            <w:vAlign w:val="bottom"/>
          </w:tcPr>
          <w:p>
            <w:pPr>
              <w:spacing w:after="0"/>
              <w:rPr>
                <w:sz w:val="20"/>
                <w:szCs w:val="20"/>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80" w:type="dxa"/>
            <w:vAlign w:val="bottom"/>
          </w:tcPr>
          <w:p>
            <w:pPr>
              <w:spacing w:after="0"/>
              <w:rPr>
                <w:sz w:val="20"/>
                <w:szCs w:val="20"/>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Amortization</w:t>
            </w:r>
          </w:p>
        </w:tc>
        <w:tc>
          <w:tcPr>
            <w:tcW w:w="220" w:type="dxa"/>
            <w:vAlign w:val="bottom"/>
          </w:tcPr>
          <w:p>
            <w:pPr>
              <w:spacing w:after="0"/>
              <w:rPr>
                <w:sz w:val="20"/>
                <w:szCs w:val="20"/>
                <w:color w:val="auto"/>
              </w:rPr>
            </w:pPr>
          </w:p>
        </w:tc>
        <w:tc>
          <w:tcPr>
            <w:tcW w:w="68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Life (in years)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(in years)</w:t>
            </w:r>
          </w:p>
        </w:tc>
        <w:tc>
          <w:tcPr>
            <w:tcW w:w="0" w:type="dxa"/>
            <w:vAlign w:val="bottom"/>
          </w:tcPr>
          <w:p>
            <w:pPr>
              <w:spacing w:after="0"/>
              <w:rPr>
                <w:sz w:val="1"/>
                <w:szCs w:val="1"/>
                <w:color w:val="auto"/>
              </w:rPr>
            </w:pPr>
          </w:p>
        </w:tc>
      </w:tr>
      <w:tr>
        <w:trPr>
          <w:trHeight w:val="169"/>
        </w:trPr>
        <w:tc>
          <w:tcPr>
            <w:tcW w:w="1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Intangible assets with finite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lives:</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Non-compete agreement</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7"/>
              </w:rPr>
              <w:t>2.0 - 5.0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0.2</w:t>
            </w:r>
          </w:p>
        </w:tc>
        <w:tc>
          <w:tcPr>
            <w:tcW w:w="0" w:type="dxa"/>
            <w:vAlign w:val="bottom"/>
          </w:tcPr>
          <w:p>
            <w:pPr>
              <w:spacing w:after="0"/>
              <w:rPr>
                <w:sz w:val="1"/>
                <w:szCs w:val="1"/>
                <w:color w:val="auto"/>
              </w:rPr>
            </w:pPr>
          </w:p>
        </w:tc>
      </w:tr>
      <w:tr>
        <w:trPr>
          <w:trHeight w:val="32"/>
        </w:trPr>
        <w:tc>
          <w:tcPr>
            <w:tcW w:w="1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technology</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13,229</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20" w:type="dxa"/>
            <w:vAlign w:val="bottom"/>
            <w:tcBorders>
              <w:bottom w:val="single" w:sz="8" w:color="CCEEFF"/>
            </w:tcBorders>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89"/>
              </w:rPr>
              <w:t>2.3</w:t>
            </w:r>
          </w:p>
        </w:tc>
        <w:tc>
          <w:tcPr>
            <w:tcW w:w="0" w:type="dxa"/>
            <w:vAlign w:val="bottom"/>
          </w:tcPr>
          <w:p>
            <w:pPr>
              <w:spacing w:after="0"/>
              <w:rPr>
                <w:sz w:val="1"/>
                <w:szCs w:val="1"/>
                <w:color w:val="auto"/>
              </w:rPr>
            </w:pPr>
          </w:p>
        </w:tc>
      </w:tr>
      <w:tr>
        <w:trPr>
          <w:trHeight w:val="204"/>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platform</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17,200</w:t>
            </w:r>
          </w:p>
        </w:tc>
        <w:tc>
          <w:tcPr>
            <w:tcW w:w="122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89"/>
              </w:rPr>
              <w:t>7.3</w:t>
            </w:r>
          </w:p>
        </w:tc>
        <w:tc>
          <w:tcPr>
            <w:tcW w:w="0" w:type="dxa"/>
            <w:vAlign w:val="bottom"/>
          </w:tcPr>
          <w:p>
            <w:pPr>
              <w:spacing w:after="0"/>
              <w:rPr>
                <w:sz w:val="1"/>
                <w:szCs w:val="1"/>
                <w:color w:val="auto"/>
              </w:rPr>
            </w:pPr>
          </w:p>
        </w:tc>
      </w:tr>
      <w:tr>
        <w:trPr>
          <w:trHeight w:val="32"/>
        </w:trPr>
        <w:tc>
          <w:tcPr>
            <w:tcW w:w="1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39,705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9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Intangible assets allocated to the Protolabs Network entities consisted of intangible assets of €11.6 million in Europe and $16.6 million in the United States as of the date of the acquisition. The Euro denominated intangible assets are translated at the end of each period using the current exchange rates resulting in a foreign currency translation adjustment that is recorded as a component of Other Comprehensive Income. Foreign currency unrealized losses related to intangible assets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were $0.5 million and $2.2 million as of September 30, 2025 and December 31, 2024, respectively. Amortization expense for intangible assets was $0.9 million for each of the three months ended September 30, 2025 and 2024, and $2.8 million for each of the nine months ended September 30, 2025 and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Estimated aggregated amortization expense based on the current carrying value of the amortizable intangible assets and current exchange rates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Estimated</w:t>
            </w:r>
          </w:p>
        </w:tc>
      </w:tr>
      <w:tr>
        <w:trPr>
          <w:trHeight w:val="209"/>
        </w:trPr>
        <w:tc>
          <w:tcPr>
            <w:tcW w:w="9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Amortization</w:t>
            </w:r>
          </w:p>
        </w:tc>
      </w:tr>
      <w:tr>
        <w:trPr>
          <w:trHeight w:val="24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Expense</w:t>
            </w:r>
          </w:p>
        </w:tc>
      </w:tr>
      <w:tr>
        <w:trPr>
          <w:trHeight w:val="248"/>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3,618</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3,609</w:t>
            </w:r>
          </w:p>
        </w:tc>
      </w:tr>
      <w:tr>
        <w:trPr>
          <w:trHeight w:val="242"/>
        </w:trPr>
        <w:tc>
          <w:tcPr>
            <w:tcW w:w="9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w:t>
            </w:r>
          </w:p>
        </w:tc>
      </w:tr>
      <w:tr>
        <w:trPr>
          <w:trHeight w:val="242"/>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6,903</w:t>
            </w:r>
          </w:p>
        </w:tc>
      </w:tr>
      <w:tr>
        <w:trPr>
          <w:trHeight w:val="27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estimated amortization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19,539</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97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 Fair Value Measurements</w:t>
      </w:r>
    </w:p>
    <w:p>
      <w:pPr>
        <w:spacing w:after="0" w:line="19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7"/>
          <w:szCs w:val="17"/>
          <w:color w:val="auto"/>
        </w:rPr>
        <w:t xml:space="preserve">Accounting Standards Codification, </w:t>
      </w:r>
      <w:r>
        <w:rPr>
          <w:rFonts w:ascii="Times New Roman" w:cs="Times New Roman" w:eastAsia="Times New Roman" w:hAnsi="Times New Roman"/>
          <w:sz w:val="17"/>
          <w:szCs w:val="17"/>
          <w:i w:val="1"/>
          <w:iCs w:val="1"/>
          <w:color w:val="auto"/>
        </w:rPr>
        <w:t>Fair Value Measuremen</w:t>
      </w:r>
      <w:r>
        <w:rPr>
          <w:rFonts w:ascii="Times New Roman" w:cs="Times New Roman" w:eastAsia="Times New Roman" w:hAnsi="Times New Roman"/>
          <w:sz w:val="17"/>
          <w:szCs w:val="17"/>
          <w:color w:val="auto"/>
        </w:rPr>
        <w:t>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that requires classification based on observable and unobservable inputs when measuring fair value. There are three levels of inputs that may be used to measure fair value: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1</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Quoted prices in active markets for identical assets or liabilities.</w:t>
      </w:r>
    </w:p>
    <w:p>
      <w:pPr>
        <w:spacing w:after="0" w:line="184" w:lineRule="exact"/>
        <w:rPr>
          <w:sz w:val="20"/>
          <w:szCs w:val="20"/>
          <w:color w:val="auto"/>
        </w:rPr>
      </w:pPr>
    </w:p>
    <w:p>
      <w:pPr>
        <w:ind w:right="1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Observable inputs other than Level 1 prices such as quoted prices for similar assets or liabilities; quoted prices in markets that are</w:t>
      </w:r>
      <w:r>
        <w:rPr>
          <w:rFonts w:ascii="Times New Roman" w:cs="Times New Roman" w:eastAsia="Times New Roman" w:hAnsi="Times New Roman"/>
          <w:sz w:val="17"/>
          <w:szCs w:val="17"/>
          <w:i w:val="1"/>
          <w:iCs w:val="1"/>
          <w:color w:val="auto"/>
        </w:rPr>
        <w:t xml:space="preserve"> not </w:t>
      </w:r>
      <w:r>
        <w:rPr>
          <w:rFonts w:ascii="Times New Roman" w:cs="Times New Roman" w:eastAsia="Times New Roman" w:hAnsi="Times New Roman"/>
          <w:sz w:val="17"/>
          <w:szCs w:val="17"/>
          <w:color w:val="auto"/>
        </w:rPr>
        <w:t>active;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inputs that are observable or can be corroborated by observable market data for substantially the full term of the assets or liabilities.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Level </w:t>
      </w:r>
      <w:r>
        <w:rPr>
          <w:rFonts w:ascii="Times New Roman" w:cs="Times New Roman" w:eastAsia="Times New Roman" w:hAnsi="Times New Roman"/>
          <w:sz w:val="17"/>
          <w:szCs w:val="17"/>
          <w:color w:val="auto"/>
        </w:rPr>
        <w:t>3</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Unobservable inputs that are supported by little or no market activity and that are significant to the fair value of the assets or liabilities.</w:t>
      </w:r>
    </w:p>
    <w:p>
      <w:pPr>
        <w:spacing w:after="0" w:line="18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The Company's assets and liabilities that are required to be measured or disclosed at fair value on a recurring basis include cash and cash equivalents and marketable securities. The Company’s cash consists of bank deposits and cash equivalents consist primarily of money market mutual funds. The Company determines the fair value of these investments using Level 1 inputs. The Company's marketable securities consist of short-term and long-term agency, municipal, corporate and other debt securities. Fair value for the corporate debt securities is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financial assets as of September 30, 2025 and December 31, 2024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80" w:type="dxa"/>
            <w:vAlign w:val="bottom"/>
            <w:gridSpan w:val="6"/>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
        </w:trPr>
        <w:tc>
          <w:tcPr>
            <w:tcW w:w="3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96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9"/>
                <w:szCs w:val="19"/>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100,710</w:t>
            </w: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86,366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1"/>
        </w:trPr>
        <w:tc>
          <w:tcPr>
            <w:tcW w:w="3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mutual fund</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3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121,740</w:t>
            </w:r>
          </w:p>
        </w:tc>
        <w:tc>
          <w:tcPr>
            <w:tcW w:w="3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106,332</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3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 Marketable Securities</w:t>
      </w:r>
    </w:p>
    <w:p>
      <w:pPr>
        <w:spacing w:after="0" w:line="186"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The Company invests in short-term and long-term agency, municipal, corporate and other debt securities. The securities are categorized as available-for-sale and are recorded at fair value. The following table summarizes information regarding the Company’s short-term and long-term marketable securities as of September 30,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114300</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40" w:type="dxa"/>
            <w:vAlign w:val="bottom"/>
            <w:gridSpan w:val="3"/>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8,005</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15,943</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9,014</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6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240" w:type="dxa"/>
            <w:vAlign w:val="bottom"/>
          </w:tcPr>
          <w:p>
            <w:pPr>
              <w:spacing w:after="0"/>
              <w:rPr>
                <w:sz w:val="19"/>
                <w:szCs w:val="19"/>
                <w:color w:val="auto"/>
              </w:rPr>
            </w:pPr>
          </w:p>
        </w:tc>
        <w:tc>
          <w:tcPr>
            <w:tcW w:w="12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government agency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8,301</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15,852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15,770</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municipal securities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6,724</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bonds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Fair values for the corporate debt securities are primarily determined based on quoted market prices (Level 1). Fair values for the U.S. municipal securities, U.S. government agency securities, certificates of deposit and U.S. treasury securities are primarily determined using dealer quotes or quoted market prices for similar securities (Level 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Classification of marketable securities as current or non-current is based upon the security’s maturity date as of the date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September 30, 2025 balance of available-for-sale debt securities by contractual maturity is shown in the following table at fair value. Actual maturities may differ from contractual maturities because the issuers of the securities may have the right to prepay obligations without prepayment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60" w:type="dxa"/>
            <w:vAlign w:val="bottom"/>
          </w:tcPr>
          <w:p>
            <w:pPr>
              <w:spacing w:after="0"/>
              <w:rPr>
                <w:sz w:val="19"/>
                <w:szCs w:val="19"/>
                <w:color w:val="auto"/>
              </w:rPr>
            </w:pPr>
          </w:p>
        </w:tc>
        <w:tc>
          <w:tcPr>
            <w:tcW w:w="1700" w:type="dxa"/>
            <w:vAlign w:val="bottom"/>
          </w:tcPr>
          <w:p>
            <w:pPr>
              <w:jc w:val="right"/>
              <w:ind w:right="713"/>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6"/>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4"/>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14,817</w:t>
            </w:r>
          </w:p>
        </w:tc>
      </w:tr>
      <w:tr>
        <w:trPr>
          <w:trHeight w:val="235"/>
        </w:trPr>
        <w:tc>
          <w:tcPr>
            <w:tcW w:w="9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19,149</w:t>
            </w:r>
          </w:p>
        </w:tc>
      </w:tr>
      <w:tr>
        <w:trPr>
          <w:trHeight w:val="26"/>
        </w:trPr>
        <w:tc>
          <w:tcPr>
            <w:tcW w:w="9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79"/>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33,966</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92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 Inventory</w:t>
      </w:r>
    </w:p>
    <w:p>
      <w:pPr>
        <w:spacing w:after="0" w:line="18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Inventory consists primarily of raw materials, which are recorded at the lower of cost and net realizable value using the standard cost method, which approximates first-in, first-out (FIFO) cost. The Company periodically reviews its inventory for slow-moving, damaged and discontinued items and provides allowances to reduce such items identified to their recoverable amounts.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inventory consisted of the following as of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Pr>
          <w:p>
            <w:pPr>
              <w:spacing w:after="0"/>
              <w:rPr>
                <w:sz w:val="19"/>
                <w:szCs w:val="19"/>
                <w:color w:val="auto"/>
              </w:rPr>
            </w:pPr>
          </w:p>
        </w:tc>
        <w:tc>
          <w:tcPr>
            <w:tcW w:w="1580" w:type="dxa"/>
            <w:vAlign w:val="bottom"/>
          </w:tcPr>
          <w:p>
            <w:pPr>
              <w:jc w:val="right"/>
              <w:ind w:right="6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4"/>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inventory</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12,989</w:t>
            </w:r>
          </w:p>
        </w:tc>
      </w:tr>
      <w:tr>
        <w:trPr>
          <w:trHeight w:val="235"/>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obsolescence</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r>
      <w:tr>
        <w:trPr>
          <w:trHeight w:val="26"/>
        </w:trPr>
        <w:tc>
          <w:tcPr>
            <w:tcW w:w="7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Inventory, net of allowance</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7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Stock-Based Compensation</w:t>
      </w:r>
    </w:p>
    <w:p>
      <w:pPr>
        <w:spacing w:after="0" w:line="19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On July 8, 2022, the board of directors approved the Proto Labs, Inc. 2022 Long-Term Incentive Plan, which was approved by the Company's shareholders at a Special Meeting of Shareholders on August 29, 2022, and subsequently amended and restated by the Company's shareholders at the Annual Meeting of Shareholders on May 23, 2024 (as amended and restated, and subsequently further amended, the 2022 Plan) to increase the number of shares available for issuance pursuant to awards under the 2022 Plan by an additional 430,000 shares, add a minimum vesting requirement, and extend the expiration date so that the term of the 2022 Plan runs for ten years from the date of the shareholder approval. On May 20, 2025, the Company's shareholders approved an amendment to the 2022 Plan to increase the number of shares available for issuance pursuant to awards under the 2022 Plan by an additional 296,000 shares. Under the 2022 Plan, the Company has the ability to grant stock options, stock appreciation rights (SARs), restricted stock, restricted stock units, other stock-based awards and cash incentive awards. Awards under the 2022 Plan have a maximum term of ten years from the date of grant. The compensation and talent committee may provide that the vesting or payment of any award will be subject to the attainment of specified performance measures in addition to the satisfaction of any continued service requirements and the compensation and talent committee will determine whether such measures have been achieved. The per-share exercise price of stock options and SARs granted under the 2022 Plan generally may not be less than the fair market value of a share of our common stock on the date of the grant.</w:t>
      </w:r>
    </w:p>
    <w:p>
      <w:pPr>
        <w:spacing w:after="0" w:line="35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The Company also has outstanding awards under the 2012 Long-Term Incentive Plan, as amended (the 2012 Plan), although the plan expired in February 2022 and no additional awards have since been or will be made under the 2012 Plan. The 2012 Plan provided the Company the ability to grant stock options, SARs, restricted stock, restricted stock units, other stock-based awards and cash incentive awards. Awards under the 2012 Plan that subsequently expired, were forfeited or cancelled, or settled in cash after August 29, 2022 became available for awards under the 2022 Plan.</w:t>
      </w:r>
    </w:p>
    <w:p>
      <w:pPr>
        <w:spacing w:after="0" w:line="130" w:lineRule="exact"/>
        <w:rPr>
          <w:sz w:val="20"/>
          <w:szCs w:val="20"/>
          <w:color w:val="auto"/>
        </w:rPr>
      </w:pPr>
    </w:p>
    <w:p>
      <w:pPr>
        <w:ind w:right="320"/>
        <w:spacing w:after="0" w:line="295" w:lineRule="auto"/>
        <w:rPr>
          <w:sz w:val="20"/>
          <w:szCs w:val="20"/>
          <w:color w:val="auto"/>
        </w:rPr>
      </w:pPr>
      <w:r>
        <w:rPr>
          <w:rFonts w:ascii="Times New Roman" w:cs="Times New Roman" w:eastAsia="Times New Roman" w:hAnsi="Times New Roman"/>
          <w:sz w:val="17"/>
          <w:szCs w:val="17"/>
          <w:color w:val="auto"/>
        </w:rPr>
        <w:t>On May 23, 2025, the Company granted one-time inducement awards (the Inducement Awards) within the meaning of the New York Stock Exchange Listed Company Manual Section 303A.08 to the Company's incoming Chief Executive Officer.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The Inducement Awards were not granted under the 2022 Plan, but have the same terms and conditions as equity awards granted under the 2022 Plan, except as otherwise provided in the award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8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7"/>
          <w:szCs w:val="17"/>
          <w:color w:val="auto"/>
        </w:rPr>
        <w:t>The Company’s 2012 Employee Stock Purchase Plan (ESPP) allows eligible employees to purchase a variable number of shares of the Company’s common stock each offering period at a discount through payroll deductions of up to 15 percent of their eligible compensation, subject to plan limitations. The ESPP provides for six-month offering periods with a single purchase period ending May 15 and November 15, respectively. At the end of each offering period, employees are able to purchase shares at 85 percent of the lower of the fair market value of the Company’s common stock on the first trading day of the offering period or on the last trading day of the offering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9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was $3.7 million and $4.2 million for the three months ended September 30, 2025 and 2024, respectively, and $11.9 million and $12.7 million for the nine months ended September 30,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during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Exercise Price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445,136</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139,872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39.32</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(70,307)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37.68</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outstanding at September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395,334</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52.18</w:t>
            </w: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r>
      <w:tr>
        <w:trPr>
          <w:trHeight w:val="175"/>
        </w:trPr>
        <w:tc>
          <w:tcPr>
            <w:tcW w:w="8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September 30, 2025</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191,882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68.62</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pacing w:after="0" w:line="243"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The outstanding options generally have a term of ten years. For employees, options granted become exercisable ratably over the vesting period, which is generally a period of four years, beginning on the first anniversary of the grant date, subject to the employee’s continuing service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weighted-average grant date fair value of options that were granted during the nine months ended September 30, 2025 was $21.81.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Black-Scholes pricing model valuation of options during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08"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- 4.17%</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- 4.30%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6.25</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52.12%</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- 52.99%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- 50.72%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jc w:val="both"/>
        <w:ind w:right="120"/>
        <w:spacing w:after="0" w:line="295" w:lineRule="auto"/>
        <w:rPr>
          <w:sz w:val="20"/>
          <w:szCs w:val="20"/>
          <w:color w:val="auto"/>
        </w:rPr>
      </w:pPr>
      <w:r>
        <w:rPr>
          <w:rFonts w:ascii="Times New Roman" w:cs="Times New Roman" w:eastAsia="Times New Roman" w:hAnsi="Times New Roman"/>
          <w:sz w:val="17"/>
          <w:szCs w:val="17"/>
          <w:color w:val="auto"/>
        </w:rPr>
        <w:t>As of September 30, 2025, there was $3.3 million of unrecognized compensation expense related to unvested stock options, which is expected to be recognized over a weighted-average period of 2.9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8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Restricted stock unit (RSU) awards are share-settled awards and restrictions lapse ratably over the vesting period, which is generally a period from three to four years, beginning on the first anniversary of the grant date, subject to the employee's continuing service to the Company. For the board of directors, restrictions generally lapse in full on the first anniversary of the grant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restricted stock units activity during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763,261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278,500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39.95</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(212,526)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at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725,967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As of September 30, 2025, there was $18.8 million of unrecognized compensation expense related to non-vested restricted stock units, which is expected to be recognized over a weighted-average period of 2.7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Stock Units</w:t>
      </w:r>
    </w:p>
    <w:p>
      <w:pPr>
        <w:spacing w:after="0" w:line="19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7"/>
          <w:szCs w:val="17"/>
          <w:color w:val="auto"/>
        </w:rPr>
        <w:t>Performance stock units (PSUs) are expressed in terms of a target number of PSUs, with anywhere between 0 percent and 200 percent of that target number capable of being earned and vesting at the end of a three-year performance period depending on the Company’s three-year cumulative total shareholder return performance relative to an index and the award recipient’s continued employment. The Company’s PSUs are based on market conditions and the related compensation cost is based on the fair value at grant date calculated using a Monte Carlo pricing model.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performance stock units activity during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153035</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9"/>
        </w:trPr>
        <w:tc>
          <w:tcPr>
            <w:tcW w:w="8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Grant Date</w:t>
            </w:r>
          </w:p>
        </w:tc>
      </w:tr>
      <w:tr>
        <w:trPr>
          <w:trHeight w:val="209"/>
        </w:trPr>
        <w:tc>
          <w:tcPr>
            <w:tcW w:w="8200" w:type="dxa"/>
            <w:vAlign w:val="bottom"/>
          </w:tcPr>
          <w:p>
            <w:pPr>
              <w:spacing w:after="0"/>
              <w:rPr>
                <w:sz w:val="18"/>
                <w:szCs w:val="18"/>
                <w:color w:val="auto"/>
              </w:rPr>
            </w:pPr>
          </w:p>
        </w:tc>
        <w:tc>
          <w:tcPr>
            <w:tcW w:w="148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Performance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29"/>
        </w:trPr>
        <w:tc>
          <w:tcPr>
            <w:tcW w:w="8200" w:type="dxa"/>
            <w:vAlign w:val="bottom"/>
          </w:tcPr>
          <w:p>
            <w:pPr>
              <w:spacing w:after="0"/>
              <w:rPr>
                <w:sz w:val="19"/>
                <w:szCs w:val="19"/>
                <w:color w:val="auto"/>
              </w:rPr>
            </w:pPr>
          </w:p>
        </w:tc>
        <w:tc>
          <w:tcPr>
            <w:tcW w:w="148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Per Share</w:t>
            </w:r>
          </w:p>
        </w:tc>
      </w:tr>
      <w:tr>
        <w:trPr>
          <w:trHeight w:val="26"/>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Performance stock units at December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180,173</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60.75</w:t>
            </w:r>
          </w:p>
        </w:tc>
      </w:tr>
      <w:tr>
        <w:trPr>
          <w:trHeight w:val="261"/>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r>
              <w:rPr>
                <w:rFonts w:ascii="Times New Roman" w:cs="Times New Roman" w:eastAsia="Times New Roman" w:hAnsi="Times New Roman"/>
                <w:sz w:val="22"/>
                <w:szCs w:val="22"/>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153,503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59.71</w:t>
            </w: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Restrictions lapsed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(32,977)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96.41</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change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8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(68,887)</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254"/>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Performance stock units at September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231,812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56.17</w:t>
            </w:r>
          </w:p>
        </w:tc>
      </w:tr>
      <w:tr>
        <w:trPr>
          <w:trHeight w:val="20"/>
        </w:trPr>
        <w:tc>
          <w:tcPr>
            <w:tcW w:w="8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3"/>
        </w:trPr>
        <w:tc>
          <w:tcPr>
            <w:tcW w:w="8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151" w:lineRule="exact"/>
        <w:rPr>
          <w:sz w:val="20"/>
          <w:szCs w:val="20"/>
          <w:color w:val="auto"/>
        </w:rPr>
      </w:pPr>
    </w:p>
    <w:p>
      <w:pPr>
        <w:ind w:left="20" w:right="100"/>
        <w:spacing w:after="0" w:line="266" w:lineRule="auto"/>
        <w:rPr>
          <w:sz w:val="20"/>
          <w:szCs w:val="20"/>
          <w:color w:val="auto"/>
        </w:rPr>
      </w:pPr>
      <w:r>
        <w:rPr>
          <w:rFonts w:ascii="Times New Roman" w:cs="Times New Roman" w:eastAsia="Times New Roman" w:hAnsi="Times New Roman"/>
          <w:sz w:val="17"/>
          <w:szCs w:val="17"/>
          <w:color w:val="auto"/>
        </w:rPr>
        <w:t>1 Includes a target number of 54,320 PSUs granted as part of the May 23, 2025, Inducement Awards, 27,160 of which have the same market condition as the PSUs granted under the 2022 Plan as described above, and 27,160 of which also include a performance condition with anywhere between 0 percent and 100 percent of the target number capable of being achieved during two six-month performance periods depending on revenue and then anywhere between 0 percent and 200 percent of such achieved PSUs capable of being earned and vesting during a three-year performance period depending on the Company's three-year cumulative total shareholder return performance relative to an index and the award recipient's continued employment.</w:t>
      </w:r>
    </w:p>
    <w:p>
      <w:pPr>
        <w:spacing w:after="0" w:line="250" w:lineRule="exact"/>
        <w:rPr>
          <w:sz w:val="20"/>
          <w:szCs w:val="20"/>
          <w:color w:val="auto"/>
        </w:rPr>
      </w:pPr>
    </w:p>
    <w:p>
      <w:pPr>
        <w:ind w:right="160"/>
        <w:spacing w:after="0" w:line="295" w:lineRule="auto"/>
        <w:rPr>
          <w:sz w:val="20"/>
          <w:szCs w:val="20"/>
          <w:color w:val="auto"/>
        </w:rPr>
      </w:pPr>
      <w:r>
        <w:rPr>
          <w:rFonts w:ascii="Times New Roman" w:cs="Times New Roman" w:eastAsia="Times New Roman" w:hAnsi="Times New Roman"/>
          <w:sz w:val="17"/>
          <w:szCs w:val="17"/>
          <w:color w:val="auto"/>
        </w:rPr>
        <w:t>The following table provides the assumptions used in the Monte Carlo pricing model valuation of PSUs during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25"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- 4.08%</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4.37%</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- 2.85</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2.88</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52.40%</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- 53.20%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51.40%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right"/>
              <w:ind w:right="533"/>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bl>
    <w:p>
      <w:pPr>
        <w:spacing w:after="0" w:line="243"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As of September 30, 2025, there was $7.5 million of unrecognized compensation expense related to non-vested performance stock units, which is expected to be recognized over a weighted-average period of 2.1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 Stock Purchase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assumptions used to estimate the fair value of the ESPP during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34"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7"/>
          <w:szCs w:val="17"/>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5205730</wp:posOffset>
            </wp:positionH>
            <wp:positionV relativeFrom="paragraph">
              <wp:posOffset>25400</wp:posOffset>
            </wp:positionV>
            <wp:extent cx="19335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3357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6"/>
        </w:trPr>
        <w:tc>
          <w:tcPr>
            <w:tcW w:w="82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- 4.29%</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- 5.16%</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life (months)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6.00</w:t>
            </w:r>
          </w:p>
        </w:tc>
      </w:tr>
      <w:tr>
        <w:trPr>
          <w:trHeight w:val="26"/>
        </w:trPr>
        <w:tc>
          <w:tcPr>
            <w:tcW w:w="8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41.89%</w:t>
            </w:r>
          </w:p>
        </w:tc>
        <w:tc>
          <w:tcPr>
            <w:tcW w:w="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- 65.60%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- 47.92%</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0%</w:t>
            </w:r>
          </w:p>
        </w:tc>
      </w:tr>
      <w:tr>
        <w:trPr>
          <w:trHeight w:val="183"/>
        </w:trPr>
        <w:tc>
          <w:tcPr>
            <w:tcW w:w="8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 Accumulated Other Comprehensive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 is comprised of foreign currency translation adjustments and net unrealized gains (losses) on investments in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changes in accumulated other comprehensive income (loss) balances during the three and nine months ended September 30,</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80" w:type="dxa"/>
            <w:vAlign w:val="bottom"/>
          </w:tcPr>
          <w:p>
            <w:pPr>
              <w:spacing w:after="0"/>
              <w:rPr>
                <w:sz w:val="18"/>
                <w:szCs w:val="18"/>
                <w:color w:val="auto"/>
              </w:rPr>
            </w:pPr>
          </w:p>
        </w:tc>
        <w:tc>
          <w:tcPr>
            <w:tcW w:w="3100" w:type="dxa"/>
            <w:vAlign w:val="bottom"/>
            <w:gridSpan w:val="4"/>
          </w:tcPr>
          <w:p>
            <w:pPr>
              <w:jc w:val="right"/>
              <w:ind w:right="9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4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center"/>
              <w:ind w:left="51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9"/>
        </w:trPr>
        <w:tc>
          <w:tcPr>
            <w:tcW w:w="4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(24,563)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(27,984)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(28,013)</w:t>
            </w:r>
          </w:p>
        </w:tc>
      </w:tr>
      <w:tr>
        <w:trPr>
          <w:trHeight w:val="23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Foreign currency translation adjustments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 (loss)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r>
      <w:tr>
        <w:trPr>
          <w:trHeight w:val="215"/>
        </w:trPr>
        <w:tc>
          <w:tcPr>
            <w:tcW w:w="46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Net unrealized gains on investments in securities</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6"/>
        </w:trPr>
        <w:tc>
          <w:tcPr>
            <w:tcW w:w="4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1"/>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before reclassifications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1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Amounts reclassified from accumulated other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7"/>
        </w:trPr>
        <w:tc>
          <w:tcPr>
            <w:tcW w:w="4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comprehensive loss</w:t>
            </w:r>
          </w:p>
        </w:tc>
        <w:tc>
          <w:tcPr>
            <w:tcW w:w="34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4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4"/>
        </w:trPr>
        <w:tc>
          <w:tcPr>
            <w:tcW w:w="46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current-period 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34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(24,724)</w:t>
            </w:r>
          </w:p>
        </w:tc>
        <w:tc>
          <w:tcPr>
            <w:tcW w:w="80" w:type="dxa"/>
            <w:vAlign w:val="bottom"/>
          </w:tcPr>
          <w:p>
            <w:pPr>
              <w:spacing w:after="0"/>
              <w:rPr>
                <w:sz w:val="19"/>
                <w:szCs w:val="19"/>
                <w:color w:val="auto"/>
              </w:rPr>
            </w:pPr>
          </w:p>
        </w:tc>
        <w:tc>
          <w:tcPr>
            <w:tcW w:w="54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(24,724)</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(26,852)</w:t>
            </w:r>
          </w:p>
        </w:tc>
      </w:tr>
      <w:tr>
        <w:trPr>
          <w:trHeight w:val="26"/>
        </w:trPr>
        <w:tc>
          <w:tcPr>
            <w:tcW w:w="4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3"/>
        </w:trPr>
        <w:tc>
          <w:tcPr>
            <w:tcW w:w="4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 Income Taxes</w:t>
      </w:r>
    </w:p>
    <w:p>
      <w:pPr>
        <w:spacing w:after="0" w:line="18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color w:val="auto"/>
        </w:rPr>
        <w:t>The Company is subject to income tax in multiple jurisdictions and the use of estimates is required to determine the provision for income taxes. For the three months ended September 30, 2025 and 2024, the Company recorded an income tax provision of $3.0 million and $2.7 million, respectively. For the nine months ended September 30, 2025 and 2024,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Company recorded an income tax provision of $7.7 million and $8.0 million, respectively. The income tax provision is based on the estimated annual effective tax rate for the year applied to pre-tax income. The effective income tax rate for the three months ended September 30, 2025 was 29.6 percent compared to 27.1 percent in the same period of the prior year. The effective tax rate increased by 2.5 percent for the three months ended September 30, 2025 when compared to the same period in 2024, primarily due to an increase in losses in jurisdictions that are not eligible for tax benefits due to valuation allowances. The effective income tax rate for the nine months ended September 30, 2025 was 33.5 percent compared to 31.9 percent in the same period of the prior year. The effective tax rate increased by 1.6 percent for the nine months ended September 30, 2025 when compared to the same period in 2024, primarily due to an increase in losses in jurisdictions that are not eligible for tax benefits due to valuation allowances.</w:t>
      </w:r>
    </w:p>
    <w:p>
      <w:pPr>
        <w:spacing w:after="0" w:line="147"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7"/>
          <w:szCs w:val="17"/>
          <w:color w:val="auto"/>
        </w:rPr>
        <w:t>The effective income tax rate for the three and nine months ended September 30, 2025 differs from the U.S. federal statutory rate of 21.0 percent due to various factors, including operating in multiple state and foreign jurisdictions partially offset by tax credits for which the Company qualifies.</w:t>
      </w:r>
    </w:p>
    <w:p>
      <w:pPr>
        <w:spacing w:after="0" w:line="108"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17"/>
          <w:szCs w:val="17"/>
          <w:color w:val="auto"/>
        </w:rPr>
        <w:t>The Company had unrecognized tax benefits totaling $3.7 million as of September 30, 2025 and $3.4 million as of December 31, 2024, respectively, that if recognized would result in a reduction of the Company’s effective tax rate. The liabilities are classified as other long-term liabilities in the accompanying consolidated balance sheets. The Company recognizes interest and penalties related to income tax matters in income tax expense and reports the liability in current or long-term income taxes payable as appropriate.</w:t>
      </w:r>
    </w:p>
    <w:p>
      <w:pPr>
        <w:spacing w:after="0" w:line="13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7"/>
          <w:szCs w:val="17"/>
          <w:color w:val="auto"/>
        </w:rPr>
        <w:t>On July 4, 2025, the U.S. enacted H.R. 1 "A bill to provide for reconciliation pursuant to Title II of H. Con. Res. 14", commonly referred to as the One Big Beautiful Bill Act (OBBBA). As a result of the enactment of H.R. 1, the impact to the deferred tax liability and the income tax payable related to the provisions for 100% bonus depreciation for assets placed in service after January 19, 2025 and full expensing of domestic research and experimental expenditures was recorded in the period ended September 30, 2025. We do not expect any material change to our ongoing tax rate as a result of this legislation. We continue to evaluate the impacts the new legislation may have on the Company's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 Segment Reporting</w:t>
      </w:r>
    </w:p>
    <w:p>
      <w:pPr>
        <w:spacing w:after="0" w:line="18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The Company’s reportable segments are based on the internal reporting used by the Company’s Chief Executive Officer, who is the chief operating decision maker (CODM), to assess operating performance and make decisions about the allocation of resources. The Company’s reportable segments are based upon geographic region, consisting of the United States and Europe. The Corporate Unallocated category includes non-reportable segments, as well as research and development and general and administrative costs that the Company does not allocate directly to its operating segments.</w:t>
      </w:r>
    </w:p>
    <w:p>
      <w:pPr>
        <w:spacing w:after="0" w:line="143"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Intercompany transactions primarily relate to intercontinental activity and have been eliminated and are excluded from the reported amounts. The difference between income from operations and pre-tax income relates to foreign currency-related gains and losses and interest income on cash balances and investments, which are not allocated to business segments.</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selected financial information by reportable segments: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00" w:type="dxa"/>
            <w:vAlign w:val="bottom"/>
            <w:shd w:val="clear" w:color="auto" w:fill="CCEEFF"/>
          </w:tcPr>
          <w:p>
            <w:pPr>
              <w:spacing w:after="0"/>
              <w:rPr>
                <w:sz w:val="20"/>
                <w:szCs w:val="20"/>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3"/>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109,361</w:t>
            </w:r>
          </w:p>
        </w:tc>
        <w:tc>
          <w:tcPr>
            <w:tcW w:w="80" w:type="dxa"/>
            <w:vAlign w:val="bottom"/>
          </w:tcPr>
          <w:p>
            <w:pPr>
              <w:spacing w:after="0"/>
              <w:rPr>
                <w:sz w:val="20"/>
                <w:szCs w:val="20"/>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26,005</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135,366</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81,028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16,683</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126,407</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28,333</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gridSpan w:val="2"/>
          </w:tcPr>
          <w:p>
            <w:pPr>
              <w:spacing w:after="0" w:line="20" w:lineRule="exact"/>
              <w:rPr>
                <w:sz w:val="1"/>
                <w:szCs w:val="1"/>
                <w:color w:val="auto"/>
              </w:rPr>
            </w:pPr>
          </w:p>
        </w:tc>
        <w:tc>
          <w:tcPr>
            <w:tcW w:w="232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7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3100" w:type="dxa"/>
            <w:vAlign w:val="bottom"/>
          </w:tcPr>
          <w:p>
            <w:pPr>
              <w:spacing w:after="0"/>
              <w:rPr>
                <w:sz w:val="24"/>
                <w:szCs w:val="24"/>
                <w:color w:val="auto"/>
              </w:rPr>
            </w:pPr>
          </w:p>
        </w:tc>
        <w:tc>
          <w:tcPr>
            <w:tcW w:w="4660" w:type="dxa"/>
            <w:vAlign w:val="bottom"/>
            <w:gridSpan w:val="6"/>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Three Months Ended September 30, 2024</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3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99,571</w:t>
            </w:r>
          </w:p>
        </w:tc>
        <w:tc>
          <w:tcPr>
            <w:tcW w:w="80" w:type="dxa"/>
            <w:vAlign w:val="bottom"/>
          </w:tcPr>
          <w:p>
            <w:pPr>
              <w:spacing w:after="0"/>
              <w:rPr>
                <w:sz w:val="20"/>
                <w:szCs w:val="20"/>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26,048</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125,619</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73,884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28,446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14,709</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117,039</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gridSpan w:val="6"/>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7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3100" w:type="dxa"/>
            <w:vAlign w:val="bottom"/>
          </w:tcPr>
          <w:p>
            <w:pPr>
              <w:spacing w:after="0"/>
              <w:rPr>
                <w:sz w:val="24"/>
                <w:szCs w:val="24"/>
                <w:color w:val="auto"/>
              </w:rPr>
            </w:pPr>
          </w:p>
        </w:tc>
        <w:tc>
          <w:tcPr>
            <w:tcW w:w="4660" w:type="dxa"/>
            <w:vAlign w:val="bottom"/>
            <w:gridSpan w:val="6"/>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Nine Months Ended September 30, 2025</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3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320,340</w:t>
            </w:r>
          </w:p>
        </w:tc>
        <w:tc>
          <w:tcPr>
            <w:tcW w:w="80" w:type="dxa"/>
            <w:vAlign w:val="bottom"/>
          </w:tcPr>
          <w:p>
            <w:pPr>
              <w:spacing w:after="0"/>
              <w:rPr>
                <w:sz w:val="20"/>
                <w:szCs w:val="20"/>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76,294</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396,634</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238,823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87,815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51,576</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378,214</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81,517</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(51,576)</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gridSpan w:val="6"/>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7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spacing w:after="0"/>
              <w:rPr>
                <w:sz w:val="8"/>
                <w:szCs w:val="8"/>
                <w:color w:val="auto"/>
              </w:rPr>
            </w:pPr>
          </w:p>
        </w:tc>
        <w:tc>
          <w:tcPr>
            <w:tcW w:w="112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300" w:type="dxa"/>
            <w:vAlign w:val="bottom"/>
            <w:tcBorders>
              <w:top w:val="single" w:sz="8" w:color="auto"/>
              <w:bottom w:val="single" w:sz="8" w:color="auto"/>
            </w:tcBorders>
          </w:tcPr>
          <w:p>
            <w:pPr>
              <w:spacing w:after="0"/>
              <w:rPr>
                <w:sz w:val="8"/>
                <w:szCs w:val="8"/>
                <w:color w:val="auto"/>
              </w:rPr>
            </w:pPr>
          </w:p>
        </w:tc>
      </w:tr>
      <w:tr>
        <w:trPr>
          <w:trHeight w:val="516"/>
        </w:trPr>
        <w:tc>
          <w:tcPr>
            <w:tcW w:w="3100" w:type="dxa"/>
            <w:vAlign w:val="bottom"/>
          </w:tcPr>
          <w:p>
            <w:pPr>
              <w:spacing w:after="0"/>
              <w:rPr>
                <w:sz w:val="24"/>
                <w:szCs w:val="24"/>
                <w:color w:val="auto"/>
              </w:rPr>
            </w:pPr>
          </w:p>
        </w:tc>
        <w:tc>
          <w:tcPr>
            <w:tcW w:w="4660" w:type="dxa"/>
            <w:vAlign w:val="bottom"/>
            <w:gridSpan w:val="6"/>
          </w:tcPr>
          <w:p>
            <w:pPr>
              <w:jc w:val="center"/>
              <w:ind w:left="295"/>
              <w:spacing w:after="0"/>
              <w:rPr>
                <w:sz w:val="20"/>
                <w:szCs w:val="20"/>
                <w:color w:val="auto"/>
              </w:rPr>
            </w:pPr>
            <w:r>
              <w:rPr>
                <w:rFonts w:ascii="Times New Roman" w:cs="Times New Roman" w:eastAsia="Times New Roman" w:hAnsi="Times New Roman"/>
                <w:sz w:val="17"/>
                <w:szCs w:val="17"/>
                <w:b w:val="1"/>
                <w:bCs w:val="1"/>
                <w:color w:val="auto"/>
              </w:rPr>
              <w:t>Nine Months Ended September 30, 2024</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
        </w:trPr>
        <w:tc>
          <w:tcPr>
            <w:tcW w:w="3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178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6"/>
                <w:szCs w:val="16"/>
                <w:b w:val="1"/>
                <w:bCs w:val="1"/>
                <w:color w:val="auto"/>
              </w:rPr>
              <w:t>Europe</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Corporate Unallocated</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5"/>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58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299,593</w:t>
            </w:r>
          </w:p>
        </w:tc>
        <w:tc>
          <w:tcPr>
            <w:tcW w:w="80" w:type="dxa"/>
            <w:vAlign w:val="bottom"/>
          </w:tcPr>
          <w:p>
            <w:pPr>
              <w:spacing w:after="0"/>
              <w:rPr>
                <w:sz w:val="20"/>
                <w:szCs w:val="20"/>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79,547</w:t>
            </w:r>
          </w:p>
        </w:tc>
        <w:tc>
          <w:tcPr>
            <w:tcW w:w="100" w:type="dxa"/>
            <w:vAlign w:val="bottom"/>
          </w:tcPr>
          <w:p>
            <w:pPr>
              <w:spacing w:after="0"/>
              <w:rPr>
                <w:sz w:val="20"/>
                <w:szCs w:val="20"/>
                <w:color w:val="auto"/>
              </w:rPr>
            </w:pPr>
          </w:p>
        </w:tc>
        <w:tc>
          <w:tcPr>
            <w:tcW w:w="58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379,140</w:t>
            </w:r>
          </w:p>
        </w:tc>
      </w:tr>
      <w:tr>
        <w:trPr>
          <w:trHeight w:val="26"/>
        </w:trPr>
        <w:tc>
          <w:tcPr>
            <w:tcW w:w="3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1"/>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expenses</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223,333</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86,121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357,734</w:t>
            </w:r>
          </w:p>
        </w:tc>
      </w:t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Exit, Disposal and Goodwill impairment</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7"/>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5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9"/>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580" w:type="dxa"/>
            <w:vAlign w:val="bottom"/>
            <w:tcBorders>
              <w:bottom w:val="single" w:sz="8" w:color="auto"/>
            </w:tcBorders>
            <w:shd w:val="clear" w:color="auto" w:fill="CCEEFF"/>
          </w:tcPr>
          <w:p>
            <w:pPr>
              <w:jc w:val="right"/>
              <w:ind w:right="1395"/>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76,260</w:t>
            </w:r>
          </w:p>
        </w:tc>
        <w:tc>
          <w:tcPr>
            <w:tcW w:w="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(48,280)</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21,406</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310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ind w:left="640" w:right="20" w:hanging="165"/>
        <w:spacing w:after="0" w:line="244" w:lineRule="auto"/>
        <w:tabs>
          <w:tab w:leader="none" w:pos="56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Segment expenses consist primarily of raw materials, equipment depreciation, employee compensation including benefits, commissions and stock-based compensation, facilities costs and overhead allocations associated with the manufacturing process for molds and custom parts, marketing programs such as electronic, print and pay-per-click advertising and trade shows and other related costs for our United States and Europe reportable segments. Segment expenses for our Corporate Unallocated reportable segment consist primarily of personnel and outside service costs related to the development of new processes and product lines, enhancements of existing product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40" w:right="200"/>
        <w:spacing w:after="0" w:line="276" w:lineRule="auto"/>
        <w:rPr>
          <w:sz w:val="20"/>
          <w:szCs w:val="20"/>
          <w:color w:val="auto"/>
        </w:rPr>
      </w:pPr>
      <w:r>
        <w:rPr>
          <w:rFonts w:ascii="Times New Roman" w:cs="Times New Roman" w:eastAsia="Times New Roman" w:hAnsi="Times New Roman"/>
          <w:sz w:val="17"/>
          <w:szCs w:val="17"/>
          <w:color w:val="auto"/>
        </w:rPr>
        <w:t>lines, software developed for internal use, maintenance of internally developed software, quality assurance and testing, employee compensation including benefits and stock-based compensation, severance, professional service fees related to accounting, tax and legal, and other related overhead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long-lived assets, expenditures for additions to long-lived assets, and depreciation and amortization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8"/>
                <w:szCs w:val="18"/>
                <w:color w:val="auto"/>
              </w:rPr>
            </w:pPr>
          </w:p>
        </w:tc>
        <w:tc>
          <w:tcPr>
            <w:tcW w:w="134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19"/>
                <w:szCs w:val="19"/>
                <w:color w:val="auto"/>
              </w:rPr>
            </w:pP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long-lived assets:</w:t>
            </w:r>
          </w:p>
        </w:tc>
        <w:tc>
          <w:tcPr>
            <w:tcW w:w="1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35"/>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168,988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181,291</w:t>
            </w:r>
          </w:p>
        </w:tc>
      </w:tr>
      <w:tr>
        <w:trPr>
          <w:trHeight w:val="26"/>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42,337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45,972</w:t>
            </w:r>
          </w:p>
        </w:tc>
      </w:tr>
      <w:tr>
        <w:trPr>
          <w:trHeight w:val="254"/>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Long-lived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211,325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227,263</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3"/>
        </w:trPr>
        <w:tc>
          <w:tcPr>
            <w:tcW w:w="812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r>
      <w:tr>
        <w:trPr>
          <w:trHeight w:val="424"/>
        </w:trPr>
        <w:tc>
          <w:tcPr>
            <w:tcW w:w="8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Expenditures for additions to long-lived assets: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3,636</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5,929</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5,734</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w:t>
            </w:r>
          </w:p>
        </w:tc>
      </w:tr>
      <w:tr>
        <w:trPr>
          <w:trHeight w:val="254"/>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expenditures for additions to long-lived assets</w:t>
            </w: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6,792</w:t>
            </w:r>
          </w:p>
        </w:tc>
        <w:tc>
          <w:tcPr>
            <w:tcW w:w="8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8,339</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23"/>
        </w:trPr>
        <w:tc>
          <w:tcPr>
            <w:tcW w:w="50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281"/>
        </w:trPr>
        <w:tc>
          <w:tcPr>
            <w:tcW w:w="5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2540" w:type="dxa"/>
            <w:vAlign w:val="bottom"/>
            <w:gridSpan w:val="4"/>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5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580" w:type="dxa"/>
            <w:vAlign w:val="bottom"/>
            <w:gridSpan w:val="3"/>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6,904</w:t>
            </w:r>
          </w:p>
        </w:tc>
        <w:tc>
          <w:tcPr>
            <w:tcW w:w="100" w:type="dxa"/>
            <w:vAlign w:val="bottom"/>
          </w:tcPr>
          <w:p>
            <w:pPr>
              <w:spacing w:after="0"/>
              <w:rPr>
                <w:sz w:val="20"/>
                <w:szCs w:val="20"/>
                <w:color w:val="auto"/>
              </w:rPr>
            </w:pP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7,156</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20,916</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21,667</w:t>
            </w:r>
          </w:p>
        </w:tc>
      </w:tr>
      <w:tr>
        <w:trPr>
          <w:trHeight w:val="26"/>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5,194</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Unallocated</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6"/>
        </w:trPr>
        <w:tc>
          <w:tcPr>
            <w:tcW w:w="5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depreciation and amortization</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8,429</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25,693</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the three and nine months ended September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5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47,770</w:t>
            </w:r>
          </w:p>
        </w:tc>
        <w:tc>
          <w:tcPr>
            <w:tcW w:w="100" w:type="dxa"/>
            <w:vAlign w:val="bottom"/>
          </w:tcPr>
          <w:p>
            <w:pPr>
              <w:spacing w:after="0"/>
              <w:rPr>
                <w:sz w:val="20"/>
                <w:szCs w:val="20"/>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46,831</w:t>
            </w:r>
          </w:p>
        </w:tc>
        <w:tc>
          <w:tcPr>
            <w:tcW w:w="10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143,908</w:t>
            </w:r>
          </w:p>
        </w:tc>
        <w:tc>
          <w:tcPr>
            <w:tcW w:w="80" w:type="dxa"/>
            <w:vAlign w:val="bottom"/>
          </w:tcPr>
          <w:p>
            <w:pPr>
              <w:spacing w:after="0"/>
              <w:rPr>
                <w:sz w:val="20"/>
                <w:szCs w:val="20"/>
                <w:color w:val="auto"/>
              </w:rPr>
            </w:pPr>
          </w:p>
        </w:tc>
        <w:tc>
          <w:tcPr>
            <w:tcW w:w="54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148,574</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177,831</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154,498</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61,491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64,300</w:t>
            </w:r>
          </w:p>
        </w:tc>
      </w:tr>
      <w:tr>
        <w:trPr>
          <w:trHeight w:val="26"/>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12,776</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11,218</w:t>
            </w:r>
          </w:p>
        </w:tc>
      </w:tr>
      <w:tr>
        <w:trPr>
          <w:trHeight w:val="23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6"/>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135,366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396,634</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379,140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50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 Subsequent Event</w:t>
      </w:r>
    </w:p>
    <w:p>
      <w:pPr>
        <w:spacing w:after="0" w:line="18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On October 3, 2025 (the Notice Date), the Company announced that Oleg Ryaboy, Chief Technology Officer, will depart the Company and cease to be an employee, effective November 2, 2025. As of the Notice Date, Mr. Ryaboy is no longer the Company’s Chief Technology Officer or an executive officer of the Company. Marc Kermisch has been appointed to serve as the Company’s new Chief Technology &amp; AI Officer, effective October 13, 2025.</w:t>
      </w: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97"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our Annual Report on Form 10-K for the year ended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Statements contained in this report regarding matters that are not historical or current facts are “forward-looking statements” within the meaning of The Private Securities Litigation Reform Act of 1995.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known and unknown risks, uncertainties and other factors that may cause our results to be materially different than those expressed or implied in such statements. Certain of these risk factors and others are described in Item 1A. “Risk Factors” of this Quarterly Report on Form 10-Q, as well as our most recent Annual Report on Form 10-K as filed with the Securities and Exchange Commission (SEC). Other unknown or unpredictable factors also could have material adverse effects on our future results. We cannot guarantee future results, levels of activity, performance or achievements. Accordingly, you should not place undue reliance on these forward-looking statements. Finally, we expressly disclaim any intent or obligation to update any forward-looking statements to reflect subsequent events or circumstances.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We are one of the world’s largest, fastest and most comprehensive digital manufacturers of custom parts. Our vision is accelerating innovation by revolutionizing manufacturing. Our mission is to shape the future by bringing customer ideas to life across every stage of their product cycle. We accomplish this by offering a variety of manufacturing capabilities fulfilled through a combination of owned manufacturing factories and a worldwide network of premium manufacturing partners. Our automated quoting and manufacturing systems are highly integrated with our manufacturing and fulfillment systems, which allow us to offer a vast array of manufacturing technologies in a variety of materials across a continuum of lead times and prices. Our technology-enabled digital engineering and manufacturing applications enable us to produce commercial-grade plastic, metal, and liquid silicone rubber parts in as fast as one day.</w:t>
      </w:r>
    </w:p>
    <w:p>
      <w:pPr>
        <w:spacing w:after="0" w:line="13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color w:val="auto"/>
        </w:rPr>
        <w:t>Our customers conduct the majority of their business with us via our Internet-based eCommerce platform. We target our products to the millions of product developers and engineers who use three-dimensional computer-aided design (3D CAD) software to design products across a diverse range of end-markets, to the procurement and supply chain professionals seeking to easily and efficiently source custom parts on-demand, and to a wide variety of customers seeking to purchase custom parts. We believe our use of advanced technologies enable us to offer significant advantages at competitive prices to many customers and is the primary reason we have become a leading supplier of custom parts.</w:t>
      </w:r>
    </w:p>
    <w:p>
      <w:pPr>
        <w:spacing w:after="0" w:line="145"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We have established our operations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during fiscal year 2025. The Company intends to continue offering all of its manufacturing services to customers across Europe, including injection molding and metal 3D printing. These services will be fulfilled through internal manufacturing facilities and a network of manufacturing partners.</w:t>
      </w:r>
    </w:p>
    <w:p>
      <w:pPr>
        <w:spacing w:after="0" w:line="13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Our primary manufacturing product lines currently include Injection Molding, CNC Machining, 3D Printing and Sheet Metal. We continually seek to expand the range of sizes and geometric complexity of the parts we can make with these processes, to extend the variety of materials we are able to support, and to identify additional manufacturing processes to which we can apply our technology or incorporate into our manufacturing network in order to better serve the evolving preferences and needs of our customers. With the addition of the Protolabs Network in 2021, our global network of premium manufacturing partners significantly expands the breadth and depth of our manufacturing capabilities, enabling us to offer customers a wider variety of lead times and pricing options, and an expanded envelope of parts (complexity, size, etc.).</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Financial Measures and Trends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88"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7"/>
          <w:szCs w:val="17"/>
          <w:color w:val="auto"/>
        </w:rPr>
        <w:t>Our operations are comprised of two geographic operating segments in the United States and Europe. On October 21, 2024, the Company's board of directors approved a plan related to the Company's manufacturing facilities in Germany. The plan includes the closure of the Company's prototype injection molding manufacturing facility in Eschenlohe, Germany, and the discontinuation of Direct Metal Laser Sintering 3D printing services through its 3D printing facility in Putzbrunn, Germany. The Company expects to substantially complete the plan during fiscal year 2025. The Company intends to continue offering all of its manufacturing services to customers across Europe, including injection molding and metal 3D printing. These services will be fulfilled through internal manufacturing facilities and a network of manufacturing partners.</w:t>
      </w:r>
    </w:p>
    <w:p>
      <w:pPr>
        <w:spacing w:after="0" w:line="134"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Revenue is derived from the sale or parts fulfilled through our owned manufacturing factories and worldwide network of premium manufacturing partners. Our product lines consist of Injection Molding, CNC Machining, 3D Printing and Sheet Metal. Injection Molding revenue consists of sales of custom injection molds and injection-molded parts. CNC Machining revenue consists of sales of CNC-machined custom parts. 3D Printing revenue consists of sales of 3D-printed parts. Sheet Metal revenue consists of sales of fabricated sheet metal custom parts. Our revenue is generated from a diverse customer base and our historical and current efforts to increase revenue have been directed at gaining new customers and selling to our existing customer base by increasing marketing and selling activities, including:</w:t>
      </w:r>
    </w:p>
    <w:p>
      <w:pPr>
        <w:spacing w:after="0" w:line="147" w:lineRule="exact"/>
        <w:rPr>
          <w:sz w:val="20"/>
          <w:szCs w:val="20"/>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the breadth and scope of our products by adding more sizes and materials to our offerings;</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3D Printing product line through our acquisition of FineLine in 2014;</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3D Printing to Europe through our acquisition of Alphaform in 2015;</w:t>
      </w:r>
    </w:p>
    <w:p>
      <w:pPr>
        <w:spacing w:after="0" w:line="196"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our Sheet Metal product line through our acquisition of Rapid Manufacturing Group, LLC in 2017;</w:t>
      </w:r>
    </w:p>
    <w:p>
      <w:pPr>
        <w:spacing w:after="0" w:line="183"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improving the usability of our product lines such as our web-centric applications; and</w:t>
      </w:r>
    </w:p>
    <w:p>
      <w:pPr>
        <w:spacing w:after="0" w:line="183" w:lineRule="exact"/>
        <w:rPr>
          <w:rFonts w:ascii="Times New Roman" w:cs="Times New Roman" w:eastAsia="Times New Roman" w:hAnsi="Times New Roman"/>
          <w:sz w:val="17"/>
          <w:szCs w:val="17"/>
          <w:color w:val="auto"/>
        </w:rPr>
      </w:pPr>
    </w:p>
    <w:p>
      <w:pPr>
        <w:ind w:right="720" w:firstLine="318"/>
        <w:spacing w:after="0" w:line="520" w:lineRule="auto"/>
        <w:tabs>
          <w:tab w:leader="none" w:pos="62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customers with on-demand access to a global network of premium manufacturing partners through our acquisition of Hubs in 2021. The following table summarizes our unique customer contacts and revenue per customer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367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4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 September</w:t>
            </w:r>
          </w:p>
        </w:tc>
      </w:tr>
      <w:tr>
        <w:trPr>
          <w:trHeight w:val="229"/>
        </w:trPr>
        <w:tc>
          <w:tcPr>
            <w:tcW w:w="6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gridSpan w:val="5"/>
          </w:tcPr>
          <w:p>
            <w:pPr>
              <w:ind w:left="4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60" w:type="dxa"/>
            <w:vAlign w:val="bottom"/>
          </w:tcPr>
          <w:p>
            <w:pPr>
              <w:spacing w:after="0"/>
              <w:rPr>
                <w:sz w:val="19"/>
                <w:szCs w:val="19"/>
                <w:color w:val="auto"/>
              </w:rPr>
            </w:pPr>
          </w:p>
        </w:tc>
        <w:tc>
          <w:tcPr>
            <w:tcW w:w="1260" w:type="dxa"/>
            <w:vAlign w:val="bottom"/>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30,</w:t>
            </w:r>
          </w:p>
        </w:tc>
        <w:tc>
          <w:tcPr>
            <w:tcW w:w="920" w:type="dxa"/>
            <w:vAlign w:val="bottom"/>
          </w:tcPr>
          <w:p>
            <w:pPr>
              <w:spacing w:after="0"/>
              <w:rPr>
                <w:sz w:val="19"/>
                <w:szCs w:val="19"/>
                <w:color w:val="auto"/>
              </w:rPr>
            </w:pPr>
          </w:p>
        </w:tc>
      </w:tr>
      <w:tr>
        <w:trPr>
          <w:trHeight w:val="26"/>
        </w:trPr>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8"/>
        </w:trPr>
        <w:tc>
          <w:tcPr>
            <w:tcW w:w="6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thousands)</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135,366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379,140</w:t>
            </w:r>
          </w:p>
        </w:tc>
      </w:tr>
      <w:tr>
        <w:trPr>
          <w:trHeight w:val="235"/>
        </w:trPr>
        <w:tc>
          <w:tcPr>
            <w:tcW w:w="6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contacts</w:t>
            </w:r>
          </w:p>
        </w:tc>
        <w:tc>
          <w:tcPr>
            <w:tcW w:w="26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21,252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43,671</w:t>
            </w:r>
          </w:p>
        </w:tc>
      </w:tr>
      <w:tr>
        <w:trPr>
          <w:trHeight w:val="26"/>
        </w:trPr>
        <w:tc>
          <w:tcPr>
            <w:tcW w:w="6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per customer contact</w:t>
            </w:r>
            <w:r>
              <w:rPr>
                <w:rFonts w:ascii="Times New Roman" w:cs="Times New Roman" w:eastAsia="Times New Roman" w:hAnsi="Times New Roman"/>
                <w:sz w:val="22"/>
                <w:szCs w:val="22"/>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$6,370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$8,682</w:t>
            </w:r>
          </w:p>
        </w:tc>
      </w:tr>
      <w:tr>
        <w:trPr>
          <w:trHeight w:val="157"/>
        </w:trPr>
        <w:tc>
          <w:tcPr>
            <w:tcW w:w="6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bl>
    <w:p>
      <w:pPr>
        <w:spacing w:after="0" w:line="243" w:lineRule="exact"/>
        <w:rPr>
          <w:sz w:val="20"/>
          <w:szCs w:val="20"/>
          <w:color w:val="auto"/>
        </w:rPr>
      </w:pPr>
    </w:p>
    <w:p>
      <w:pPr>
        <w:ind w:left="560" w:right="160" w:hanging="7"/>
        <w:spacing w:after="0" w:line="241" w:lineRule="auto"/>
        <w:tabs>
          <w:tab w:leader="none" w:pos="64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Gross Profit and Gross Margin</w:t>
      </w:r>
    </w:p>
    <w:p>
      <w:pPr>
        <w:spacing w:after="0" w:line="20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Cost of revenue consists primarily of raw materials, equipment depreciation, employee compensation including benefits and stock-based compensation, facilities costs, overhead allocations associated with the manufacturing process for molds and custom parts, and costs to procure parts through our network of premium manufacturing partners. We expect our personnel-related costs to increase in order to retain and attract top talent and remain competitive in the market. Overall, we expect cost of revenue to increase in absolute dollars.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We define gross profit as our revenue less our cost of revenue, and we define gross margin as gross profit expressed as a percentage of revenue. Our gross profit and gross margin are affected by many factors, including our mix of revenue produced in our internal manufacturing operations and outsourced to our external manufacturing partners, pricing, sales volume, manufacturing costs, the costs associated with increasing production capacity, the mix between domestic and foreign revenue sources, the mix of revenue by product line, and foreign currency exchange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8"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color w:val="auto"/>
        </w:rPr>
        <w:t>Operating expenses consist of marketing and sales, research and development and general and administrative expenses. Personnel-related costs are the most significant component in each of these categories.</w:t>
      </w:r>
    </w:p>
    <w:p>
      <w:pPr>
        <w:spacing w:after="0" w:line="108"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Our business strategy is to continue to be a leading online and technology-enabled manufacturer of quick-turn, on-demand injection-molded, CNC-machined, 3D-printed and fabricated sheet metal custom parts for prototyping and low-volume production. In order to achieve our goals, we anticipate continued substantial investments in technology and personnel, resulting in increased operating expenses in the future.</w:t>
      </w:r>
    </w:p>
    <w:p>
      <w:pPr>
        <w:spacing w:after="0" w:line="13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Marketing and sales expense consists primarily of employee compensation, benefits, commissions, stock-based compensation,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demand generation costs such as electronic, print and pay-per-click advertising, trade shows and other related overhead. We expect sales and marketing expense to increase in the future as we increase the number of marketing and sales professionals and marketing demand generation costs targeted to increase our customer base and grow revenue.</w:t>
      </w:r>
    </w:p>
    <w:p>
      <w:pPr>
        <w:spacing w:after="0" w:line="127"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and outside service costs related to the development of new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processes and product lines, enhancement of existing product lines, development of software for internal use, maintenance of internally developed software, quality assurance and testing. Costs for internal use software are evaluated by project and capitalized where appropriate under ASC 350-40, </w:t>
      </w:r>
      <w:r>
        <w:rPr>
          <w:rFonts w:ascii="Times New Roman" w:cs="Times New Roman" w:eastAsia="Times New Roman" w:hAnsi="Times New Roman"/>
          <w:sz w:val="17"/>
          <w:szCs w:val="17"/>
          <w:i w:val="1"/>
          <w:iCs w:val="1"/>
          <w:color w:val="auto"/>
        </w:rPr>
        <w:t>Intangibles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Goodwill and Other, Internal-Use Software</w:t>
      </w:r>
      <w:r>
        <w:rPr>
          <w:rFonts w:ascii="Times New Roman" w:cs="Times New Roman" w:eastAsia="Times New Roman" w:hAnsi="Times New Roman"/>
          <w:sz w:val="17"/>
          <w:szCs w:val="17"/>
          <w:color w:val="auto"/>
        </w:rPr>
        <w:t>. We expect research and development expense to increase in the future as we seek to enhance our e-commerce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interface technology, internal software and supporting business systems, and continue to expand our product lines.</w:t>
      </w:r>
    </w:p>
    <w:p>
      <w:pPr>
        <w:spacing w:after="0" w:line="12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employee compensation, benefits, stock-based compensation, professional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 fees related to accounting, tax and legal, and other related overhead. We expect general and administrative expense to increase in the future as we continue to grow and expand as a global organization.</w:t>
      </w:r>
    </w:p>
    <w:p>
      <w:pPr>
        <w:spacing w:after="0" w:line="13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Costs related to disposal and exit activities. </w:t>
      </w:r>
      <w:r>
        <w:rPr>
          <w:rFonts w:ascii="Times New Roman" w:cs="Times New Roman" w:eastAsia="Times New Roman" w:hAnsi="Times New Roman"/>
          <w:sz w:val="17"/>
          <w:szCs w:val="17"/>
          <w:color w:val="auto"/>
        </w:rPr>
        <w:t>Costs related to disposal and exit activities is driven by our decision to close certain manufacturing facilities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Germany. The expenses consist primarily of operating expenses, including employee severance, write-down of fixed assets and facility-related charges. Benefits may result from adjustments to initial estimates regarding the nature and timing of disposal and exit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88"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Other income, net primarily consists of foreign currency-related gains and losses and interest income on cash balances and investments. Our foreign currency-related gains and losses will vary depending upon movements in underlying foreign currency exchange rates. Our interest income will vary each reporting period depending on our average cash balances during the period, composition of our marketable security portfolio and the current level of interest rates.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88"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Provision for income taxes is comprised of federal, state, local and foreign taxes based on pre-tax income. Overall, our effective tax rate for 2025 and beyond may differ from historical effective tax rates due to increases in losses in foreign operations that are not eligible for tax benefits on account of valuation allowances, as well as any future tax law changes that may impact our effective tax rate.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The following table summarizes our results of operations and the related changes for the periods indicated. The results below are not necessarily indicative of the results for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086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00" w:type="dxa"/>
            <w:vAlign w:val="bottom"/>
            <w:gridSpan w:val="11"/>
          </w:tcPr>
          <w:p>
            <w:pPr>
              <w:ind w:left="10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40" w:type="dxa"/>
            <w:vAlign w:val="bottom"/>
          </w:tcPr>
          <w:p>
            <w:pPr>
              <w:spacing w:after="0"/>
              <w:rPr>
                <w:sz w:val="19"/>
                <w:szCs w:val="19"/>
                <w:color w:val="auto"/>
              </w:rPr>
            </w:pPr>
          </w:p>
        </w:tc>
        <w:tc>
          <w:tcPr>
            <w:tcW w:w="1520" w:type="dxa"/>
            <w:vAlign w:val="bottom"/>
            <w:gridSpan w:val="4"/>
          </w:tcPr>
          <w:p>
            <w:pPr>
              <w:ind w:left="3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19"/>
                <w:szCs w:val="19"/>
                <w:color w:val="auto"/>
              </w:rPr>
            </w:pPr>
          </w:p>
        </w:tc>
        <w:tc>
          <w:tcPr>
            <w:tcW w:w="3120" w:type="dxa"/>
            <w:vAlign w:val="bottom"/>
            <w:gridSpan w:val="11"/>
          </w:tcPr>
          <w:p>
            <w:pPr>
              <w:ind w:left="1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560" w:type="dxa"/>
            <w:vAlign w:val="bottom"/>
            <w:gridSpan w:val="3"/>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0" w:type="dxa"/>
            <w:vAlign w:val="bottom"/>
          </w:tcPr>
          <w:p>
            <w:pPr>
              <w:spacing w:after="0"/>
              <w:rPr>
                <w:sz w:val="1"/>
                <w:szCs w:val="1"/>
                <w:color w:val="auto"/>
              </w:rPr>
            </w:pPr>
          </w:p>
        </w:tc>
      </w:tr>
      <w:tr>
        <w:trPr>
          <w:trHeight w:val="26"/>
        </w:trPr>
        <w:tc>
          <w:tcPr>
            <w:tcW w:w="1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(dollars in</w:t>
            </w: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860" w:type="dxa"/>
            <w:vAlign w:val="bottom"/>
            <w:vMerge w:val="restart"/>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7"/>
                <w:szCs w:val="17"/>
                <w:color w:val="auto"/>
              </w:rPr>
            </w:pPr>
          </w:p>
        </w:tc>
        <w:tc>
          <w:tcPr>
            <w:tcW w:w="78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thousands)</w:t>
            </w:r>
          </w:p>
        </w:tc>
        <w:tc>
          <w:tcPr>
            <w:tcW w:w="12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135,366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9"/>
              </w:rPr>
              <w:t>100.0</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9"/>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$ 9,747</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396,634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9"/>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9"/>
              </w:rPr>
              <w:t>100.0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$ 17,494</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35"/>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74,073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54.7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68,389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54.4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5,684</w:t>
            </w:r>
          </w:p>
        </w:tc>
        <w:tc>
          <w:tcPr>
            <w:tcW w:w="8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219,869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54.8</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11,972</w:t>
            </w:r>
          </w:p>
        </w:tc>
        <w:tc>
          <w:tcPr>
            <w:tcW w:w="80" w:type="dxa"/>
            <w:vAlign w:val="bottom"/>
          </w:tcPr>
          <w:p>
            <w:pPr>
              <w:spacing w:after="0"/>
              <w:rPr>
                <w:sz w:val="20"/>
                <w:szCs w:val="20"/>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45.3</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57,230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176,765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44.6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171,243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45.2</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5,522</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35"/>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Marketing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18.2</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1,955</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8.6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69,070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18.2</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3,984</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21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development</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administrative</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12.7</w:t>
            </w: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49,167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3,596</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1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related to</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exit and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disposal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activities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6"/>
        </w:trPr>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operating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expenses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52,483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38.8</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48,650</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38.7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3,833</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158,455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39.9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149,837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39.5</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8,618</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5.8</w:t>
            </w: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operations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(29.7)</w:t>
            </w: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w:t>
            </w: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9,868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19"/>
                <w:szCs w:val="19"/>
                <w:color w:val="auto"/>
              </w:rPr>
            </w:pPr>
          </w:p>
        </w:tc>
        <w:tc>
          <w:tcPr>
            <w:tcW w:w="8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6.6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(2,044)</w:t>
            </w:r>
          </w:p>
        </w:tc>
        <w:tc>
          <w:tcPr>
            <w:tcW w:w="80" w:type="dxa"/>
            <w:vAlign w:val="bottom"/>
          </w:tcPr>
          <w:p>
            <w:pPr>
              <w:spacing w:after="0"/>
              <w:rPr>
                <w:sz w:val="19"/>
                <w:szCs w:val="19"/>
                <w:color w:val="auto"/>
              </w:rPr>
            </w:pPr>
          </w:p>
        </w:tc>
        <w:tc>
          <w:tcPr>
            <w:tcW w:w="7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2.2</w:t>
            </w: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13.3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54"/>
        </w:trPr>
        <w:tc>
          <w:tcPr>
            <w:tcW w:w="1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7,216</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8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15,242</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16,997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(1,755)</w:t>
            </w:r>
          </w:p>
        </w:tc>
        <w:tc>
          <w:tcPr>
            <w:tcW w:w="8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right="100"/>
        <w:spacing w:after="0" w:line="295" w:lineRule="auto"/>
        <w:rPr>
          <w:sz w:val="20"/>
          <w:szCs w:val="20"/>
          <w:color w:val="auto"/>
        </w:rPr>
      </w:pPr>
      <w:r>
        <w:rPr>
          <w:rFonts w:ascii="Times New Roman" w:cs="Times New Roman" w:eastAsia="Times New Roman" w:hAnsi="Times New Roman"/>
          <w:sz w:val="17"/>
          <w:szCs w:val="17"/>
          <w:color w:val="auto"/>
        </w:rPr>
        <w:t>Stock-based compensation expense included in the statements of operations data above for the three and nine months ended September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8"/>
                <w:szCs w:val="18"/>
                <w:color w:val="auto"/>
              </w:rPr>
            </w:pPr>
          </w:p>
        </w:tc>
        <w:tc>
          <w:tcPr>
            <w:tcW w:w="212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6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20" w:type="dxa"/>
            <w:vAlign w:val="bottom"/>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2120" w:type="dxa"/>
            <w:vAlign w:val="bottom"/>
            <w:gridSpan w:val="4"/>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6"/>
        </w:trPr>
        <w:tc>
          <w:tcPr>
            <w:tcW w:w="6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8"/>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40" w:type="dxa"/>
            <w:vAlign w:val="bottom"/>
          </w:tcPr>
          <w:p>
            <w:pPr>
              <w:spacing w:after="0"/>
              <w:rPr>
                <w:sz w:val="19"/>
                <w:szCs w:val="19"/>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4"/>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RSUs and PSUs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11,799</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r>
      <w:tr>
        <w:trPr>
          <w:trHeight w:val="26"/>
        </w:trPr>
        <w:tc>
          <w:tcPr>
            <w:tcW w:w="6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3,677</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12,716</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5"/>
        </w:trPr>
        <w:tc>
          <w:tcPr>
            <w:tcW w:w="6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41"/>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w:t>
            </w:r>
          </w:p>
        </w:tc>
      </w:tr>
      <w:tr>
        <w:trPr>
          <w:trHeight w:val="235"/>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6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Marketing and sales</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w:t>
            </w:r>
          </w:p>
        </w:tc>
      </w:tr>
      <w:tr>
        <w:trPr>
          <w:trHeight w:val="235"/>
        </w:trPr>
        <w:tc>
          <w:tcPr>
            <w:tcW w:w="6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w:t>
            </w:r>
          </w:p>
        </w:tc>
      </w:tr>
      <w:tr>
        <w:trPr>
          <w:trHeight w:val="26"/>
        </w:trPr>
        <w:tc>
          <w:tcPr>
            <w:tcW w:w="6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64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6,058</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6,906</w:t>
            </w:r>
          </w:p>
        </w:tc>
      </w:tr>
      <w:tr>
        <w:trPr>
          <w:trHeight w:val="254"/>
        </w:trPr>
        <w:tc>
          <w:tcPr>
            <w:tcW w:w="6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3,677</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11,928</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12,716</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3"/>
        </w:trPr>
        <w:tc>
          <w:tcPr>
            <w:tcW w:w="6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Three Months Ended September 30,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three months ended September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40" w:type="dxa"/>
            <w:vAlign w:val="bottom"/>
            <w:gridSpan w:val="8"/>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99,571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135,366</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Our revenue increased $9.7 million, or 7.8%, for the three months ended September 30, 2025 compared to the same period in 2024. The growth in revenue was primarily driven by an increase in average order value for our larger United States customers in the three months ended September 30, 2025 compared to the same period in 2024. By reportable segment, revenue in the United States increased $9.8 million, or 9.8%, for the three months ended September 30, 2025 compared to the same period in 2024. Revenue in Europe decreased less than $0.1 million, or 0.2%, for the three months ended September 30, 2025 compared to the same period in 2024. International revenue was favorably impacted by $1.2 million during the three months ended September 30, 2025 compared to the same period in 2024 as a result of foreign currency movements, primarily due to the strengthening of the British Pound and Euro relative to the United States Dollar.</w:t>
      </w:r>
    </w:p>
    <w:p>
      <w:pPr>
        <w:spacing w:after="0" w:line="14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7"/>
          <w:szCs w:val="17"/>
          <w:color w:val="auto"/>
        </w:rPr>
        <w:t>During the three months ended September 30, 2025, we served 21,252 unique customer contacts, which is a decrease of 5.6% from the same period in 2024. During the three months ended September 30, 2025, our customer contacts served decreased while our revenue grew. This was primarily due to our mix of customers served in the quarter as compared to the same period in 2024 and our strategic focus to earn larger orders from our customers as we strive to be their supplier of choice by serving their custom parts needs through the comprehensive offer of our factory and the Protolabs Network. Our revenue per customer contact grew 14.1% for the three months ended September 30, 2025 compared to the same period in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three months ended September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6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47,770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46,831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63,043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42.4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6"/>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vMerge w:val="continue"/>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9"/>
                <w:szCs w:val="19"/>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right="220"/>
        <w:spacing w:after="0" w:line="295" w:lineRule="auto"/>
        <w:rPr>
          <w:sz w:val="20"/>
          <w:szCs w:val="20"/>
          <w:color w:val="auto"/>
        </w:rPr>
      </w:pPr>
      <w:r>
        <w:rPr>
          <w:rFonts w:ascii="Times New Roman" w:cs="Times New Roman" w:eastAsia="Times New Roman" w:hAnsi="Times New Roman"/>
          <w:sz w:val="17"/>
          <w:szCs w:val="17"/>
          <w:color w:val="auto"/>
        </w:rPr>
        <w:t>By product line, our revenue increase was driven by a 18.2% increase in CNC Machining revenue, a 2.0% increase in Injection Molding revenue and a 13.9% increase in Sheet Metal revenue, partially offset by a 6.3% decrease in 3D Printing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and a 25.6% decrease in Other Revenue, in each case for the three months ended September 30, 2025 compared to the same period in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increased $5.7 million, or 8.3%, for the three months ended September 30, 2025 compared to the same period in 2024, while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increased 7.8% for the three months ended September 30, 2025 compared to the same period in 2024. The increase in the cost of revenue of $5.7 million was primarily driven by higher revenue volumes resulting in increases of $4.4 million in raw material and production and fulfillment related costs, and $2.0 million in personnel and related costs, primarily due to incentive compensation related to our annual short-term incentive compensation plan, contract labor and overtime, during the three months ended September 30, 2025 compared to the same period in 2024, partially offset by decreases in equipment and facility-related costs of $0.7 million.</w:t>
      </w:r>
    </w:p>
    <w:p>
      <w:pPr>
        <w:spacing w:after="0" w:line="134"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$4.1 million, or 7.1%, for the three months ended September 30, 2025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Gross margin decreased from 45.6% in the three months ended September 30, 2024 to 45.3% in the three months ended September 30,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net and Provision for Income Taxes</w:t>
      </w:r>
    </w:p>
    <w:p>
      <w:pPr>
        <w:spacing w:after="0" w:line="18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Our marketing and sales expenses increased $2.0 million during the three months ended September 30, 2025 compared to the same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2024 primarily due to increases in personnel and related costs of $1.6 million, primarily due to incentive compensation related to our annual short-term incentive compensation plan and commissions and merit increases, and $0.4 million in marketing program costs.</w:t>
      </w:r>
    </w:p>
    <w:p>
      <w:pPr>
        <w:spacing w:after="0" w:line="12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Our research and development expenses increased $0.9 million, or 9.5%, during the three months ended September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2024 primarily due to increases in personnel and related costs of $1.2 million, primarily due to incentive compensation related to our annual short-term incentive compensation plan, partially offset by decreases of $0.2 million in operating costs and $0.1 million in professional services.</w:t>
      </w:r>
    </w:p>
    <w:p>
      <w:pPr>
        <w:spacing w:after="0" w:line="133"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$0.9 million, or 5.6%, during the three months ended September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2024 primarily due to increases of $0.8 million in personnel and related costs, primarily related to incentive compensation related to our annual short-term incentive compensation plan, $0.4 million in administrative costs and $0.4 million in professional services, partially offset by decreases of $0.7 million in stock-based compensation.</w:t>
      </w:r>
    </w:p>
    <w:p>
      <w:pPr>
        <w:spacing w:after="0" w:line="127" w:lineRule="exact"/>
        <w:rPr>
          <w:sz w:val="20"/>
          <w:szCs w:val="20"/>
          <w:color w:val="auto"/>
        </w:rPr>
      </w:pPr>
    </w:p>
    <w:p>
      <w:pPr>
        <w:jc w:val="both"/>
        <w:ind w:right="16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Costs related to exit and disposal. </w:t>
      </w:r>
      <w:r>
        <w:rPr>
          <w:rFonts w:ascii="Times New Roman" w:cs="Times New Roman" w:eastAsia="Times New Roman" w:hAnsi="Times New Roman"/>
          <w:sz w:val="17"/>
          <w:szCs w:val="17"/>
          <w:color w:val="auto"/>
        </w:rPr>
        <w:t>Our decision to exit and close certain operations in Germany resulted in less than a $0.1 million expense primarily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professional services during the three months ended September 30, 2025. We had no costs related to exit and disposal activities during the three months ended September 30, 2024.</w:t>
      </w:r>
    </w:p>
    <w:p>
      <w:pPr>
        <w:spacing w:after="0" w:line="12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Other income, net. </w:t>
      </w:r>
      <w:r>
        <w:rPr>
          <w:rFonts w:ascii="Times New Roman" w:cs="Times New Roman" w:eastAsia="Times New Roman" w:hAnsi="Times New Roman"/>
          <w:sz w:val="17"/>
          <w:szCs w:val="17"/>
          <w:color w:val="auto"/>
        </w:rPr>
        <w:t>We recognized other income, net of $1.4 million for the three months ended September 30, 2025, an increase of $0.2 million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 income, net of $1.3 million for the three months ended September 30, 2024. Other income, net for the three months ended September 30, 2025 primarily consisted of $1.2 million in interest income on investments and $0.2 million of other income. Other income, net for the three months ended September 30, 2024 primarily consisted of $1.3 million in interest income on investments and other income.</w:t>
      </w:r>
    </w:p>
    <w:p>
      <w:pPr>
        <w:spacing w:after="0" w:line="140"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29.6% for the three months ended September 30, 2025 increased 2.5% compared to 27.1% for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2024. The increase in the effective tax rate was primarily due to an increase in losses in jurisdictions that are not eligible for tax benefits due to valuation allowances. Our income tax provision of $3.0 million for the three months ended September 30, 2025 increased $0.3 million as compared to our income tax provision of $2.7 million for the same period in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Nine Months Ended September 30, 2025 and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reportable segment and the related changes for the nine months ended September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7"/>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280" w:type="dxa"/>
            <w:vAlign w:val="bottom"/>
          </w:tcPr>
          <w:p>
            <w:pPr>
              <w:spacing w:after="0"/>
              <w:rPr>
                <w:sz w:val="19"/>
                <w:szCs w:val="19"/>
                <w:color w:val="auto"/>
              </w:rPr>
            </w:pPr>
          </w:p>
        </w:tc>
        <w:tc>
          <w:tcPr>
            <w:tcW w:w="82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80.8 %</w:t>
            </w:r>
          </w:p>
        </w:tc>
        <w:tc>
          <w:tcPr>
            <w:tcW w:w="10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299,593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79.0 %</w:t>
            </w:r>
          </w:p>
        </w:tc>
        <w:tc>
          <w:tcPr>
            <w:tcW w:w="80" w:type="dxa"/>
            <w:vAlign w:val="bottom"/>
          </w:tcPr>
          <w:p>
            <w:pPr>
              <w:spacing w:after="0"/>
              <w:rPr>
                <w:sz w:val="20"/>
                <w:szCs w:val="20"/>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20,747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6.9 %</w:t>
            </w: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76,294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(3,253)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54"/>
        </w:trPr>
        <w:tc>
          <w:tcPr>
            <w:tcW w:w="37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396,634</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17,494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7"/>
          <w:szCs w:val="17"/>
          <w:color w:val="auto"/>
        </w:rPr>
        <w:t>Our revenue increased $17.5 million, or 4.6%, for the nine months ended September 30, 2025 compared to the same period in 2024. By reportable segment, revenue in the United States increased $20.7 million, or 6.9%, for the nine months ended September 30, 2025 compared to the same period in 2024. Revenue in Europe decreased $3.3 million, or 4.1% for the nine months ended September 30, 2025 compared to the same period in 2024. International revenue was favorably impacted by $2.1 million during nine months ended September 30, 2025 compared to the same period in 2024 as a result of foreign currency movements, primarily the strengthening of the British Pound and Euro relative to the United States Dollar.</w:t>
      </w:r>
    </w:p>
    <w:p>
      <w:pPr>
        <w:spacing w:after="0" w:line="14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During the nine months ended September 30, 2025, we served 41,873 unique product developers and engineers, a decrease of 4.1% from the same period in 2024. During the nine months ended September 30, 2025, our customer contacts served decreased while our revenue grew. This was primarily due to our mix of customers served during the nine months ended September 30, 2025 as compared to the same period in 2024 and our strategic focus to earn larger orders from our customers as we strive to be their supplier of choice by serving their custom parts needs through the comprehensive offer of our factory and the Protolabs Network. Our revenue per customer contact grew 9.1% for the nine months ended September 30, 2025 compared to the same period in 2024.</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by product line and the related changes for the nine months ended September 30, 2025 and 2024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7"/>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 of Total</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86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2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Injection Molding</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36.3 %</w:t>
            </w:r>
          </w:p>
        </w:tc>
        <w:tc>
          <w:tcPr>
            <w:tcW w:w="10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8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CNC Machining</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44.8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40.7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23,333</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15.1</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3D Printing</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6"/>
        </w:trPr>
        <w:tc>
          <w:tcPr>
            <w:tcW w:w="3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Sheet Metal</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13.9</w:t>
            </w:r>
          </w:p>
        </w:tc>
        <w:tc>
          <w:tcPr>
            <w:tcW w:w="0" w:type="dxa"/>
            <w:vAlign w:val="bottom"/>
          </w:tcPr>
          <w:p>
            <w:pPr>
              <w:spacing w:after="0"/>
              <w:rPr>
                <w:sz w:val="1"/>
                <w:szCs w:val="1"/>
                <w:color w:val="auto"/>
              </w:rPr>
            </w:pPr>
          </w:p>
        </w:tc>
      </w:tr>
      <w:tr>
        <w:trPr>
          <w:trHeight w:val="23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Revenue</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26"/>
        </w:trPr>
        <w:tc>
          <w:tcPr>
            <w:tcW w:w="3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17,494</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31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By product line, our revenue increase was driven by a 15.1% increase in CNC Machining revenue, a 13.9% increase in Sheet Metal revenue and a 14.2% increase in Other Revenue, partially offset by a 3.1% decrease in Injection Molding revenue and a 4.4% decrease in 3D Printing revenue in each case for the nine months ended September 30, 2025 compared to the same period in 2024.</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increased $12.0 million, or 5.8%, for the nine months ended September 30, 2025 compared to the same period in 2024,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was higher than the rate of revenue increase of 4.6% for the nine months ended September 30, 2025 compared to the same period in 2024. The increase in cost of revenue of $12.0 million was primarily driven by higher revenue volumes resulting in increases of $8.4 million in raw material and production and fulfillment related costs and $4.7 million in personnel and related costs, primarily due to incentive compensation related to our annual short-term incentive compensation plan, overtime, and medical related costs during the nine months ended September 30, 2025 compared to the same period in 2024, partially offset by decreases in equipment and facility-related costs of $1.1 million.</w:t>
      </w:r>
    </w:p>
    <w:p>
      <w:pPr>
        <w:spacing w:after="0" w:line="126"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Gross Profit and Gross Margin. </w:t>
      </w:r>
      <w:r>
        <w:rPr>
          <w:rFonts w:ascii="Times New Roman" w:cs="Times New Roman" w:eastAsia="Times New Roman" w:hAnsi="Times New Roman"/>
          <w:sz w:val="17"/>
          <w:szCs w:val="17"/>
          <w:color w:val="auto"/>
        </w:rPr>
        <w:t>Gross profit increased $5.5 million, or 3.2%, for the nine months ended September 30, 2025 compared to the same period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 Gross margin decreased from 45.2% in the nine months ended September 30, 2024 to 44.6% in the nine months ended September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Expenses, Other Income, net and Provision for Income Taxes</w:t>
      </w:r>
    </w:p>
    <w:p>
      <w:pPr>
        <w:spacing w:after="0" w:line="184"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Marketing and Sales. </w:t>
      </w:r>
      <w:r>
        <w:rPr>
          <w:rFonts w:ascii="Times New Roman" w:cs="Times New Roman" w:eastAsia="Times New Roman" w:hAnsi="Times New Roman"/>
          <w:sz w:val="17"/>
          <w:szCs w:val="17"/>
          <w:color w:val="auto"/>
        </w:rPr>
        <w:t>Our Marketing and sales expenses increased $4.0 million, or 5.8%, during the nine months ended September 30, 2025 compared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same period in 2024. The increase was driven by increases in personnel and related costs of $3.4 million, primarily due to incentive compensation related to commissions and our annual short-term incentive compensation plan and merit increases, and marketing program cost increases of $0.6 million during the nine months ended September 30, 2025 when compared to the same period in 2024.</w:t>
      </w:r>
    </w:p>
    <w:p>
      <w:pPr>
        <w:spacing w:after="0" w:line="1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Research and Development. Our research and development expenses increased $0.9 million, or 2.8%, during the nine months ended September 30, 2025 compared to the same period in 2024, primarily due to personnel and related cost increases of $1.6 million, primarily related to incentive compensation related to our annual short-term incentive compensation plan, partially offset by decreases of $0.4 million in operating costs and $0.3 million in professional services.</w:t>
      </w:r>
    </w:p>
    <w:p>
      <w:pPr>
        <w:spacing w:after="0" w:line="13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Our general and administrative expenses increased $3.6 million, or 7.3%, during the nine months ended September 30,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same period in 2024 primarily due to increases of $2.3 million in personnel and related costs, primarily related to the previously disclosed CEO transition that occurred during the nine months ended September 30, 2025 and incentive compensation related to our annual short-term incentive compensation plan, $1.6 million in administrative costs and $0.5 million in professional services, partially offset by decreases of $0.8 million in stock-based compensation.</w:t>
      </w:r>
    </w:p>
    <w:p>
      <w:pPr>
        <w:spacing w:after="0" w:line="13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Costs related to exit and disposal. </w:t>
      </w:r>
      <w:r>
        <w:rPr>
          <w:rFonts w:ascii="Times New Roman" w:cs="Times New Roman" w:eastAsia="Times New Roman" w:hAnsi="Times New Roman"/>
          <w:sz w:val="17"/>
          <w:szCs w:val="17"/>
          <w:color w:val="auto"/>
        </w:rPr>
        <w:t>Our decision to exit and close certain operations in Germany resulted in a $0.2 million expense related to the write-down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fixed assets and $0.1 million in professional services, partially offset by $0.1 million in personnel and related cost benefits during the nine months ended September 30, 2025. These items are the result of changes from the estimated amounts accrued in 2024 and the timing of employee separation payments. We had no costs related to exit and disposal activities during the nine months ended September 30, 2024.</w:t>
      </w:r>
    </w:p>
    <w:p>
      <w:pPr>
        <w:spacing w:after="0" w:line="1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i w:val="1"/>
          <w:iCs w:val="1"/>
          <w:color w:val="auto"/>
        </w:rPr>
        <w:t xml:space="preserve">Other loss, net. </w:t>
      </w:r>
      <w:r>
        <w:rPr>
          <w:rFonts w:ascii="Times New Roman" w:cs="Times New Roman" w:eastAsia="Times New Roman" w:hAnsi="Times New Roman"/>
          <w:sz w:val="17"/>
          <w:szCs w:val="17"/>
          <w:color w:val="auto"/>
        </w:rPr>
        <w:t>We recognized other income, net of $4.6 million for the nine months ended September 30, 2025, an increase of $1.1 million compared to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net of $3.5 million for the nine months ended September 30, 2024. Other income, net for the nine months ended September 30, 2025 primarily consisted of $3.5 million in interest income on investments, $0.6 million of other income and $0.5 million of foreign currency gains. Other income, net for the nine months ended September 30, 2024 primarily consisted of $3.9 million in interest income on investments and other income, partially offset by a $0.4 million of foreign currency losses.</w:t>
      </w:r>
    </w:p>
    <w:p>
      <w:pPr>
        <w:spacing w:after="0" w:line="13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Our effective tax rate of 33.5% for the nine months ended September 30, 2025 increased 1.6% compared to 31.9% for the same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 in 2024. The increase in the effective tax rate is primarily due to an increase in losses in jurisdictions that are not eligible for tax benefits due to valuation allowances. Our income tax provision of $7.7 million for the nine months ended September 30, 2025 decreased $0.3 million compared to our income tax provision of $8.0 million for the nine months ended September 30, 2024.</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Capital Resources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cash flows during the nine months ended September 30,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1367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29"/>
        </w:trPr>
        <w:tc>
          <w:tcPr>
            <w:tcW w:w="8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Pr>
          <w:p>
            <w:pPr>
              <w:spacing w:after="0"/>
              <w:rPr>
                <w:sz w:val="19"/>
                <w:szCs w:val="19"/>
                <w:color w:val="auto"/>
              </w:rPr>
            </w:pPr>
          </w:p>
        </w:tc>
      </w:tr>
      <w:tr>
        <w:trPr>
          <w:trHeight w:val="26"/>
        </w:trPr>
        <w:tc>
          <w:tcPr>
            <w:tcW w:w="8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8"/>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(dollars in thousands)</w:t>
            </w:r>
          </w:p>
        </w:tc>
        <w:tc>
          <w:tcPr>
            <w:tcW w:w="340" w:type="dxa"/>
            <w:vAlign w:val="bottom"/>
          </w:tcPr>
          <w:p>
            <w:pPr>
              <w:spacing w:after="0"/>
              <w:rPr>
                <w:sz w:val="19"/>
                <w:szCs w:val="19"/>
                <w:color w:val="auto"/>
              </w:rPr>
            </w:pPr>
          </w:p>
        </w:tc>
        <w:tc>
          <w:tcPr>
            <w:tcW w:w="11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4"/>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4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58,053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60,535</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(10,683)</w:t>
            </w:r>
          </w:p>
        </w:tc>
      </w:tr>
      <w:tr>
        <w:trPr>
          <w:trHeight w:val="26"/>
        </w:trPr>
        <w:tc>
          <w:tcPr>
            <w:tcW w:w="8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1"/>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(46,004)</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6"/>
        </w:trPr>
        <w:tc>
          <w:tcPr>
            <w:tcW w:w="8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9"/>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15,351</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4,083</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03"/>
        </w:trPr>
        <w:tc>
          <w:tcPr>
            <w:tcW w:w="8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Sources of Liquidity</w:t>
      </w:r>
    </w:p>
    <w:p>
      <w:pPr>
        <w:spacing w:after="0" w:line="19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Historically, we have primarily financed our operations and capital expenditures through cash flow from operations. We had cash and cash equivalents of $104.4 million as of September 30, 2025, an increase of $15.4 million from December 31, 2024. The increase in our cash was primarily due to cash provided by operating activities of $58.1 million, proceeds from call redemptions and maturities of marketable securities of $11.7 million, issuances of common stock from equity plans of $4.2 million and from the sale of equipment of $0.8 million, partially offset by $36.7 million in repurchases of common stock, $13.6 million for purchases of marketable securities, $6.8 million for purchases of property, equipment and other capital assets and $3.1 million of shares repurchased for tax obligations.</w:t>
      </w:r>
    </w:p>
    <w:p>
      <w:pPr>
        <w:spacing w:after="0" w:line="345"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We believe that our existing cash and cash equivalents together with cash generated from operations will be sufficient to meet our working capital and capital expenditure requirements for at least the next 12 months.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flows from operating activities were $58.1 million during the nine months ended September 30, 2025 and primarily consisted of net income of $15.2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adjusted for certain non-cash items, including depreciation and amortization of $25.7 million, stock-based compensation expense of $11.9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deferred taxes of $2.4 million, changes in operating assets and liabilities and other items totaling $2.4 million, and an impairments on a leased facility and fixed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assets of $0.4 million. Cash flows from operating activities were $60.5 million during the nine months ended September 30, 2024 and primarily consisted of net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of $17.0 million, adjusted for certain non-cash items, including depreciation and amortization of $27.0 million, stock-based compensation expense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$12.7 million and changes in operating assets and liabilities and other items totaling $9.6 million and a non-cash impairment of equipment of equipment of $0.3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which were partially offset by deferred taxes of $6.1 million.</w:t>
      </w:r>
    </w:p>
    <w:p>
      <w:pPr>
        <w:spacing w:after="0" w:line="16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color w:val="auto"/>
        </w:rPr>
        <w:t>Cash flows from operating activities decreased $2.5 million during the nine months ended September 30, 2025 compared to the same period in 2024, primarily due to changes in operating assets and liabilities and other items totaling $7.3 million, decreases in net income of $1.8 million, decreases in depreciation and amortization of $1.3 million, and decreases in stock-based compensation of $0.8 million, which were partially offset by increases in deferred taxes of $8.5 million and other property and equipment adjustments of $0.2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99"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was $7.8 million during the nine months ended September 30, 2025, consisting of $6.0 million for net purchases of property, equipment and other capital assets and $1.8 million of purchases of marketable securities, net of proceeds from call redemptions and maturities.</w:t>
      </w:r>
    </w:p>
    <w:p>
      <w:pPr>
        <w:spacing w:after="0" w:line="108"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Cash used in investing activities was $10.7 million during the nine months ended September 30, 2024, consisting of $8.3 million for net purchases of property, equipment and other capital assets and $2.4 million of purchases of marketable securities, net of proceeds from call redemptions and maturities.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99"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Cash used in financing activities was $35.9 million during the nine months ended September 30, 2025, consisting of $36.7 million in repurchases of common stock, $3.1 million in purchases of shares withheld for tax obligations associated with equity transactions and $0.2 million for repayments of finance lease obligations, which were partially offset by $4.2 million in proceeds related to equity plans.</w:t>
      </w:r>
    </w:p>
    <w:p>
      <w:pPr>
        <w:spacing w:after="0" w:line="123"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Cash used in financing activities was $46.0 million during the nine months ended September 30, 2024, consisting of $46.0 million in repurchases of common stock, $1.9 million in purchases of shares withheld for tax obligations associated with equity transactions and $0.2 million for repayments of finance lease obligations, which were partially offset by $2.1 million in proceeds from issuance of common stock from equity plans.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9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7"/>
          <w:szCs w:val="17"/>
          <w:color w:val="auto"/>
        </w:rPr>
        <w:t>We have adopted various accounting policies to prepare the Consolidated Financial Statements in accordance with accounting principles generally accepted in the United States of America (U.S. GAAP). The preparation of these financial statements requires us to make estimates, judgements and assumptions. Our significant accounting policies and estimates are disclosed in Note 2 to the Consolidated Financial Statements included Part II, Item 8 in our Annual Report on Form 10-K for the year ended December 31, 2024. There were no material changes to our critical accounting policies and estimates during the nine months ended September 30,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86"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For information on recent accounting pronouncements, see Note 2 to the Consolidated Financial Statements appearing in Part I, Item 1 of this Quarterly Report on Form 10-Q.</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18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As a result of our foreign operations, we have revenue, expenses, assets and liabilities that are denominated in foreign currencies. We generate revenue and incur production and sourcing costs and operating expenses in British Pounds and Euros.</w:t>
      </w:r>
    </w:p>
    <w:p>
      <w:pPr>
        <w:spacing w:after="0" w:line="12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Our operating results and cash flows are adversely impacted when the United States Dollar appreciates relative to foreign currencies. Additionally, our operating results and cash flows are adversely impacted when the British Pound appreciates relative to the Euro. As we expand internationally, our results of operations and cash flows will become increasingly subject to changes in foreign currency exchange rates.</w:t>
      </w:r>
    </w:p>
    <w:p>
      <w:pPr>
        <w:spacing w:after="0" w:line="12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We have not used forward contracts or currency borrowings to hedge our exposure to foreign currency risk. Foreign currency risk can be assessed by estimating the change in results of operations or financial position resulting from a hypothetical 10% adverse change in foreign exchange rates. We believe such a change would generally not have a material impact on our financial position, but could have a material impact on our results of operations. We recognized foreign currency gains of less than $0.1 million and foreign currency losses of $0.1 million for the three months ended September 30, 2025 and 2024, respectively. We recognized foreign currency gains of $0.5 million and foreign currency losses of $0.4 million for the nine months ended September 30, 2025 and 2024, respectively. The changes in foreign exchange rates had a favorable impact on consolidated revenue of $1.2 million for the three months ended September 30, 2025 and a favorable impact on consolidated revenue of $2.1 million for the nine months ended September 30, 2025 compared to the same period in 2024.</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86"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 13a-15(e) under the Securities Exchange Act of 1934, as amended (the Exchange Act)) as of the end of the period covered by this report. Based upon that evaluation, the Chief Executive Officer and Chief Financial Officer have concluded that, as of the end of the period covered by this Quarterly Report on Form 10-Q, our disclosure controls and procedures are effective and provide reasonable assurance that information required to be disclosed by us in the reports that we file or submit under the Exchange Act is recorded, processed, summarized and reported accurately and within the time frames specified in the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780"/>
        <w:spacing w:after="0" w:line="295" w:lineRule="auto"/>
        <w:rPr>
          <w:sz w:val="20"/>
          <w:szCs w:val="20"/>
          <w:color w:val="auto"/>
        </w:rPr>
      </w:pPr>
      <w:r>
        <w:rPr>
          <w:rFonts w:ascii="Times New Roman" w:cs="Times New Roman" w:eastAsia="Times New Roman" w:hAnsi="Times New Roman"/>
          <w:sz w:val="17"/>
          <w:szCs w:val="17"/>
          <w:color w:val="auto"/>
        </w:rPr>
        <w:t>SEC’s rules and forms and accumulated and communicated to our management, including our Chief Executive Officer and Chief Financial Officer, as appropriate to allow timely decisions regarding required disclosure.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6"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 13a-15(f) under the Exchange Act) during the period covered by this report that have materially affected, or are reasonably likely to materially affect, our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From time to time, we are subject to various legal proceedings and claims that arise in the ordinary course of our business activities. Although the results of litigation and claims cannot be predicted with certainty, as of the date of these financial statements, we do not believe we are party to any litigation the outcome of which, if determined adversely to us, would individually or in the aggregate be reasonably expected to have a material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9"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Part I, Item 1A. “Risk Factors” in our Annual Report on Form 10-K for the year ended December 31, 2024 includes a discussion of our risk factors. There have been no material changes from the risk factors described in our Annual Report on Form 10-K.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8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On February 4, 2025, our board of directors authorized a share repurchase program (the February 2025 Program). The February 2025 Program is open-ended and authorizes repurchases of shares of our common stock from time to time on the open market or in privately negotiated purchases, with a total stock repurchase authorized of up to $100 million. We have $63.3 million remaining under this authorization. The February 2025 Program does not obligate us to acquire any particular amount of shares of our common stock and remains in effect until the total authorized amount is expended or until further action by our board of directors. The actual timing, manner, number and value of shares repurchased under the February 2025 Program will be determined by our management in its discretion and will depend on several factors, including the market price of the Company's common stock, general market and economic conditions, applicable requirements, and other considerations.</w:t>
      </w:r>
    </w:p>
    <w:p>
      <w:pPr>
        <w:spacing w:after="0" w:line="147"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7"/>
          <w:szCs w:val="17"/>
          <w:color w:val="auto"/>
        </w:rPr>
        <w:t>During the three months ended September 30, 2025, we repurchased 258,454 shares of our common stock at a total purchase price of $12.8 million under this program. Common stock repurchase activity through September 30, 2025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Maximum Dollar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 of Shares that</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May Yet Be</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Shares Purchased as</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Purchased Under</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Part of Publicly</w:t>
            </w:r>
          </w:p>
        </w:tc>
        <w:tc>
          <w:tcPr>
            <w:tcW w:w="20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the Plans</w:t>
            </w:r>
          </w:p>
        </w:tc>
      </w:tr>
      <w:tr>
        <w:trPr>
          <w:trHeight w:val="209"/>
        </w:trPr>
        <w:tc>
          <w:tcPr>
            <w:tcW w:w="4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Announced Plans or</w:t>
            </w:r>
          </w:p>
        </w:tc>
        <w:tc>
          <w:tcPr>
            <w:tcW w:w="200" w:type="dxa"/>
            <w:vAlign w:val="bottom"/>
          </w:tcPr>
          <w:p>
            <w:pPr>
              <w:spacing w:after="0"/>
              <w:rPr>
                <w:sz w:val="18"/>
                <w:szCs w:val="18"/>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or Programs (in</w:t>
            </w:r>
          </w:p>
        </w:tc>
      </w:tr>
      <w:tr>
        <w:trPr>
          <w:trHeight w:val="229"/>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26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c>
          <w:tcPr>
            <w:tcW w:w="200" w:type="dxa"/>
            <w:vAlign w:val="bottom"/>
          </w:tcPr>
          <w:p>
            <w:pPr>
              <w:spacing w:after="0"/>
              <w:rPr>
                <w:sz w:val="19"/>
                <w:szCs w:val="19"/>
                <w:color w:val="auto"/>
              </w:rPr>
            </w:pPr>
          </w:p>
        </w:tc>
        <w:tc>
          <w:tcPr>
            <w:tcW w:w="14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thousands)</w:t>
            </w:r>
          </w:p>
        </w:tc>
      </w:tr>
      <w:tr>
        <w:trPr>
          <w:trHeight w:val="26"/>
        </w:trPr>
        <w:tc>
          <w:tcPr>
            <w:tcW w:w="4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34"/>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2025 through July 31, 2025</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76,035</w:t>
            </w:r>
          </w:p>
        </w:tc>
      </w:tr>
      <w:tr>
        <w:trPr>
          <w:trHeight w:val="235"/>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August 1, 2025 through August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174,571</w:t>
            </w:r>
          </w:p>
        </w:tc>
        <w:tc>
          <w:tcPr>
            <w:tcW w:w="10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49.12</w:t>
            </w:r>
          </w:p>
        </w:tc>
        <w:tc>
          <w:tcPr>
            <w:tcW w:w="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174,571</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67,460</w:t>
            </w:r>
          </w:p>
        </w:tc>
      </w:tr>
      <w:tr>
        <w:trPr>
          <w:trHeight w:val="26"/>
        </w:trPr>
        <w:tc>
          <w:tcPr>
            <w:tcW w:w="4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2025 through September 30, 2025</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49.51</w:t>
            </w:r>
          </w:p>
        </w:tc>
        <w:tc>
          <w:tcPr>
            <w:tcW w:w="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83,883</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63,307</w:t>
            </w:r>
          </w:p>
        </w:tc>
      </w:tr>
      <w:tr>
        <w:trPr>
          <w:trHeight w:val="254"/>
        </w:trPr>
        <w:tc>
          <w:tcPr>
            <w:tcW w:w="4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258,454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49.25</w:t>
            </w:r>
          </w:p>
        </w:tc>
        <w:tc>
          <w:tcPr>
            <w:tcW w:w="8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258,454</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63,307</w:t>
            </w:r>
          </w:p>
        </w:tc>
      </w:tr>
      <w:tr>
        <w:trPr>
          <w:trHeight w:val="20"/>
        </w:trPr>
        <w:tc>
          <w:tcPr>
            <w:tcW w:w="4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matters to disclose.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7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On August 15, 2025, Michael R. Kenison, Chief Operations Officer of the Company, entered into a 10b5-1 sales plan intended to satisfy the affirmative defense of Rule 10b5-1(c) under the Exchange Act. This 10b5-1 sales plan provides for (1) the sale of up to 10,681 shares of common stock related to the exercise of option awards granted to Mr. Kenison and (2) the sale of up to 7,500 shares of common stock related to vested restricted stock units granted to Mr. Kenison. This 10b5-1 sales plan will become effective on November 14, 2025 and will expire on June 12, 2026, or earlier completion of all authorized transactions under the plan.</w:t>
      </w:r>
    </w:p>
    <w:p>
      <w:pPr>
        <w:spacing w:after="0" w:line="33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On September 8, 2025, Oleg Ryaboy, Chief Technology Officer of the Company until October 3, 2025, entered into a 10b5-1 sales plan intended to satisfy the affirmative defense of Rule 10b5-1(c) under the Exchange Act. This 10b5-1 sales plan provides for (1) the sale of up to 3,048 shares of common stock related to the exercise of option awards granted to Mr. Ryaboy, (2) the sale of up to 4,200 shares of common stock related to vested restricted stock units granted to Mr. Ryaboy and (3) the sale of shares of common stock related to the future vesting of up to 5,658 restricted stock units held by Mr. Ryaboy. The exact number of shares of common stock that will be sold under this 10b5-1 sales plan related to vesting of restricted stock units is not yet determinable because an unknown number of shares will be sold to satisfy tax withholding obligations in connection with the vesting of the restricted stock units covered by the plan. This 10b5-1 sales plan will become effective on December 8, 2025 and will expire on August 15, 2026, or earlier completion of all authorized transactions under the plan.</w:t>
      </w:r>
    </w:p>
    <w:p>
      <w:pPr>
        <w:spacing w:after="0" w:line="134"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7"/>
          <w:szCs w:val="17"/>
          <w:color w:val="auto"/>
        </w:rPr>
        <w:t>During the three months ended September 30, 2025, no other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are filed or furnished, as applicable, as part of this Quarterly Report on Form 10-Q: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3"/>
        </w:trPr>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50"/>
        </w:trPr>
        <w:tc>
          <w:tcPr>
            <w:tcW w:w="11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gridSpan w:val="11"/>
          </w:tcPr>
          <w:p>
            <w:pPr>
              <w:spacing w:after="0" w:line="150"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Third Amended and Restated Articles of Incorporation of Proto Labs, Inc. (incorporated by reference to Exhibit 3.2 to the Company’s Registration</w:t>
              </w:r>
            </w:hyperlink>
          </w:p>
        </w:tc>
      </w:tr>
      <w:tr>
        <w:trPr>
          <w:trHeight w:val="137"/>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tcBorders>
              <w:top w:val="single" w:sz="8" w:color="0000EE"/>
              <w:bottom w:val="single" w:sz="8" w:color="0000EE"/>
            </w:tcBorders>
            <w:gridSpan w:val="3"/>
          </w:tcPr>
          <w:p>
            <w:pPr>
              <w:spacing w:after="0" w:line="137" w:lineRule="exact"/>
              <w:rPr>
                <w:rFonts w:ascii="Times New Roman" w:cs="Times New Roman" w:eastAsia="Times New Roman" w:hAnsi="Times New Roman"/>
                <w:sz w:val="14"/>
                <w:szCs w:val="14"/>
                <w:color w:val="0000EE"/>
                <w:w w:val="98"/>
              </w:rPr>
            </w:pPr>
            <w:hyperlink r:id="rId77">
              <w:r>
                <w:rPr>
                  <w:rFonts w:ascii="Times New Roman" w:cs="Times New Roman" w:eastAsia="Times New Roman" w:hAnsi="Times New Roman"/>
                  <w:sz w:val="14"/>
                  <w:szCs w:val="14"/>
                  <w:color w:val="0000EE"/>
                  <w:w w:val="98"/>
                </w:rPr>
                <w:t>Statement on Form S-1/A, filed on February 13, 2012).</w:t>
              </w:r>
            </w:hyperlink>
          </w:p>
        </w:tc>
        <w:tc>
          <w:tcPr>
            <w:tcW w:w="5080" w:type="dxa"/>
            <w:vAlign w:val="bottom"/>
            <w:tcBorders>
              <w:top w:val="single" w:sz="8" w:color="0000EE"/>
            </w:tcBorders>
            <w:gridSpan w:val="5"/>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2"/>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gridSpan w:val="11"/>
          </w:tcPr>
          <w:p>
            <w:pPr>
              <w:spacing w:after="0"/>
              <w:rPr>
                <w:rFonts w:ascii="Times New Roman" w:cs="Times New Roman" w:eastAsia="Times New Roman" w:hAnsi="Times New Roman"/>
                <w:sz w:val="14"/>
                <w:szCs w:val="14"/>
                <w:color w:val="0000EE"/>
                <w:w w:val="99"/>
              </w:rPr>
            </w:pPr>
            <w:hyperlink r:id="rId78">
              <w:r>
                <w:rPr>
                  <w:rFonts w:ascii="Times New Roman" w:cs="Times New Roman" w:eastAsia="Times New Roman" w:hAnsi="Times New Roman"/>
                  <w:sz w:val="14"/>
                  <w:szCs w:val="14"/>
                  <w:color w:val="0000EE"/>
                  <w:w w:val="99"/>
                </w:rPr>
                <w:t>Articles of Amendment to Third Amended and Restated Articles of Incorporation of Proto Labs, Inc. dated May 20, 2015 (incorporated by reference to</w:t>
              </w:r>
            </w:hyperlink>
          </w:p>
        </w:tc>
      </w:tr>
      <w:tr>
        <w:trPr>
          <w:trHeight w:val="137"/>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20" w:type="dxa"/>
            <w:vAlign w:val="bottom"/>
            <w:tcBorders>
              <w:top w:val="single" w:sz="8" w:color="0000EE"/>
            </w:tcBorders>
            <w:gridSpan w:val="10"/>
          </w:tcPr>
          <w:p>
            <w:pPr>
              <w:spacing w:after="0" w:line="137"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Exhibit 3.1 to the Company's Form 8-K, filed with the Commission on May 21, 2015).</w:t>
              </w:r>
            </w:hyperlink>
          </w:p>
        </w:tc>
        <w:tc>
          <w:tcPr>
            <w:tcW w:w="60" w:type="dxa"/>
            <w:vAlign w:val="bottom"/>
          </w:tcPr>
          <w:p>
            <w:pPr>
              <w:spacing w:after="0"/>
              <w:rPr>
                <w:sz w:val="11"/>
                <w:szCs w:val="1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2"/>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80" w:type="dxa"/>
            <w:vAlign w:val="bottom"/>
            <w:gridSpan w:val="11"/>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Third Amended and Restated By-Laws of Proto Labs, Inc., as amended through November 15, 2022 (incorporated by reference to Exhibit 3.2 to the</w:t>
              </w:r>
            </w:hyperlink>
          </w:p>
        </w:tc>
      </w:tr>
      <w:tr>
        <w:trPr>
          <w:trHeight w:val="137"/>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940" w:type="dxa"/>
            <w:vAlign w:val="bottom"/>
            <w:tcBorders>
              <w:top w:val="single" w:sz="8" w:color="0000EE"/>
              <w:bottom w:val="single" w:sz="8" w:color="0000EE"/>
            </w:tcBorders>
            <w:gridSpan w:val="2"/>
          </w:tcPr>
          <w:p>
            <w:pPr>
              <w:spacing w:after="0" w:line="137" w:lineRule="exact"/>
              <w:rPr>
                <w:rFonts w:ascii="Times New Roman" w:cs="Times New Roman" w:eastAsia="Times New Roman" w:hAnsi="Times New Roman"/>
                <w:sz w:val="14"/>
                <w:szCs w:val="14"/>
                <w:color w:val="0000EE"/>
                <w:w w:val="98"/>
              </w:rPr>
            </w:pPr>
            <w:hyperlink r:id="rId79">
              <w:r>
                <w:rPr>
                  <w:rFonts w:ascii="Times New Roman" w:cs="Times New Roman" w:eastAsia="Times New Roman" w:hAnsi="Times New Roman"/>
                  <w:sz w:val="14"/>
                  <w:szCs w:val="14"/>
                  <w:color w:val="0000EE"/>
                  <w:w w:val="98"/>
                </w:rPr>
                <w:t>Company's Form 8-K, filed on November 15, 2022).</w:t>
              </w:r>
            </w:hyperlink>
          </w:p>
        </w:tc>
        <w:tc>
          <w:tcPr>
            <w:tcW w:w="5300" w:type="dxa"/>
            <w:vAlign w:val="bottom"/>
            <w:tcBorders>
              <w:top w:val="single" w:sz="8" w:color="0000EE"/>
            </w:tcBorders>
            <w:gridSpan w:val="7"/>
          </w:tcPr>
          <w:p>
            <w:pPr>
              <w:spacing w:after="0"/>
              <w:rPr>
                <w:sz w:val="11"/>
                <w:szCs w:val="11"/>
                <w:color w:val="auto"/>
              </w:rPr>
            </w:pPr>
          </w:p>
        </w:tc>
        <w:tc>
          <w:tcPr>
            <w:tcW w:w="240" w:type="dxa"/>
            <w:vAlign w:val="bottom"/>
            <w:gridSpan w:val="2"/>
          </w:tcPr>
          <w:p>
            <w:pPr>
              <w:spacing w:after="0"/>
              <w:rPr>
                <w:sz w:val="11"/>
                <w:szCs w:val="11"/>
                <w:color w:val="auto"/>
              </w:rPr>
            </w:pPr>
          </w:p>
        </w:tc>
      </w:tr>
      <w:tr>
        <w:trPr>
          <w:trHeight w:val="202"/>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8"/>
              </w:rPr>
              <w:t>Form of Executive Severance Agreement*</w:t>
            </w:r>
          </w:p>
        </w:tc>
        <w:tc>
          <w:tcPr>
            <w:tcW w:w="6100" w:type="dxa"/>
            <w:vAlign w:val="bottom"/>
            <w:gridSpan w:val="10"/>
          </w:tcPr>
          <w:p>
            <w:pPr>
              <w:spacing w:after="0"/>
              <w:rPr>
                <w:sz w:val="17"/>
                <w:szCs w:val="17"/>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pursuant to Section 302 of the Sarbanes-Oxley Act*</w:t>
            </w: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4"/>
                <w:szCs w:val="14"/>
                <w:color w:val="0000EE"/>
                <w:w w:val="99"/>
              </w:rPr>
              <w:t>Certification of the Chief Financial Officer pursuant to Section 302 of the Sarbanes-Oxley Act*</w:t>
            </w:r>
          </w:p>
        </w:tc>
        <w:tc>
          <w:tcPr>
            <w:tcW w:w="3120" w:type="dxa"/>
            <w:vAlign w:val="bottom"/>
            <w:gridSpan w:val="5"/>
          </w:tcPr>
          <w:p>
            <w:pPr>
              <w:spacing w:after="0"/>
              <w:rPr>
                <w:sz w:val="16"/>
                <w:szCs w:val="16"/>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5"/>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r>
      <w:tr>
        <w:trPr>
          <w:trHeight w:val="18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Certification of the Chief Executive Officer and the Chief Financial Officer pursuant to Section 906 of the Sarbanes-Oxley Act**</w:t>
            </w:r>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40" w:type="dxa"/>
            <w:vAlign w:val="bottom"/>
            <w:gridSpan w:val="7"/>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r>
      <w:tr>
        <w:trPr>
          <w:trHeight w:val="193"/>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101.INS</w:t>
            </w:r>
          </w:p>
        </w:tc>
        <w:tc>
          <w:tcPr>
            <w:tcW w:w="20" w:type="dxa"/>
            <w:vAlign w:val="bottom"/>
          </w:tcPr>
          <w:p>
            <w:pPr>
              <w:spacing w:after="0"/>
              <w:rPr>
                <w:sz w:val="16"/>
                <w:szCs w:val="16"/>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 (the Instance Document does not appear in the Interactive Data File because its XBRL tags are embedded within the</w:t>
            </w:r>
          </w:p>
        </w:tc>
      </w:tr>
      <w:tr>
        <w:trPr>
          <w:trHeight w:val="182"/>
        </w:trPr>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101.CAL</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r>
      <w:tr>
        <w:trPr>
          <w:trHeight w:val="209"/>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101.DEF</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r>
      <w:tr>
        <w:trPr>
          <w:trHeight w:val="209"/>
        </w:trPr>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8"/>
              </w:rPr>
              <w:t>101.LAB</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r>
      <w:tr>
        <w:trPr>
          <w:trHeight w:val="209"/>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r>
      <w:tr>
        <w:trPr>
          <w:trHeight w:val="209"/>
        </w:trPr>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r>
    </w:tbl>
    <w:p>
      <w:pPr>
        <w:spacing w:after="0" w:line="1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*Filed herewith.</w:t>
      </w:r>
    </w:p>
    <w:p>
      <w:pPr>
        <w:spacing w:after="0" w:line="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3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99"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Proto Labs, Inc.</w:t>
      </w:r>
    </w:p>
    <w:p>
      <w:pPr>
        <w:spacing w:after="0" w:line="301"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October 31, 2025</w:t>
      </w:r>
      <w:r>
        <w:rPr>
          <w:sz w:val="20"/>
          <w:szCs w:val="20"/>
          <w:color w:val="auto"/>
        </w:rPr>
        <w:tab/>
      </w:r>
      <w:r>
        <w:rPr>
          <w:rFonts w:ascii="Times New Roman" w:cs="Times New Roman" w:eastAsia="Times New Roman" w:hAnsi="Times New Roman"/>
          <w:sz w:val="17"/>
          <w:szCs w:val="17"/>
          <w:color w:val="auto"/>
        </w:rPr>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Suresh Krishna</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94"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October 31, 2025</w:t>
      </w:r>
      <w:r>
        <w:rPr>
          <w:sz w:val="20"/>
          <w:szCs w:val="20"/>
          <w:color w:val="auto"/>
        </w:rPr>
        <w:tab/>
      </w:r>
      <w:r>
        <w:rPr>
          <w:rFonts w:ascii="Times New Roman" w:cs="Times New Roman" w:eastAsia="Times New Roman" w:hAnsi="Times New Roman"/>
          <w:sz w:val="17"/>
          <w:szCs w:val="17"/>
          <w:color w:val="auto"/>
        </w:rPr>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28575</wp:posOffset>
            </wp:positionV>
            <wp:extent cx="28879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887980" cy="8255"/>
                    </a:xfrm>
                    <a:prstGeom prst="rect">
                      <a:avLst/>
                    </a:prstGeom>
                    <a:noFill/>
                  </pic:spPr>
                </pic:pic>
              </a:graphicData>
            </a:graphic>
          </wp:anchor>
        </w:drawing>
      </w:r>
    </w:p>
    <w:p>
      <w:pPr>
        <w:spacing w:after="0" w:line="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(Duly Authorized Officer, Principal Financial Officer and</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840"/>
          </w:cols>
          <w:pgMar w:left="320" w:top="121" w:right="7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SEVERANCE AGREEMENT</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b w:val="1"/>
          <w:bCs w:val="1"/>
          <w:color w:val="auto"/>
        </w:rPr>
        <w:t>Severance Agreement</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is entered into as of ________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xml:space="preserve">”) by and between </w:t>
      </w:r>
      <w:r>
        <w:rPr>
          <w:rFonts w:ascii="Times New Roman" w:cs="Times New Roman" w:eastAsia="Times New Roman" w:hAnsi="Times New Roman"/>
          <w:sz w:val="21"/>
          <w:szCs w:val="21"/>
          <w:b w:val="1"/>
          <w:bCs w:val="1"/>
          <w:color w:val="auto"/>
        </w:rPr>
        <w:t>Proto</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Labs, Inc., </w:t>
      </w:r>
      <w:r>
        <w:rPr>
          <w:rFonts w:ascii="Times New Roman" w:cs="Times New Roman" w:eastAsia="Times New Roman" w:hAnsi="Times New Roman"/>
          <w:sz w:val="21"/>
          <w:szCs w:val="21"/>
          <w:color w:val="auto"/>
        </w:rPr>
        <w:t>a Minnesota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and ______________ (“</w:t>
      </w:r>
      <w:r>
        <w:rPr>
          <w:rFonts w:ascii="Times New Roman" w:cs="Times New Roman" w:eastAsia="Times New Roman" w:hAnsi="Times New Roman"/>
          <w:sz w:val="21"/>
          <w:szCs w:val="21"/>
          <w:b w:val="1"/>
          <w:bCs w:val="1"/>
          <w:i w:val="1"/>
          <w:iCs w:val="1"/>
          <w:color w:val="auto"/>
        </w:rPr>
        <w:t>Executive</w:t>
      </w:r>
      <w:r>
        <w:rPr>
          <w:rFonts w:ascii="Times New Roman" w:cs="Times New Roman" w:eastAsia="Times New Roman" w:hAnsi="Times New Roman"/>
          <w:sz w:val="21"/>
          <w:szCs w:val="21"/>
          <w:color w:val="auto"/>
        </w:rPr>
        <w:t>”), an individual residing in ___________.</w:t>
      </w:r>
      <w:r>
        <w:rPr>
          <w:rFonts w:ascii="Times New Roman" w:cs="Times New Roman" w:eastAsia="Times New Roman" w:hAnsi="Times New Roman"/>
          <w:sz w:val="27"/>
          <w:szCs w:val="27"/>
          <w:color w:val="auto"/>
          <w:vertAlign w:val="superscript"/>
        </w:rPr>
        <w:t>1</w:t>
      </w:r>
    </w:p>
    <w:p>
      <w:pPr>
        <w:spacing w:after="0" w:line="13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1"/>
          <w:szCs w:val="21"/>
          <w:b w:val="1"/>
          <w:bCs w:val="1"/>
          <w:color w:val="auto"/>
        </w:rPr>
        <w:t>Recitals</w:t>
      </w:r>
    </w:p>
    <w:p>
      <w:pPr>
        <w:spacing w:after="0" w:line="246" w:lineRule="exact"/>
        <w:rPr>
          <w:sz w:val="20"/>
          <w:szCs w:val="20"/>
          <w:color w:val="auto"/>
        </w:rPr>
      </w:pPr>
    </w:p>
    <w:p>
      <w:pPr>
        <w:jc w:val="both"/>
        <w:ind w:firstLine="632"/>
        <w:spacing w:after="0" w:line="270" w:lineRule="auto"/>
        <w:tabs>
          <w:tab w:leader="none" w:pos="110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is employed by the Company and is party to an Employee Confidentiality, Intellectual Property Assignment Agreement and Non-Solicitation Agreement, previously executed by Executive dated as of ____________ (the “</w:t>
      </w:r>
      <w:r>
        <w:rPr>
          <w:rFonts w:ascii="Times New Roman" w:cs="Times New Roman" w:eastAsia="Times New Roman" w:hAnsi="Times New Roman"/>
          <w:sz w:val="21"/>
          <w:szCs w:val="21"/>
          <w:b w:val="1"/>
          <w:bCs w:val="1"/>
          <w:i w:val="1"/>
          <w:iCs w:val="1"/>
          <w:color w:val="auto"/>
        </w:rPr>
        <w:t>Restrictive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Covenants Agreement</w:t>
      </w:r>
      <w:r>
        <w:rPr>
          <w:rFonts w:ascii="Times New Roman" w:cs="Times New Roman" w:eastAsia="Times New Roman" w:hAnsi="Times New Roman"/>
          <w:sz w:val="21"/>
          <w:szCs w:val="21"/>
          <w:color w:val="auto"/>
        </w:rPr>
        <w:t>”), attached as Exhibit A to this Agreement.</w:t>
      </w:r>
      <w:r>
        <w:rPr>
          <w:rFonts w:ascii="Times New Roman" w:cs="Times New Roman" w:eastAsia="Times New Roman" w:hAnsi="Times New Roman"/>
          <w:sz w:val="27"/>
          <w:szCs w:val="27"/>
          <w:color w:val="auto"/>
          <w:vertAlign w:val="superscript"/>
        </w:rPr>
        <w:t>2</w:t>
      </w:r>
    </w:p>
    <w:p>
      <w:pPr>
        <w:spacing w:after="0" w:line="61" w:lineRule="exact"/>
        <w:rPr>
          <w:rFonts w:ascii="Times New Roman" w:cs="Times New Roman" w:eastAsia="Times New Roman" w:hAnsi="Times New Roman"/>
          <w:sz w:val="21"/>
          <w:szCs w:val="21"/>
          <w:color w:val="auto"/>
        </w:rPr>
      </w:pPr>
    </w:p>
    <w:p>
      <w:pPr>
        <w:jc w:val="both"/>
        <w:ind w:firstLine="632"/>
        <w:spacing w:after="0" w:line="257" w:lineRule="auto"/>
        <w:tabs>
          <w:tab w:leader="none" w:pos="1062"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are or may become parties to Stock Option Agreements, Restricted Stock Unit Agreements and Performance Stock Unit Agreements (collectively, the “</w:t>
      </w:r>
      <w:r>
        <w:rPr>
          <w:rFonts w:ascii="Times New Roman" w:cs="Times New Roman" w:eastAsia="Times New Roman" w:hAnsi="Times New Roman"/>
          <w:sz w:val="21"/>
          <w:szCs w:val="21"/>
          <w:b w:val="1"/>
          <w:bCs w:val="1"/>
          <w:i w:val="1"/>
          <w:iCs w:val="1"/>
          <w:color w:val="auto"/>
        </w:rPr>
        <w:t>Award Agreements</w:t>
      </w:r>
      <w:r>
        <w:rPr>
          <w:rFonts w:ascii="Times New Roman" w:cs="Times New Roman" w:eastAsia="Times New Roman" w:hAnsi="Times New Roman"/>
          <w:sz w:val="21"/>
          <w:szCs w:val="21"/>
          <w:color w:val="auto"/>
        </w:rPr>
        <w:t>”), which provide Executive with options to purchase, or an opportunity to have vest, shares of the Company’s common stock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1"/>
          <w:szCs w:val="21"/>
          <w:color w:val="auto"/>
        </w:rPr>
        <w:t>”) pursuant to Award Agreements and the Company’s 2022 Long-Term Incentive Plan (as amended from time to time, and any other equity compensation plans of the Company pursuant to which equity awards are granted to Executive, the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firstLine="632"/>
        <w:spacing w:after="0" w:line="268" w:lineRule="auto"/>
        <w:tabs>
          <w:tab w:leader="none" w:pos="1183"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desirable and in the best interests of the Company and its shareholders to continue to obtain the benefits of Executive’s services and attention to the affairs of the Company and to identify certain severance payments and benefits in the event that Executive is separated from employment with the Company under certain identified circumstances.</w:t>
      </w:r>
    </w:p>
    <w:p>
      <w:pPr>
        <w:spacing w:after="0" w:line="158" w:lineRule="exact"/>
        <w:rPr>
          <w:rFonts w:ascii="Times New Roman" w:cs="Times New Roman" w:eastAsia="Times New Roman" w:hAnsi="Times New Roman"/>
          <w:sz w:val="21"/>
          <w:szCs w:val="21"/>
          <w:color w:val="auto"/>
        </w:rPr>
      </w:pPr>
    </w:p>
    <w:p>
      <w:pPr>
        <w:ind w:left="1040" w:hanging="408"/>
        <w:spacing w:after="0"/>
        <w:tabs>
          <w:tab w:leader="none" w:pos="104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reasons set forth above, the Company and Executive desire to enter into this Agreement.</w:t>
      </w:r>
    </w:p>
    <w:p>
      <w:pPr>
        <w:spacing w:after="0" w:line="238" w:lineRule="exact"/>
        <w:rPr>
          <w:sz w:val="20"/>
          <w:szCs w:val="20"/>
          <w:color w:val="auto"/>
        </w:rPr>
      </w:pPr>
    </w:p>
    <w:p>
      <w:pPr>
        <w:ind w:firstLine="627"/>
        <w:spacing w:after="0" w:line="281"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foregoing and the mutual covenants set forth herein, the Company and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intending to be legally bound, hereby agree as follows:</w:t>
      </w:r>
    </w:p>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b w:val="1"/>
          <w:bCs w:val="1"/>
          <w:color w:val="auto"/>
        </w:rPr>
        <w:t>Agreements</w:t>
      </w:r>
    </w:p>
    <w:p>
      <w:pPr>
        <w:spacing w:after="0" w:line="190" w:lineRule="exact"/>
        <w:rPr>
          <w:sz w:val="20"/>
          <w:szCs w:val="20"/>
          <w:color w:val="auto"/>
        </w:rPr>
      </w:pPr>
    </w:p>
    <w:p>
      <w:pPr>
        <w:jc w:val="both"/>
        <w:ind w:firstLine="632"/>
        <w:spacing w:after="0" w:line="217" w:lineRule="auto"/>
        <w:tabs>
          <w:tab w:leader="none" w:pos="1255" w:val="left"/>
        </w:tabs>
        <w:numPr>
          <w:ilvl w:val="0"/>
          <w:numId w:val="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 </w:t>
      </w:r>
      <w:r>
        <w:rPr>
          <w:rFonts w:ascii="Times New Roman" w:cs="Times New Roman" w:eastAsia="Times New Roman" w:hAnsi="Times New Roman"/>
          <w:sz w:val="21"/>
          <w:szCs w:val="21"/>
          <w:color w:val="auto"/>
        </w:rPr>
        <w:t>The term of this Agreement shall commence on the Effective Date and expire on [DATE] (the “</w:t>
      </w:r>
      <w:r>
        <w:rPr>
          <w:rFonts w:ascii="Times New Roman" w:cs="Times New Roman" w:eastAsia="Times New Roman" w:hAnsi="Times New Roman"/>
          <w:sz w:val="21"/>
          <w:szCs w:val="21"/>
          <w:b w:val="1"/>
          <w:bCs w:val="1"/>
          <w:i w:val="1"/>
          <w:iCs w:val="1"/>
          <w:color w:val="auto"/>
        </w:rPr>
        <w:t>Expiration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color w:val="auto"/>
        </w:rPr>
        <w:t>”), unless Executive’s employment is terminated at an earlier date in accordance with Section 4 hereof. The period between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Effective Date and the Expiration Date is referred to herein as the “</w:t>
      </w:r>
      <w:r>
        <w:rPr>
          <w:rFonts w:ascii="Times New Roman" w:cs="Times New Roman" w:eastAsia="Times New Roman" w:hAnsi="Times New Roman"/>
          <w:sz w:val="21"/>
          <w:szCs w:val="21"/>
          <w:b w:val="1"/>
          <w:bCs w:val="1"/>
          <w:i w:val="1"/>
          <w:iCs w:val="1"/>
          <w:color w:val="auto"/>
        </w:rPr>
        <w:t>Initial Term</w:t>
      </w:r>
      <w:r>
        <w:rPr>
          <w:rFonts w:ascii="Times New Roman" w:cs="Times New Roman" w:eastAsia="Times New Roman" w:hAnsi="Times New Roman"/>
          <w:sz w:val="21"/>
          <w:szCs w:val="21"/>
          <w:color w:val="auto"/>
        </w:rPr>
        <w:t>.” Effective as of the Expiration Date and each successive one year anniversary of the Effective Date (each an “</w:t>
      </w:r>
      <w:r>
        <w:rPr>
          <w:rFonts w:ascii="Times New Roman" w:cs="Times New Roman" w:eastAsia="Times New Roman" w:hAnsi="Times New Roman"/>
          <w:sz w:val="21"/>
          <w:szCs w:val="21"/>
          <w:b w:val="1"/>
          <w:bCs w:val="1"/>
          <w:i w:val="1"/>
          <w:iCs w:val="1"/>
          <w:color w:val="auto"/>
        </w:rPr>
        <w:t>Anniversary Date</w:t>
      </w:r>
      <w:r>
        <w:rPr>
          <w:rFonts w:ascii="Times New Roman" w:cs="Times New Roman" w:eastAsia="Times New Roman" w:hAnsi="Times New Roman"/>
          <w:sz w:val="21"/>
          <w:szCs w:val="21"/>
          <w:color w:val="auto"/>
        </w:rPr>
        <w:t>”), the term shall be automatically extended until the subsequent Anniversary Date (each a “</w:t>
      </w:r>
      <w:r>
        <w:rPr>
          <w:rFonts w:ascii="Times New Roman" w:cs="Times New Roman" w:eastAsia="Times New Roman" w:hAnsi="Times New Roman"/>
          <w:sz w:val="21"/>
          <w:szCs w:val="21"/>
          <w:b w:val="1"/>
          <w:bCs w:val="1"/>
          <w:i w:val="1"/>
          <w:iCs w:val="1"/>
          <w:color w:val="auto"/>
        </w:rPr>
        <w:t>Renewal Term</w:t>
      </w:r>
      <w:r>
        <w:rPr>
          <w:rFonts w:ascii="Times New Roman" w:cs="Times New Roman" w:eastAsia="Times New Roman" w:hAnsi="Times New Roman"/>
          <w:sz w:val="21"/>
          <w:szCs w:val="21"/>
          <w:color w:val="auto"/>
        </w:rPr>
        <w:t>”) unless Executive gives written notice of non-renewal to the Company at least sixty (60) days prior to the Anniversary Date on which this Agreement would otherwise be automatically extended that Executive elects not to extend the term. The Initial Term,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15932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593215" cy="8255"/>
                    </a:xfrm>
                    <a:prstGeom prst="rect">
                      <a:avLst/>
                    </a:prstGeom>
                    <a:noFill/>
                  </pic:spPr>
                </pic:pic>
              </a:graphicData>
            </a:graphic>
          </wp:anchor>
        </w:drawing>
      </w:r>
    </w:p>
    <w:p>
      <w:pPr>
        <w:spacing w:after="0" w:line="255" w:lineRule="exact"/>
        <w:rPr>
          <w:sz w:val="20"/>
          <w:szCs w:val="20"/>
          <w:color w:val="auto"/>
        </w:rPr>
      </w:pPr>
    </w:p>
    <w:p>
      <w:pPr>
        <w:ind w:right="400" w:firstLine="5"/>
        <w:spacing w:after="0" w:line="222" w:lineRule="auto"/>
        <w:tabs>
          <w:tab w:leader="none" w:pos="274"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For executives located outside of Minnesota, consider whether any state-specific modifications may be required or recommended based on then-current applicable state and local laws.</w:t>
      </w:r>
    </w:p>
    <w:p>
      <w:pPr>
        <w:spacing w:after="0" w:line="2" w:lineRule="exact"/>
        <w:rPr>
          <w:sz w:val="20"/>
          <w:szCs w:val="20"/>
          <w:color w:val="auto"/>
        </w:rPr>
      </w:pPr>
    </w:p>
    <w:p>
      <w:pPr>
        <w:ind w:right="100" w:firstLine="5"/>
        <w:spacing w:after="0" w:line="222" w:lineRule="auto"/>
        <w:tabs>
          <w:tab w:leader="none" w:pos="274"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For executives located outside of Minnesota and in a state that permits employee non-competition covenants, add references to Employee Non-Competition Agreement and attach it as Exhibit B.</w:t>
      </w:r>
    </w:p>
    <w:p>
      <w:pPr>
        <w:sectPr>
          <w:pgSz w:w="11900" w:h="16838" w:orient="portrait"/>
          <w:cols w:equalWidth="0" w:num="1">
            <w:col w:w="11240"/>
          </w:cols>
          <w:pgMar w:left="320" w:top="121" w:right="339" w:bottom="1440" w:gutter="0" w:footer="0" w:header="0"/>
        </w:sectPr>
      </w:pPr>
    </w:p>
    <w:bookmarkStart w:id="35" w:name="page36"/>
    <w:bookmarkEnd w:id="35"/>
    <w:p>
      <w:pPr>
        <w:jc w:val="both"/>
        <w:spacing w:after="0" w:line="230" w:lineRule="auto"/>
        <w:rPr>
          <w:sz w:val="20"/>
          <w:szCs w:val="20"/>
          <w:color w:val="auto"/>
        </w:rPr>
      </w:pPr>
      <w:r>
        <w:rPr>
          <w:rFonts w:ascii="Times New Roman" w:cs="Times New Roman" w:eastAsia="Times New Roman" w:hAnsi="Times New Roman"/>
          <w:sz w:val="21"/>
          <w:szCs w:val="21"/>
          <w:color w:val="auto"/>
        </w:rPr>
        <w:t>with any Renewal Terms, is the “</w:t>
      </w:r>
      <w:r>
        <w:rPr>
          <w:rFonts w:ascii="Times New Roman" w:cs="Times New Roman" w:eastAsia="Times New Roman" w:hAnsi="Times New Roman"/>
          <w:sz w:val="21"/>
          <w:szCs w:val="21"/>
          <w:b w:val="1"/>
          <w:bCs w:val="1"/>
          <w:i w:val="1"/>
          <w:iCs w:val="1"/>
          <w:color w:val="auto"/>
        </w:rPr>
        <w:t>Term</w:t>
      </w:r>
      <w:r>
        <w:rPr>
          <w:rFonts w:ascii="Times New Roman" w:cs="Times New Roman" w:eastAsia="Times New Roman" w:hAnsi="Times New Roman"/>
          <w:sz w:val="21"/>
          <w:szCs w:val="21"/>
          <w:color w:val="auto"/>
        </w:rPr>
        <w:t>.” If Executive remains employed by the Company after the Term, then Executive shall no longer be entitled to any severance payments or benefits under this Agreement and any severance rights Executive may have shall be according to the terms and conditions established by the Company from time to time.</w:t>
      </w:r>
    </w:p>
    <w:p>
      <w:pPr>
        <w:spacing w:after="0" w:line="142" w:lineRule="exact"/>
        <w:rPr>
          <w:sz w:val="20"/>
          <w:szCs w:val="20"/>
          <w:color w:val="auto"/>
        </w:rPr>
      </w:pPr>
    </w:p>
    <w:p>
      <w:pPr>
        <w:jc w:val="both"/>
        <w:ind w:firstLine="632"/>
        <w:spacing w:after="0" w:line="224" w:lineRule="auto"/>
        <w:tabs>
          <w:tab w:leader="none" w:pos="1255"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At Will Employment. </w:t>
      </w:r>
      <w:r>
        <w:rPr>
          <w:rFonts w:ascii="Times New Roman" w:cs="Times New Roman" w:eastAsia="Times New Roman" w:hAnsi="Times New Roman"/>
          <w:sz w:val="21"/>
          <w:szCs w:val="21"/>
          <w:color w:val="auto"/>
        </w:rPr>
        <w:t>Executive’s employment with the Company shall be at will and Executive’s employment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unilaterally terminated by either party at any time for any reason, subject to the terms of Sections 4 and 5 of this Agreement. The effective date of Executive’s termination of employment with the Company and its affiliates is referred to herein as the “</w:t>
      </w:r>
      <w:r>
        <w:rPr>
          <w:rFonts w:ascii="Times New Roman" w:cs="Times New Roman" w:eastAsia="Times New Roman" w:hAnsi="Times New Roman"/>
          <w:sz w:val="21"/>
          <w:szCs w:val="21"/>
          <w:b w:val="1"/>
          <w:bCs w:val="1"/>
          <w:i w:val="1"/>
          <w:iCs w:val="1"/>
          <w:color w:val="auto"/>
        </w:rPr>
        <w:t>Termination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color w:val="auto"/>
        </w:rPr>
        <w:t>.”</w:t>
      </w:r>
    </w:p>
    <w:p>
      <w:pPr>
        <w:spacing w:after="0" w:line="143" w:lineRule="exact"/>
        <w:rPr>
          <w:rFonts w:ascii="Times New Roman" w:cs="Times New Roman" w:eastAsia="Times New Roman" w:hAnsi="Times New Roman"/>
          <w:sz w:val="21"/>
          <w:szCs w:val="21"/>
          <w:b w:val="1"/>
          <w:bCs w:val="1"/>
          <w:color w:val="auto"/>
        </w:rPr>
      </w:pPr>
    </w:p>
    <w:p>
      <w:pPr>
        <w:jc w:val="both"/>
        <w:ind w:firstLine="632"/>
        <w:spacing w:after="0" w:line="224" w:lineRule="auto"/>
        <w:tabs>
          <w:tab w:leader="none" w:pos="1255"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Restrictive Covenants Agreement. </w:t>
      </w:r>
      <w:r>
        <w:rPr>
          <w:rFonts w:ascii="Times New Roman" w:cs="Times New Roman" w:eastAsia="Times New Roman" w:hAnsi="Times New Roman"/>
          <w:sz w:val="21"/>
          <w:szCs w:val="21"/>
          <w:color w:val="auto"/>
        </w:rPr>
        <w:t>Executive acknowledges entering into the Restrictive Covenants Agreement as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condition of Executive’s employment with the Company or otherwise in exchange for valid and valuable consideration and hereby acknowledges and confirms Executive’s commitments and obligations under the Restrictive Covenants Agreement. Nothing in this Agreement is intended to modify, amend, cancel or supersede the Restrictive Covenants Agreement in any manner.</w:t>
      </w:r>
    </w:p>
    <w:p>
      <w:pPr>
        <w:spacing w:after="0" w:line="143" w:lineRule="exact"/>
        <w:rPr>
          <w:rFonts w:ascii="Times New Roman" w:cs="Times New Roman" w:eastAsia="Times New Roman" w:hAnsi="Times New Roman"/>
          <w:sz w:val="21"/>
          <w:szCs w:val="21"/>
          <w:b w:val="1"/>
          <w:bCs w:val="1"/>
          <w:color w:val="auto"/>
        </w:rPr>
      </w:pPr>
    </w:p>
    <w:p>
      <w:pPr>
        <w:ind w:left="1260" w:hanging="628"/>
        <w:spacing w:after="0"/>
        <w:tabs>
          <w:tab w:leader="none" w:pos="126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Termination.</w:t>
      </w:r>
    </w:p>
    <w:p>
      <w:pPr>
        <w:spacing w:after="0" w:line="176" w:lineRule="exact"/>
        <w:rPr>
          <w:rFonts w:ascii="Times New Roman" w:cs="Times New Roman" w:eastAsia="Times New Roman" w:hAnsi="Times New Roman"/>
          <w:sz w:val="21"/>
          <w:szCs w:val="21"/>
          <w:b w:val="1"/>
          <w:bCs w:val="1"/>
          <w:color w:val="auto"/>
        </w:rPr>
      </w:pPr>
    </w:p>
    <w:p>
      <w:pPr>
        <w:jc w:val="both"/>
        <w:ind w:firstLine="1259"/>
        <w:spacing w:after="0" w:line="213" w:lineRule="auto"/>
        <w:tabs>
          <w:tab w:leader="none" w:pos="1876" w:val="left"/>
        </w:tabs>
        <w:numPr>
          <w:ilvl w:val="1"/>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Termination of Employment. </w:t>
      </w:r>
      <w:r>
        <w:rPr>
          <w:rFonts w:ascii="Times New Roman" w:cs="Times New Roman" w:eastAsia="Times New Roman" w:hAnsi="Times New Roman"/>
          <w:sz w:val="21"/>
          <w:szCs w:val="21"/>
          <w:color w:val="auto"/>
        </w:rPr>
        <w:t>Except as provided in Sections 4.B., C., D. and E., each party hereto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 Executive’s employment by giving to the other party no less than thirty (30) days prior written notice of the party’s intent to terminate. If Executive voluntarily terminates Executive’s employment without Good Reason, then the Company shall have no further liability to Executive for any payment, compensation or benefit whatsoever, other than payment of Executive’s earned but unpaid salary, cash incentive bonus and benefits through the Termination Date and honoring Executive’s rights under the Award Agreements or under any other restricted stock, stock options, stock units or other equity agreement between Executive and the Company (collectively, “</w:t>
      </w:r>
      <w:r>
        <w:rPr>
          <w:rFonts w:ascii="Times New Roman" w:cs="Times New Roman" w:eastAsia="Times New Roman" w:hAnsi="Times New Roman"/>
          <w:sz w:val="21"/>
          <w:szCs w:val="21"/>
          <w:b w:val="1"/>
          <w:bCs w:val="1"/>
          <w:i w:val="1"/>
          <w:iCs w:val="1"/>
          <w:color w:val="auto"/>
        </w:rPr>
        <w:t>Equity Awards</w:t>
      </w:r>
      <w:r>
        <w:rPr>
          <w:rFonts w:ascii="Times New Roman" w:cs="Times New Roman" w:eastAsia="Times New Roman" w:hAnsi="Times New Roman"/>
          <w:sz w:val="21"/>
          <w:szCs w:val="21"/>
          <w:color w:val="auto"/>
        </w:rPr>
        <w:t>”). If the Company terminates Executive’s employment without Cause (as set forth in Section 4.D.) and other than as a result of death or Disability (as set forth in Section 4.C.), or if Executive terminates Executive’s employment for Good Reason (as set forth in Section 4.E.) (either such event being a “</w:t>
      </w:r>
      <w:r>
        <w:rPr>
          <w:rFonts w:ascii="Times New Roman" w:cs="Times New Roman" w:eastAsia="Times New Roman" w:hAnsi="Times New Roman"/>
          <w:sz w:val="21"/>
          <w:szCs w:val="21"/>
          <w:b w:val="1"/>
          <w:bCs w:val="1"/>
          <w:i w:val="1"/>
          <w:iCs w:val="1"/>
          <w:color w:val="auto"/>
        </w:rPr>
        <w:t>Qualifying Termination</w:t>
      </w:r>
      <w:r>
        <w:rPr>
          <w:rFonts w:ascii="Times New Roman" w:cs="Times New Roman" w:eastAsia="Times New Roman" w:hAnsi="Times New Roman"/>
          <w:sz w:val="21"/>
          <w:szCs w:val="21"/>
          <w:color w:val="auto"/>
        </w:rPr>
        <w:t>”), and subject to Executive’s compliance with Section 5 of this Agreement and with the Restrictive Covenants Agreement, then Executive shall be entitled to severance payments and benefits as described in and pursuant to the terms and conditions of Section 5 of this Agreement.</w:t>
      </w:r>
    </w:p>
    <w:p>
      <w:pPr>
        <w:spacing w:after="0" w:line="151" w:lineRule="exact"/>
        <w:rPr>
          <w:rFonts w:ascii="Times New Roman" w:cs="Times New Roman" w:eastAsia="Times New Roman" w:hAnsi="Times New Roman"/>
          <w:sz w:val="21"/>
          <w:szCs w:val="21"/>
          <w:b w:val="1"/>
          <w:bCs w:val="1"/>
          <w:color w:val="auto"/>
        </w:rPr>
      </w:pPr>
    </w:p>
    <w:p>
      <w:pPr>
        <w:jc w:val="both"/>
        <w:ind w:firstLine="1259"/>
        <w:spacing w:after="0" w:line="230" w:lineRule="auto"/>
        <w:tabs>
          <w:tab w:leader="none" w:pos="1878" w:val="left"/>
        </w:tabs>
        <w:numPr>
          <w:ilvl w:val="1"/>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By Death. </w:t>
      </w:r>
      <w:r>
        <w:rPr>
          <w:rFonts w:ascii="Times New Roman" w:cs="Times New Roman" w:eastAsia="Times New Roman" w:hAnsi="Times New Roman"/>
          <w:sz w:val="21"/>
          <w:szCs w:val="21"/>
          <w:color w:val="auto"/>
        </w:rPr>
        <w:t>Executive’s employment shall be terminated automatically upon the death of Executive.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total liability in such event shall be limited to payment of Executive’s earned but unpaid salary, cash incentive bonus and benefits through the date of Executive’s death and honoring Executive’s rights under any Equity Awards.</w:t>
      </w:r>
    </w:p>
    <w:p>
      <w:pPr>
        <w:spacing w:after="0" w:line="142" w:lineRule="exact"/>
        <w:rPr>
          <w:rFonts w:ascii="Times New Roman" w:cs="Times New Roman" w:eastAsia="Times New Roman" w:hAnsi="Times New Roman"/>
          <w:sz w:val="21"/>
          <w:szCs w:val="21"/>
          <w:b w:val="1"/>
          <w:bCs w:val="1"/>
          <w:color w:val="auto"/>
        </w:rPr>
      </w:pPr>
    </w:p>
    <w:p>
      <w:pPr>
        <w:jc w:val="both"/>
        <w:ind w:firstLine="1259"/>
        <w:spacing w:after="0" w:line="226" w:lineRule="auto"/>
        <w:tabs>
          <w:tab w:leader="none" w:pos="1876" w:val="left"/>
        </w:tabs>
        <w:numPr>
          <w:ilvl w:val="1"/>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By Disability. </w:t>
      </w:r>
      <w:r>
        <w:rPr>
          <w:rFonts w:ascii="Times New Roman" w:cs="Times New Roman" w:eastAsia="Times New Roman" w:hAnsi="Times New Roman"/>
          <w:sz w:val="20"/>
          <w:szCs w:val="20"/>
          <w:color w:val="auto"/>
        </w:rPr>
        <w:t>The Company may terminate Executive’s employment upon the inability of Executive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 on a full-time basis the duties and responsibilities of Executive’s employment with the Company, after any reasonable accommodation that may be required under applicable law is made by the Company, by reason of Executive’s illness or other physical or mental impairment or condition, if such inability continues for an uninterrupted period of one hundred and twenty (120) days (a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A period of inability shall be “uninterrupted” unless and until Executive returns to full-time work for a continuous period of at least thirty (30) days. The Company shall have no liability for severance pay or benefits following any Termination Date due to Disability, other than payment of Executive’s earned but unpaid salary, cash incentive bonus and benefits through the Termination Date and honoring Executive’s rights under any Equity Awards, and any rights Executive has to disability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5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1"/>
          <w:szCs w:val="21"/>
          <w:color w:val="auto"/>
        </w:rPr>
        <w:t>benefits under applicable law or the Company’s short or long term disability insurance policies as in effect at the time of termination.</w:t>
      </w:r>
    </w:p>
    <w:p>
      <w:pPr>
        <w:spacing w:after="0" w:line="173" w:lineRule="exact"/>
        <w:rPr>
          <w:sz w:val="20"/>
          <w:szCs w:val="20"/>
          <w:color w:val="auto"/>
        </w:rPr>
      </w:pPr>
    </w:p>
    <w:p>
      <w:pPr>
        <w:jc w:val="both"/>
        <w:ind w:firstLine="1259"/>
        <w:spacing w:after="0" w:line="221" w:lineRule="auto"/>
        <w:tabs>
          <w:tab w:leader="none" w:pos="1876"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For Cause. </w:t>
      </w:r>
      <w:r>
        <w:rPr>
          <w:rFonts w:ascii="Times New Roman" w:cs="Times New Roman" w:eastAsia="Times New Roman" w:hAnsi="Times New Roman"/>
          <w:sz w:val="21"/>
          <w:szCs w:val="21"/>
          <w:color w:val="auto"/>
        </w:rPr>
        <w:t>The employment relationship between Executive and the Company created hereunder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automatically and immediately terminate upon receipt by Executive of notice of termination for Cause after the occurrence of any one of the events set forth below, each of which will be considered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for termination. For the avoidance of doubt, Executive will not be entitled to any compensation or benefits pursuant to this Agreement if the Company terminates Executive’s employment for Cause.</w:t>
      </w:r>
    </w:p>
    <w:p>
      <w:pPr>
        <w:spacing w:after="0" w:line="146" w:lineRule="exact"/>
        <w:rPr>
          <w:rFonts w:ascii="Times New Roman" w:cs="Times New Roman" w:eastAsia="Times New Roman" w:hAnsi="Times New Roman"/>
          <w:sz w:val="21"/>
          <w:szCs w:val="21"/>
          <w:b w:val="1"/>
          <w:bCs w:val="1"/>
          <w:color w:val="auto"/>
        </w:rPr>
      </w:pPr>
    </w:p>
    <w:p>
      <w:pPr>
        <w:ind w:firstLine="1886"/>
        <w:spacing w:after="0" w:line="239" w:lineRule="auto"/>
        <w:tabs>
          <w:tab w:leader="none" w:pos="2497"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Executive’s failure or refusal to perform satisfactorily the duties reasonably required of Executive by the Company (other than by reason of Disability);</w:t>
      </w:r>
    </w:p>
    <w:p>
      <w:pPr>
        <w:spacing w:after="0" w:line="146" w:lineRule="exact"/>
        <w:rPr>
          <w:rFonts w:ascii="Times New Roman" w:cs="Times New Roman" w:eastAsia="Times New Roman" w:hAnsi="Times New Roman"/>
          <w:sz w:val="21"/>
          <w:szCs w:val="21"/>
          <w:b w:val="1"/>
          <w:bCs w:val="1"/>
          <w:color w:val="auto"/>
        </w:rPr>
      </w:pPr>
    </w:p>
    <w:p>
      <w:pPr>
        <w:ind w:firstLine="1886"/>
        <w:spacing w:after="0" w:line="239" w:lineRule="auto"/>
        <w:tabs>
          <w:tab w:leader="none" w:pos="2503"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Executive’s material violation of any law, rule, regulation, court order or regulatory directive (other than traffic violations, misdemeanors or other minor offenses);</w:t>
      </w:r>
    </w:p>
    <w:p>
      <w:pPr>
        <w:spacing w:after="0" w:line="146" w:lineRule="exact"/>
        <w:rPr>
          <w:rFonts w:ascii="Times New Roman" w:cs="Times New Roman" w:eastAsia="Times New Roman" w:hAnsi="Times New Roman"/>
          <w:sz w:val="21"/>
          <w:szCs w:val="21"/>
          <w:b w:val="1"/>
          <w:bCs w:val="1"/>
          <w:color w:val="auto"/>
        </w:rPr>
      </w:pPr>
    </w:p>
    <w:p>
      <w:pPr>
        <w:ind w:left="2520" w:hanging="634"/>
        <w:spacing w:after="0"/>
        <w:tabs>
          <w:tab w:leader="none" w:pos="2520"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Executive’s material breach of the Restrictive Covenants Agreement or any Company code of conduct;</w:t>
      </w:r>
    </w:p>
    <w:p>
      <w:pPr>
        <w:spacing w:after="0" w:line="176" w:lineRule="exact"/>
        <w:rPr>
          <w:rFonts w:ascii="Times New Roman" w:cs="Times New Roman" w:eastAsia="Times New Roman" w:hAnsi="Times New Roman"/>
          <w:sz w:val="21"/>
          <w:szCs w:val="21"/>
          <w:b w:val="1"/>
          <w:bCs w:val="1"/>
          <w:color w:val="auto"/>
        </w:rPr>
      </w:pPr>
    </w:p>
    <w:p>
      <w:pPr>
        <w:ind w:firstLine="1886"/>
        <w:spacing w:after="0" w:line="239" w:lineRule="auto"/>
        <w:tabs>
          <w:tab w:leader="none" w:pos="2497"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Executive engaging in any act or practice that involves personal dishonesty on the part of Executive or demonstrates a willful and continuing disregard for the best interests of the Company or its affiliates; or</w:t>
      </w:r>
    </w:p>
    <w:p>
      <w:pPr>
        <w:spacing w:after="0" w:line="146" w:lineRule="exact"/>
        <w:rPr>
          <w:rFonts w:ascii="Times New Roman" w:cs="Times New Roman" w:eastAsia="Times New Roman" w:hAnsi="Times New Roman"/>
          <w:sz w:val="21"/>
          <w:szCs w:val="21"/>
          <w:b w:val="1"/>
          <w:bCs w:val="1"/>
          <w:color w:val="auto"/>
        </w:rPr>
      </w:pPr>
    </w:p>
    <w:p>
      <w:pPr>
        <w:jc w:val="both"/>
        <w:ind w:firstLine="1886"/>
        <w:spacing w:after="0" w:line="239" w:lineRule="auto"/>
        <w:tabs>
          <w:tab w:leader="none" w:pos="2505"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While performing corporate duties and responsibilities, Executive engaging in conduct that would be reasonably expected to harm or bring disrepute to the Company, any of its affiliates, or any of their customers, employees or vendors.</w:t>
      </w:r>
    </w:p>
    <w:p>
      <w:pPr>
        <w:spacing w:after="0" w:line="142" w:lineRule="exact"/>
        <w:rPr>
          <w:rFonts w:ascii="Times New Roman" w:cs="Times New Roman" w:eastAsia="Times New Roman" w:hAnsi="Times New Roman"/>
          <w:sz w:val="21"/>
          <w:szCs w:val="21"/>
          <w:b w:val="1"/>
          <w:bCs w:val="1"/>
          <w:color w:val="auto"/>
        </w:rPr>
      </w:pPr>
    </w:p>
    <w:p>
      <w:pPr>
        <w:jc w:val="both"/>
        <w:ind w:firstLine="1259"/>
        <w:spacing w:after="0" w:line="216" w:lineRule="auto"/>
        <w:tabs>
          <w:tab w:leader="none" w:pos="1878" w:val="left"/>
        </w:tabs>
        <w:numPr>
          <w:ilvl w:val="0"/>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Good Reason. </w:t>
      </w:r>
      <w:r>
        <w:rPr>
          <w:rFonts w:ascii="Times New Roman" w:cs="Times New Roman" w:eastAsia="Times New Roman" w:hAnsi="Times New Roman"/>
          <w:sz w:val="21"/>
          <w:szCs w:val="21"/>
          <w:color w:val="auto"/>
        </w:rPr>
        <w:t>Executive’s voluntary resignation of Executive’s employment under this Agreement will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considered to be with “</w:t>
      </w:r>
      <w:r>
        <w:rPr>
          <w:rFonts w:ascii="Times New Roman" w:cs="Times New Roman" w:eastAsia="Times New Roman" w:hAnsi="Times New Roman"/>
          <w:sz w:val="21"/>
          <w:szCs w:val="21"/>
          <w:b w:val="1"/>
          <w:bCs w:val="1"/>
          <w:i w:val="1"/>
          <w:iCs w:val="1"/>
          <w:color w:val="auto"/>
        </w:rPr>
        <w:t>Good Reason</w:t>
      </w:r>
      <w:r>
        <w:rPr>
          <w:rFonts w:ascii="Times New Roman" w:cs="Times New Roman" w:eastAsia="Times New Roman" w:hAnsi="Times New Roman"/>
          <w:sz w:val="21"/>
          <w:szCs w:val="21"/>
          <w:color w:val="auto"/>
        </w:rPr>
        <w:t>” if, following the occurrence of one or more of the events listed below, (1) Executive provides written notice to the Company’s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the event(s) constituting Good Reason within sixty (60) days after the first occurrence of such event(s), (2) the Company fails to reasonably cure such event(s) within thirty (30) days after receiving such notice, and (3) the Termination Date is not later than thirty (30) days after the end of the period in which the Board may cure the event(s). For the avoidance of doubt, Executive will not be entitled to any compensation or benefits pursuant to this Agreement if Executive voluntarily resigns from Executive’s employment without Good Reason. The following events will give rise to Good Reason, unless Executive has consented thereto in writing:</w:t>
      </w:r>
    </w:p>
    <w:p>
      <w:pPr>
        <w:spacing w:after="0" w:line="147" w:lineRule="exact"/>
        <w:rPr>
          <w:rFonts w:ascii="Times New Roman" w:cs="Times New Roman" w:eastAsia="Times New Roman" w:hAnsi="Times New Roman"/>
          <w:sz w:val="21"/>
          <w:szCs w:val="21"/>
          <w:b w:val="1"/>
          <w:bCs w:val="1"/>
          <w:color w:val="auto"/>
        </w:rPr>
      </w:pPr>
    </w:p>
    <w:p>
      <w:pPr>
        <w:jc w:val="both"/>
        <w:ind w:firstLine="1886"/>
        <w:spacing w:after="0" w:line="228" w:lineRule="auto"/>
        <w:tabs>
          <w:tab w:leader="none" w:pos="2497"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material reduction in Executive’s total cash compensation, which is comprised of base salary and target incentive bonus, other than a reduction that is part of and proportionally consistent with a broad-based reduction in base compensation or target incentive bonus applicable to the Company’s senior executives;</w:t>
      </w:r>
    </w:p>
    <w:p>
      <w:pPr>
        <w:spacing w:after="0" w:line="148" w:lineRule="exact"/>
        <w:rPr>
          <w:rFonts w:ascii="Times New Roman" w:cs="Times New Roman" w:eastAsia="Times New Roman" w:hAnsi="Times New Roman"/>
          <w:sz w:val="21"/>
          <w:szCs w:val="21"/>
          <w:b w:val="1"/>
          <w:bCs w:val="1"/>
          <w:color w:val="auto"/>
        </w:rPr>
      </w:pPr>
    </w:p>
    <w:p>
      <w:pPr>
        <w:ind w:left="2500" w:hanging="614"/>
        <w:spacing w:after="0"/>
        <w:tabs>
          <w:tab w:leader="none" w:pos="2500"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material diminution in Executive’s authority, duties or responsibilities;</w:t>
      </w:r>
    </w:p>
    <w:p>
      <w:pPr>
        <w:spacing w:after="0" w:line="176" w:lineRule="exact"/>
        <w:rPr>
          <w:rFonts w:ascii="Times New Roman" w:cs="Times New Roman" w:eastAsia="Times New Roman" w:hAnsi="Times New Roman"/>
          <w:sz w:val="21"/>
          <w:szCs w:val="21"/>
          <w:b w:val="1"/>
          <w:bCs w:val="1"/>
          <w:color w:val="auto"/>
        </w:rPr>
      </w:pPr>
    </w:p>
    <w:p>
      <w:pPr>
        <w:ind w:firstLine="1886"/>
        <w:spacing w:after="0" w:line="239" w:lineRule="auto"/>
        <w:tabs>
          <w:tab w:leader="none" w:pos="2509"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change in the location of the Company facility or office where Executive is based to a location more than fifty (50) miles from the Company facility or office where Executive is based as of the Effective Date; or</w:t>
      </w:r>
    </w:p>
    <w:p>
      <w:pPr>
        <w:spacing w:after="0" w:line="146" w:lineRule="exact"/>
        <w:rPr>
          <w:rFonts w:ascii="Times New Roman" w:cs="Times New Roman" w:eastAsia="Times New Roman" w:hAnsi="Times New Roman"/>
          <w:sz w:val="21"/>
          <w:szCs w:val="21"/>
          <w:b w:val="1"/>
          <w:bCs w:val="1"/>
          <w:color w:val="auto"/>
        </w:rPr>
      </w:pPr>
    </w:p>
    <w:p>
      <w:pPr>
        <w:ind w:firstLine="1886"/>
        <w:spacing w:after="0" w:line="239" w:lineRule="auto"/>
        <w:tabs>
          <w:tab w:leader="none" w:pos="2497" w:val="left"/>
        </w:tabs>
        <w:numPr>
          <w:ilvl w:val="1"/>
          <w:numId w:val="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 material breach by the Company of any terms or conditions of this Agreement or any other agreement between Executive and the Company, which breach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5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color w:val="auto"/>
        </w:rPr>
        <w:t>not been cured by the Company within fifteen (15) days after written notice thereof to the Company from Executive.</w:t>
      </w:r>
    </w:p>
    <w:p>
      <w:pPr>
        <w:spacing w:after="0" w:line="173" w:lineRule="exact"/>
        <w:rPr>
          <w:sz w:val="20"/>
          <w:szCs w:val="20"/>
          <w:color w:val="auto"/>
        </w:rPr>
      </w:pPr>
    </w:p>
    <w:p>
      <w:pPr>
        <w:jc w:val="both"/>
        <w:ind w:firstLine="632"/>
        <w:spacing w:after="0" w:line="213" w:lineRule="auto"/>
        <w:tabs>
          <w:tab w:leader="none" w:pos="1255" w:val="left"/>
        </w:tabs>
        <w:numPr>
          <w:ilvl w:val="0"/>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Severance. </w:t>
      </w:r>
      <w:r>
        <w:rPr>
          <w:rFonts w:ascii="Times New Roman" w:cs="Times New Roman" w:eastAsia="Times New Roman" w:hAnsi="Times New Roman"/>
          <w:sz w:val="21"/>
          <w:szCs w:val="21"/>
          <w:color w:val="auto"/>
        </w:rPr>
        <w:t>If there is a Qualifying Termination, provided that Executive’s termination of employment constitutes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involuntary “separation from service” (a “</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color w:val="auto"/>
        </w:rPr>
        <w:t>”) under Section 409A (“</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color w:val="auto"/>
        </w:rPr>
        <w:t>”)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provided that Executive signs, within forty-five (45) days after the Separation from Service, and does not rescind a general waiver and release of claims in favor of the Company and its affiliates in a form to be prescribed by the Company, and provided further that Executive is in compliance with Executive’s continuing obligations to the Company (including but not limited to those in the Restrictive Covenants Agreement), then Executive will receive the severance payments and benefits identified in this Section 5. If Executive becomes eligible to receive any severance payments or benefits under this Section 5, then Executive will not be eligible to receive any severance payments or benefits under any other agreement between Executive and the Company or under any severance plan or program adopted by the Company. Notwithstanding any provisions in this Agreement to the contrary, this Agreement will not provide duplicate benefits with any severance plan or program adopted by the Company (“</w:t>
      </w:r>
      <w:r>
        <w:rPr>
          <w:rFonts w:ascii="Times New Roman" w:cs="Times New Roman" w:eastAsia="Times New Roman" w:hAnsi="Times New Roman"/>
          <w:sz w:val="21"/>
          <w:szCs w:val="21"/>
          <w:b w:val="1"/>
          <w:bCs w:val="1"/>
          <w:i w:val="1"/>
          <w:iCs w:val="1"/>
          <w:color w:val="auto"/>
        </w:rPr>
        <w:t>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Severance Plan</w:t>
      </w:r>
      <w:r>
        <w:rPr>
          <w:rFonts w:ascii="Times New Roman" w:cs="Times New Roman" w:eastAsia="Times New Roman" w:hAnsi="Times New Roman"/>
          <w:sz w:val="21"/>
          <w:szCs w:val="21"/>
          <w:color w:val="auto"/>
        </w:rPr>
        <w:t>”). Executive will receive severance benefits, if any, pursuant to this Agreement, and not under any Other Severance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Plan, which will not apply to Executive.</w:t>
      </w:r>
    </w:p>
    <w:p>
      <w:pPr>
        <w:spacing w:after="0" w:line="146" w:lineRule="exact"/>
        <w:rPr>
          <w:rFonts w:ascii="Times New Roman" w:cs="Times New Roman" w:eastAsia="Times New Roman" w:hAnsi="Times New Roman"/>
          <w:sz w:val="21"/>
          <w:szCs w:val="21"/>
          <w:b w:val="1"/>
          <w:bCs w:val="1"/>
          <w:color w:val="auto"/>
        </w:rPr>
      </w:pPr>
    </w:p>
    <w:p>
      <w:pPr>
        <w:jc w:val="both"/>
        <w:ind w:firstLine="1259"/>
        <w:spacing w:after="0" w:line="218" w:lineRule="auto"/>
        <w:tabs>
          <w:tab w:leader="none" w:pos="1876" w:val="left"/>
        </w:tabs>
        <w:numPr>
          <w:ilvl w:val="1"/>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Payments Upon Qualifying Termination Prior to a Change in Control or After the Expiration of the Transition Period. </w:t>
      </w:r>
      <w:r>
        <w:rPr>
          <w:rFonts w:ascii="Times New Roman" w:cs="Times New Roman" w:eastAsia="Times New Roman" w:hAnsi="Times New Roman"/>
          <w:sz w:val="21"/>
          <w:szCs w:val="21"/>
          <w:color w:val="auto"/>
        </w:rPr>
        <w:t>If the Termination Date occurs during the Term and is prior to any Change in Control (as defined below) or 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Transition Period (as defined below), and if such termination is a Qualifying Termination, then, in addition to such base salary, cash incentive bonus and benefits that have been earned but not paid to Executive as of the Termination Date, and subject to Executive satisfying the conditions identified in the first paragraph of this Section 5, the Company shall provide to Executive the following severance payments and benefits:</w:t>
      </w:r>
    </w:p>
    <w:p>
      <w:pPr>
        <w:spacing w:after="0" w:line="147" w:lineRule="exact"/>
        <w:rPr>
          <w:rFonts w:ascii="Times New Roman" w:cs="Times New Roman" w:eastAsia="Times New Roman" w:hAnsi="Times New Roman"/>
          <w:sz w:val="21"/>
          <w:szCs w:val="21"/>
          <w:b w:val="1"/>
          <w:bCs w:val="1"/>
          <w:color w:val="auto"/>
        </w:rPr>
      </w:pPr>
    </w:p>
    <w:p>
      <w:pPr>
        <w:jc w:val="both"/>
        <w:ind w:firstLine="1886"/>
        <w:spacing w:after="0" w:line="211" w:lineRule="auto"/>
        <w:tabs>
          <w:tab w:leader="none" w:pos="2497" w:val="left"/>
        </w:tabs>
        <w:numPr>
          <w:ilvl w:val="2"/>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Base Salary Cash Severance. </w:t>
      </w:r>
      <w:r>
        <w:rPr>
          <w:rFonts w:ascii="Times New Roman" w:cs="Times New Roman" w:eastAsia="Times New Roman" w:hAnsi="Times New Roman"/>
          <w:sz w:val="21"/>
          <w:szCs w:val="21"/>
          <w:color w:val="auto"/>
        </w:rPr>
        <w:t>The Company shall pay to Executive an amount equal to one (1) times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annualized base salary as of the Termination Date (or, if Executive’s resignation is for Good Reason because the Company materially reduced Executive’s base compensation, one (1) times Executive’s annualized base salary as of immediately before such material reduction), less deductions and withholding required by law, payable in substantially equal installments in accordance with the Company’s regular payroll practices over the 12-month period immediately following the Termination Date; provided, however that any installments that otherwise would be payable within the 60-day period immediately following the termination date shall be delayed and payable with the installment that is payable on the Company’s first payroll date following the 60th day after the Termination Date. Notwithstanding anything above to the contrary, to the extent that the amount paid under the first sentence of this Section 5.A.(i) exceeds the lesser of two times (I) the limit of compensation set forth in section 401(a)(17) of the Code as in effect for the year in which the Termination Date occurs, or (II) Executive’s annualized compensation based upon the annual rate of pay for services to the Company for the calendar year prior to the calendar year in which the Termination Date occurs (adjusted for any increase during that year that was expected to continue indefinitely if Executive had not separated from service), then the then the Company shall make an additional separate lump sum payment to Executive equal to the excess amount. Such lump sum payment shall be a separate payment from the installment payments provided under this Section 5.A.(i) and shall be paid to Executive on the Company’s first payroll date following the 60th day after the Termination Date but in no event later than two and one-half (2 ½) months after the Termination Date.</w:t>
      </w:r>
    </w:p>
    <w:p>
      <w:pPr>
        <w:spacing w:after="0" w:line="157" w:lineRule="exact"/>
        <w:rPr>
          <w:rFonts w:ascii="Times New Roman" w:cs="Times New Roman" w:eastAsia="Times New Roman" w:hAnsi="Times New Roman"/>
          <w:sz w:val="21"/>
          <w:szCs w:val="21"/>
          <w:b w:val="1"/>
          <w:bCs w:val="1"/>
          <w:color w:val="auto"/>
        </w:rPr>
      </w:pPr>
    </w:p>
    <w:p>
      <w:pPr>
        <w:ind w:firstLine="1886"/>
        <w:spacing w:after="0" w:line="242" w:lineRule="auto"/>
        <w:tabs>
          <w:tab w:leader="none" w:pos="2503" w:val="left"/>
        </w:tabs>
        <w:numPr>
          <w:ilvl w:val="2"/>
          <w:numId w:val="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Pro Rata Bonus Payment. </w:t>
      </w:r>
      <w:r>
        <w:rPr>
          <w:rFonts w:ascii="Times New Roman" w:cs="Times New Roman" w:eastAsia="Times New Roman" w:hAnsi="Times New Roman"/>
          <w:sz w:val="21"/>
          <w:szCs w:val="21"/>
          <w:color w:val="auto"/>
        </w:rPr>
        <w:t>The Company shall pay to Executive a pro rata cash incentive bonus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calculated by multiplying the annual cash incentive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54" w:right="339" w:bottom="1440" w:gutter="0" w:footer="0" w:header="0"/>
        </w:sectPr>
      </w:pPr>
    </w:p>
    <w:bookmarkStart w:id="38" w:name="page39"/>
    <w:bookmarkEnd w:id="38"/>
    <w:p>
      <w:pPr>
        <w:jc w:val="both"/>
        <w:spacing w:after="0" w:line="215" w:lineRule="auto"/>
        <w:rPr>
          <w:sz w:val="20"/>
          <w:szCs w:val="20"/>
          <w:color w:val="auto"/>
        </w:rPr>
      </w:pPr>
      <w:r>
        <w:rPr>
          <w:rFonts w:ascii="Times New Roman" w:cs="Times New Roman" w:eastAsia="Times New Roman" w:hAnsi="Times New Roman"/>
          <w:sz w:val="21"/>
          <w:szCs w:val="21"/>
          <w:color w:val="auto"/>
        </w:rPr>
        <w:t>bonus Executive would have received under the Company’s annual cash incentive bonus plan for the calendar year in which the Termination Date occurs assuming Executive would have remained employed through the date Executive would have otherwise earned an annual cash incentive bonus under such year’s annual cash incentive bonus plan by a fraction, the numerator of which is the number of days Executive was employed by the Company during the calendar year in which the Termination Date occurs through and including the Termination Date and the denominator of which is 365, less deductions and withholding required by law, payable in a lump sum at the same time as other eligible employees under the Company’s annual cash incentive bonus plan for such calendar year are paid their bonuses under such Company’s annual cash incentive bonus plan for such calendar year, but in any event no later than March 15 of the calendar year immediately following the calendar year in which the Termination Date occurs.</w:t>
      </w:r>
    </w:p>
    <w:p>
      <w:pPr>
        <w:spacing w:after="0" w:line="147" w:lineRule="exact"/>
        <w:rPr>
          <w:sz w:val="20"/>
          <w:szCs w:val="20"/>
          <w:color w:val="auto"/>
        </w:rPr>
      </w:pPr>
    </w:p>
    <w:p>
      <w:pPr>
        <w:jc w:val="both"/>
        <w:ind w:firstLine="1886"/>
        <w:spacing w:after="0" w:line="218" w:lineRule="auto"/>
        <w:tabs>
          <w:tab w:leader="none" w:pos="2509"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Benefits Continuation. </w:t>
      </w:r>
      <w:r>
        <w:rPr>
          <w:rFonts w:ascii="Times New Roman" w:cs="Times New Roman" w:eastAsia="Times New Roman" w:hAnsi="Times New Roman"/>
          <w:sz w:val="21"/>
          <w:szCs w:val="21"/>
          <w:color w:val="auto"/>
        </w:rPr>
        <w:t>If Executive was enrolled in a group health plan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medical, dental, or vision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sponsored by the Company immediately prior to the Termination Date, and if Executive (or Executive’s eligible dependents) timely elects to continue such coverage under the Consolidated Omnibus Budget Reconciliation Act of 1985 (together with any state law of similar effect,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then the Company will pay to the insurance carrier(s) its share of the premiums due for Executive and Executive’s eligible dependents for the first twelve (12) months of such coverage under COBRA (or until such earlier time as Executive and/or Executive’s eligible dependents are no longer eligible for COBRA coverage).</w:t>
      </w:r>
    </w:p>
    <w:p>
      <w:pPr>
        <w:spacing w:after="0" w:line="147" w:lineRule="exact"/>
        <w:rPr>
          <w:rFonts w:ascii="Times New Roman" w:cs="Times New Roman" w:eastAsia="Times New Roman" w:hAnsi="Times New Roman"/>
          <w:sz w:val="21"/>
          <w:szCs w:val="21"/>
          <w:b w:val="1"/>
          <w:bCs w:val="1"/>
          <w:color w:val="auto"/>
        </w:rPr>
      </w:pPr>
    </w:p>
    <w:p>
      <w:pPr>
        <w:jc w:val="both"/>
        <w:ind w:firstLine="1886"/>
        <w:spacing w:after="0" w:line="211" w:lineRule="auto"/>
        <w:tabs>
          <w:tab w:leader="none" w:pos="2497" w:val="left"/>
        </w:tabs>
        <w:numPr>
          <w:ilvl w:val="1"/>
          <w:numId w:val="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of Equity Awards. </w:t>
      </w:r>
      <w:r>
        <w:rPr>
          <w:rFonts w:ascii="Times New Roman" w:cs="Times New Roman" w:eastAsia="Times New Roman" w:hAnsi="Times New Roman"/>
          <w:sz w:val="21"/>
          <w:szCs w:val="21"/>
          <w:color w:val="auto"/>
        </w:rPr>
        <w:t>The Equity Awards shall be governed by their terms; however,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following provisions shall apply to the extent that they provide more favorable terms to the Executive than the terms set forth in the Equity Awards or in the Plan: if Executive has an unvested option to purchase Shares or any unvested Stock Units (as defined in the Plan) under any Equity Awards under the Plan addressing Executive’s option to purchase or right or have vest Shares, then a pro rata portion of any such time-based award scheduled to vest on the next anniversary of the grant date for such award will vest as of the Termination Date and a pro rata portion of any such performance-based award will vest as provided below. In the case of time-based awards, the number of additional Shares that Executive will have the option to purchase or will have vest as a result of such pro rata vesting will be determined by multiplying the total number of additional Shares Executive would have had the option to purchase, or have had vest, as of the next anniversary of the grant date for such award assuming Executive would have remained employed through such anniversary by a fraction, the numerator of which is the number of days Executive was employed by the Company during the then-current vesting year through and including the Termination Date and the denominator of which is 365. For performance-based awards, the number of additional Shares that Executive will have vest as a result of such pro rata vesting will be determined by multiplying the total number of additional Shares that would otherwise have been determined to have been earned had Executive remained employed through the end of the applicable performance period by a fraction, the numerator of which is the number of days Executive was employed by the Company during the performance period and the denominator of which is the number of days in the performance period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1,095 days in the case of a three-year performance period). Performance-based awards will be settled within two and one-half (2 ½) months after the last day of the relevant performance period.</w:t>
      </w:r>
    </w:p>
    <w:p>
      <w:pPr>
        <w:spacing w:after="0" w:line="154" w:lineRule="exact"/>
        <w:rPr>
          <w:rFonts w:ascii="Times New Roman" w:cs="Times New Roman" w:eastAsia="Times New Roman" w:hAnsi="Times New Roman"/>
          <w:sz w:val="21"/>
          <w:szCs w:val="21"/>
          <w:b w:val="1"/>
          <w:bCs w:val="1"/>
          <w:color w:val="auto"/>
        </w:rPr>
      </w:pPr>
    </w:p>
    <w:p>
      <w:pPr>
        <w:jc w:val="both"/>
        <w:ind w:firstLine="1259"/>
        <w:spacing w:after="0" w:line="221" w:lineRule="auto"/>
        <w:tabs>
          <w:tab w:leader="none" w:pos="1878" w:val="left"/>
        </w:tabs>
        <w:numPr>
          <w:ilvl w:val="0"/>
          <w:numId w:val="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Payments Upon Termination During the Transition Period. </w:t>
      </w:r>
      <w:r>
        <w:rPr>
          <w:rFonts w:ascii="Times New Roman" w:cs="Times New Roman" w:eastAsia="Times New Roman" w:hAnsi="Times New Roman"/>
          <w:sz w:val="21"/>
          <w:szCs w:val="21"/>
          <w:color w:val="auto"/>
        </w:rPr>
        <w:t>If a Change in Control occurs during the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Executive’s Termination Date occurs on the date of the Change in Control or prior to the 18-month anniversary of the Change in Control (such 18-month period, the “</w:t>
      </w:r>
      <w:r>
        <w:rPr>
          <w:rFonts w:ascii="Times New Roman" w:cs="Times New Roman" w:eastAsia="Times New Roman" w:hAnsi="Times New Roman"/>
          <w:sz w:val="21"/>
          <w:szCs w:val="21"/>
          <w:b w:val="1"/>
          <w:bCs w:val="1"/>
          <w:i w:val="1"/>
          <w:iCs w:val="1"/>
          <w:color w:val="auto"/>
        </w:rPr>
        <w:t>Transition Period</w:t>
      </w:r>
      <w:r>
        <w:rPr>
          <w:rFonts w:ascii="Times New Roman" w:cs="Times New Roman" w:eastAsia="Times New Roman" w:hAnsi="Times New Roman"/>
          <w:sz w:val="21"/>
          <w:szCs w:val="21"/>
          <w:color w:val="auto"/>
        </w:rPr>
        <w:t>”), and if such termination is a Qualifying Termination, then, in addition to such base salary, cash incentive bonus and benefits that have been earned but not paid to Executive as of the Termination Date, and subject to Executive satisfying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54" w:right="339" w:bottom="1440" w:gutter="0" w:footer="0" w:header="0"/>
        </w:sectPr>
      </w:pPr>
    </w:p>
    <w:bookmarkStart w:id="39" w:name="page40"/>
    <w:bookmarkEnd w:id="39"/>
    <w:p>
      <w:pPr>
        <w:spacing w:after="0" w:line="239" w:lineRule="auto"/>
        <w:rPr>
          <w:sz w:val="20"/>
          <w:szCs w:val="20"/>
          <w:color w:val="auto"/>
        </w:rPr>
      </w:pPr>
      <w:r>
        <w:rPr>
          <w:rFonts w:ascii="Times New Roman" w:cs="Times New Roman" w:eastAsia="Times New Roman" w:hAnsi="Times New Roman"/>
          <w:sz w:val="21"/>
          <w:szCs w:val="21"/>
          <w:color w:val="auto"/>
        </w:rPr>
        <w:t>conditions identified in the first paragraph of this Section 5, the Company shall provide to Executive the following severance payments and benefits:</w:t>
      </w:r>
    </w:p>
    <w:p>
      <w:pPr>
        <w:spacing w:after="0" w:line="142" w:lineRule="exact"/>
        <w:rPr>
          <w:sz w:val="20"/>
          <w:szCs w:val="20"/>
          <w:color w:val="auto"/>
        </w:rPr>
      </w:pPr>
    </w:p>
    <w:p>
      <w:pPr>
        <w:jc w:val="both"/>
        <w:ind w:firstLine="1886"/>
        <w:spacing w:after="0" w:line="211" w:lineRule="auto"/>
        <w:tabs>
          <w:tab w:leader="none" w:pos="2497"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Base Salary Cash Severance. </w:t>
      </w:r>
      <w:r>
        <w:rPr>
          <w:rFonts w:ascii="Times New Roman" w:cs="Times New Roman" w:eastAsia="Times New Roman" w:hAnsi="Times New Roman"/>
          <w:sz w:val="21"/>
          <w:szCs w:val="21"/>
          <w:color w:val="auto"/>
        </w:rPr>
        <w:t>The Company shall pay to Executive an amount equal to one (1) times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annualized base salary as of the Termination Date (or, if Executive’s resignation is for Good Reason because the Company materially reduced Executive’s base compensation, one (1) times Executive’s annualized base salary as of immediately before such material reduction), less deductions and withholding required by law, payable in substantially equal installments in accordance with the Company’s regular payroll practices over the 12-month period immediately following the Termination Date; provided, however that any installments that otherwise would be payable within the 60-day period immediately following the Termination Date shall be delayed and payable with the installment that is payable on the Company’s first payroll date following the 60th day after the Termination Date. Notwithstanding anything above to the contrary, to the extent that the amount paid under the first sentence of this Section 5.B.(i) exceeds the lesser of two times (I) the limit of compensation set forth in section 401(a)(17) of the Code as in effect for the year in which the Termination Date occurs, or (II) Executive’s annualized compensation based upon the annual rate of pay for services to the Company for the calendar year prior to the calendar year in which the Termination Date occurs (adjusted for any increase during that year that was expected to continue indefinitely if Executive had not separated from service), then the Company shall make an additional separate lump sum payment to Executive equal to the excess amount. Such lump sum payment shall be a separate payment from the installment payments provided under this Section 5.B.(i) and shall be paid to Executive on the Company’s first payroll date following the 60th day after the Termination Date but in no event later than two and one-half (2 ½) months after the Termination Date.</w:t>
      </w:r>
    </w:p>
    <w:p>
      <w:pPr>
        <w:spacing w:after="0" w:line="157" w:lineRule="exact"/>
        <w:rPr>
          <w:rFonts w:ascii="Times New Roman" w:cs="Times New Roman" w:eastAsia="Times New Roman" w:hAnsi="Times New Roman"/>
          <w:sz w:val="21"/>
          <w:szCs w:val="21"/>
          <w:b w:val="1"/>
          <w:bCs w:val="1"/>
          <w:color w:val="auto"/>
        </w:rPr>
      </w:pPr>
    </w:p>
    <w:p>
      <w:pPr>
        <w:jc w:val="both"/>
        <w:ind w:firstLine="1886"/>
        <w:spacing w:after="0" w:line="213" w:lineRule="auto"/>
        <w:tabs>
          <w:tab w:leader="none" w:pos="2503"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Cash Bonus Payment. </w:t>
      </w:r>
      <w:r>
        <w:rPr>
          <w:rFonts w:ascii="Times New Roman" w:cs="Times New Roman" w:eastAsia="Times New Roman" w:hAnsi="Times New Roman"/>
          <w:sz w:val="21"/>
          <w:szCs w:val="21"/>
          <w:color w:val="auto"/>
        </w:rPr>
        <w:t>The Company shall pay to Executive an amount equal to the sum of: (1) one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times Executive’s target annual cash incentive bonus for the calendar year in which the Termination Date occurs plus (2) the amount determined by multiplying (x) the annual cash incentive bonus Executive would have received under the Company’s annual cash incentive bonus plan for the calendar year in which the Termination Date occurs assuming Executive would have remained employed through the date Executive would have otherwise earned an annual cash incentive bonus under such year’s annual cash incentive bonus plan by (y) a fraction, the numerator of which is the number of days Executive was employed by the Company during the calendar year in which the Termination Date occurs through and including the Termination Date and the denominator of which is 365. The amount payable pursuant to this paragraph shall be reduced by deductions and withholding required by law, and shall be payable in a lump sum at the same time as other eligible employees under the Company’s annual cash incentive bonus plan for such calendar year are paid their bonuses under such Company’s annual cash incentive bonus plan for such calendar year, but in any event no later than March 15 of the calendar year immediately following the calendar year in which the Termination Date occurs.</w:t>
      </w:r>
    </w:p>
    <w:p>
      <w:pPr>
        <w:spacing w:after="0" w:line="151" w:lineRule="exact"/>
        <w:rPr>
          <w:rFonts w:ascii="Times New Roman" w:cs="Times New Roman" w:eastAsia="Times New Roman" w:hAnsi="Times New Roman"/>
          <w:sz w:val="21"/>
          <w:szCs w:val="21"/>
          <w:b w:val="1"/>
          <w:bCs w:val="1"/>
          <w:color w:val="auto"/>
        </w:rPr>
      </w:pPr>
    </w:p>
    <w:p>
      <w:pPr>
        <w:jc w:val="both"/>
        <w:ind w:firstLine="1886"/>
        <w:spacing w:after="0" w:line="221" w:lineRule="auto"/>
        <w:tabs>
          <w:tab w:leader="none" w:pos="2509"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Benefits Continuation. </w:t>
      </w:r>
      <w:r>
        <w:rPr>
          <w:rFonts w:ascii="Times New Roman" w:cs="Times New Roman" w:eastAsia="Times New Roman" w:hAnsi="Times New Roman"/>
          <w:sz w:val="21"/>
          <w:szCs w:val="21"/>
          <w:color w:val="auto"/>
        </w:rPr>
        <w:t>If Executive was enrolled in a group health plan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medical, dental, or vision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 sponsored by the Company immediately prior to the Termination Date, and if Executive (or Executive’s eligible dependents) timely elects to continue such coverage under COBRA, then the Company will pay to the insurance carrier(s) its share of the premiums due for Executive and Executive’s eligible dependents for the first twelve (12) months of such coverage under COBRA (or until such earlier time as Executive and/or Executive’s eligible dependents are no longer eligible for COBRA coverage).</w:t>
      </w:r>
    </w:p>
    <w:p>
      <w:pPr>
        <w:spacing w:after="0" w:line="142" w:lineRule="exact"/>
        <w:rPr>
          <w:rFonts w:ascii="Times New Roman" w:cs="Times New Roman" w:eastAsia="Times New Roman" w:hAnsi="Times New Roman"/>
          <w:sz w:val="21"/>
          <w:szCs w:val="21"/>
          <w:b w:val="1"/>
          <w:bCs w:val="1"/>
          <w:color w:val="auto"/>
        </w:rPr>
      </w:pPr>
    </w:p>
    <w:p>
      <w:pPr>
        <w:jc w:val="both"/>
        <w:ind w:firstLine="1886"/>
        <w:spacing w:after="0" w:line="230" w:lineRule="auto"/>
        <w:tabs>
          <w:tab w:leader="none" w:pos="2497"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Full Accelerated Vesting of Equity. </w:t>
      </w:r>
      <w:r>
        <w:rPr>
          <w:rFonts w:ascii="Times New Roman" w:cs="Times New Roman" w:eastAsia="Times New Roman" w:hAnsi="Times New Roman"/>
          <w:sz w:val="21"/>
          <w:szCs w:val="21"/>
          <w:color w:val="auto"/>
        </w:rPr>
        <w:t>Notwithstanding any language in any Equity Award or in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contrary, if Executive has any unvested awards of restricted stock units, options or other equity-based awards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54" w:right="339" w:bottom="1440" w:gutter="0" w:footer="0" w:header="0"/>
        </w:sectPr>
      </w:pPr>
    </w:p>
    <w:bookmarkStart w:id="40" w:name="page41"/>
    <w:bookmarkEnd w:id="40"/>
    <w:p>
      <w:pPr>
        <w:jc w:val="both"/>
        <w:spacing w:after="0" w:line="228" w:lineRule="auto"/>
        <w:rPr>
          <w:sz w:val="20"/>
          <w:szCs w:val="20"/>
          <w:color w:val="auto"/>
        </w:rPr>
      </w:pPr>
      <w:r>
        <w:rPr>
          <w:rFonts w:ascii="Times New Roman" w:cs="Times New Roman" w:eastAsia="Times New Roman" w:hAnsi="Times New Roman"/>
          <w:sz w:val="21"/>
          <w:szCs w:val="21"/>
          <w:color w:val="auto"/>
        </w:rPr>
        <w:t>Company as of the Termination Date, then any such unvested awards will vest immediately as of the Termination Date. In the case of performance-based awards, the number of Shares subject to such accelerated vesting shall be based on a determination by the Board of the degree to which any performance-based vesting conditions will be deemed satisfied.</w:t>
      </w:r>
    </w:p>
    <w:p>
      <w:pPr>
        <w:spacing w:after="0" w:line="144" w:lineRule="exact"/>
        <w:rPr>
          <w:sz w:val="20"/>
          <w:szCs w:val="20"/>
          <w:color w:val="auto"/>
        </w:rPr>
      </w:pPr>
    </w:p>
    <w:p>
      <w:pPr>
        <w:jc w:val="both"/>
        <w:ind w:firstLine="1259"/>
        <w:spacing w:after="0" w:line="218" w:lineRule="auto"/>
        <w:tabs>
          <w:tab w:leader="none" w:pos="1876"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Additional Payments Upon or Following a Change in Control. </w:t>
      </w:r>
      <w:r>
        <w:rPr>
          <w:rFonts w:ascii="Times New Roman" w:cs="Times New Roman" w:eastAsia="Times New Roman" w:hAnsi="Times New Roman"/>
          <w:sz w:val="21"/>
          <w:szCs w:val="21"/>
          <w:color w:val="auto"/>
        </w:rPr>
        <w:t>If the Termination Date occurs during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and within ninety (90) days prior to a Change in Control, and if such termination is a Qualifying Termination and Executive reasonably demonstrates within thirty (30) days after the Change in Control that such Qualifying Termination arose in connection with or in anticipation of the Change in Control, then the Company shall provide to Executive the following severance payments and benefits (in addition to the severance payments and benefits Executive is eligible to receive under Section 5.A.), each of which shall be considered a separate payment:</w:t>
      </w:r>
    </w:p>
    <w:p>
      <w:pPr>
        <w:spacing w:after="0" w:line="147" w:lineRule="exact"/>
        <w:rPr>
          <w:rFonts w:ascii="Times New Roman" w:cs="Times New Roman" w:eastAsia="Times New Roman" w:hAnsi="Times New Roman"/>
          <w:sz w:val="21"/>
          <w:szCs w:val="21"/>
          <w:b w:val="1"/>
          <w:bCs w:val="1"/>
          <w:color w:val="auto"/>
        </w:rPr>
      </w:pPr>
    </w:p>
    <w:p>
      <w:pPr>
        <w:jc w:val="both"/>
        <w:ind w:firstLine="1886"/>
        <w:spacing w:after="0" w:line="216" w:lineRule="auto"/>
        <w:tabs>
          <w:tab w:leader="none" w:pos="2497" w:val="left"/>
        </w:tabs>
        <w:numPr>
          <w:ilvl w:val="1"/>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Cash Bonus Payment. </w:t>
      </w:r>
      <w:r>
        <w:rPr>
          <w:rFonts w:ascii="Times New Roman" w:cs="Times New Roman" w:eastAsia="Times New Roman" w:hAnsi="Times New Roman"/>
          <w:sz w:val="21"/>
          <w:szCs w:val="21"/>
          <w:color w:val="auto"/>
        </w:rPr>
        <w:t>The Company shall pay to Executive an amount equal to one (1) times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target annual cash incentive bonus for the calendar year in which the Termination Date occurred, less deductions and withholding required by law, payable as follows: (a) if the Change in Control and the Termination Date occur in the same calendar year, then in a lump sum at the same time as other eligible employees under the Company’s annual cash incentive bonus plan for such calendar year are paid their bonuses under such Company’s annual cash incentive bonus plan for such calendar year, but in any event no later than March 15 of the calendar year immediately following the calendar year in which the Termination Date occurred, or (b) if the Change in Control occurs in the calendar year following the year in which the Termination Date occurred, then in a lump sum not later than 60 days after the Change in Control.</w:t>
      </w:r>
    </w:p>
    <w:p>
      <w:pPr>
        <w:spacing w:after="0" w:line="143" w:lineRule="exact"/>
        <w:rPr>
          <w:rFonts w:ascii="Times New Roman" w:cs="Times New Roman" w:eastAsia="Times New Roman" w:hAnsi="Times New Roman"/>
          <w:sz w:val="21"/>
          <w:szCs w:val="21"/>
          <w:b w:val="1"/>
          <w:bCs w:val="1"/>
          <w:color w:val="auto"/>
        </w:rPr>
      </w:pPr>
    </w:p>
    <w:p>
      <w:pPr>
        <w:jc w:val="both"/>
        <w:ind w:firstLine="1886"/>
        <w:spacing w:after="0" w:line="213" w:lineRule="auto"/>
        <w:tabs>
          <w:tab w:leader="none" w:pos="2503" w:val="left"/>
        </w:tabs>
        <w:numPr>
          <w:ilvl w:val="1"/>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Vesting of Equity Awards. </w:t>
      </w:r>
      <w:r>
        <w:rPr>
          <w:rFonts w:ascii="Times New Roman" w:cs="Times New Roman" w:eastAsia="Times New Roman" w:hAnsi="Times New Roman"/>
          <w:sz w:val="21"/>
          <w:szCs w:val="21"/>
          <w:color w:val="auto"/>
        </w:rPr>
        <w:t>The Company shall pay to Executive an amount equal to the intrinsic value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any unvested restricted stock units, options or other equity-based awards held by Executive as of the Termination Date that were forfeited as of the Termination Date, with such intrinsic value to be determined based on the per share price paid by the buyer for the Company’s common stock in connection with the Change in Control, or, if no per share price is paid by a buyer in connection with such Change in Control, the per share value of the Company’s common stock at the time of such Change in Control as determined in good faith by the Board as it exists prior to the consummation of the Change in Control, in each case, less any exercise price or other amount that would have been owed to the Company by Executive in order to realize the value of such awards. In the case of forfeited performance-based awards, the intrinsic value shall be based on the number of Shares subject to an award based on a determination by the Board of the degree to which any performance-based vesting or payment conditions will be deemed satisfied. Any amount payable under this Section 5.C.(ii) will be subject to deductions and withholding required by law and payable in a lump sum within the 30-day period immediately following the Change in Control.</w:t>
      </w:r>
    </w:p>
    <w:p>
      <w:pPr>
        <w:spacing w:after="0" w:line="151" w:lineRule="exact"/>
        <w:rPr>
          <w:rFonts w:ascii="Times New Roman" w:cs="Times New Roman" w:eastAsia="Times New Roman" w:hAnsi="Times New Roman"/>
          <w:sz w:val="21"/>
          <w:szCs w:val="21"/>
          <w:b w:val="1"/>
          <w:bCs w:val="1"/>
          <w:color w:val="auto"/>
        </w:rPr>
      </w:pPr>
    </w:p>
    <w:p>
      <w:pPr>
        <w:jc w:val="both"/>
        <w:ind w:firstLine="1259"/>
        <w:spacing w:after="0" w:line="224" w:lineRule="auto"/>
        <w:tabs>
          <w:tab w:leader="none" w:pos="1876"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i w:val="1"/>
          <w:iCs w:val="1"/>
          <w:color w:val="auto"/>
        </w:rPr>
        <w:t>Change in Control</w:t>
      </w:r>
      <w:r>
        <w:rPr>
          <w:rFonts w:ascii="Times New Roman" w:cs="Times New Roman" w:eastAsia="Times New Roman" w:hAnsi="Times New Roman"/>
          <w:sz w:val="21"/>
          <w:szCs w:val="21"/>
          <w:color w:val="auto"/>
        </w:rPr>
        <w:t>” has the meaning ascribed to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 in the Plan (as such document may be amended from time to time); provided that no Change in Control shall be deemed to have occurred unless the event would also constitute a change in ownership or effective control of, or a change in the ownership of a substantial portion of the assets of, the Company under Code Section 409A.</w:t>
      </w:r>
    </w:p>
    <w:p>
      <w:pPr>
        <w:spacing w:after="0" w:line="143" w:lineRule="exact"/>
        <w:rPr>
          <w:rFonts w:ascii="Times New Roman" w:cs="Times New Roman" w:eastAsia="Times New Roman" w:hAnsi="Times New Roman"/>
          <w:sz w:val="21"/>
          <w:szCs w:val="21"/>
          <w:b w:val="1"/>
          <w:bCs w:val="1"/>
          <w:color w:val="auto"/>
        </w:rPr>
      </w:pPr>
    </w:p>
    <w:p>
      <w:pPr>
        <w:jc w:val="both"/>
        <w:ind w:firstLine="1259"/>
        <w:spacing w:after="0" w:line="221" w:lineRule="auto"/>
        <w:tabs>
          <w:tab w:leader="none" w:pos="1878" w:val="left"/>
        </w:tabs>
        <w:numPr>
          <w:ilvl w:val="0"/>
          <w:numId w:val="1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Section 409A; Conditional Six-Month Delay. </w:t>
      </w:r>
      <w:r>
        <w:rPr>
          <w:rFonts w:ascii="Times New Roman" w:cs="Times New Roman" w:eastAsia="Times New Roman" w:hAnsi="Times New Roman"/>
          <w:sz w:val="21"/>
          <w:szCs w:val="21"/>
          <w:color w:val="auto"/>
        </w:rPr>
        <w:t>Any payments under this Section 5 (the “</w:t>
      </w:r>
      <w:r>
        <w:rPr>
          <w:rFonts w:ascii="Times New Roman" w:cs="Times New Roman" w:eastAsia="Times New Roman" w:hAnsi="Times New Roman"/>
          <w:sz w:val="21"/>
          <w:szCs w:val="21"/>
          <w:b w:val="1"/>
          <w:bCs w:val="1"/>
          <w:i w:val="1"/>
          <w:iCs w:val="1"/>
          <w:color w:val="auto"/>
        </w:rPr>
        <w:t>Payments</w:t>
      </w:r>
      <w:r>
        <w:rPr>
          <w:rFonts w:ascii="Times New Roman" w:cs="Times New Roman" w:eastAsia="Times New Roman" w:hAnsi="Times New Roman"/>
          <w:sz w:val="21"/>
          <w:szCs w:val="21"/>
          <w:color w:val="auto"/>
        </w:rPr>
        <w:t>”)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intended to be exempt from or satisfy the requirements for deferred compensation under Section 409A, including current and future guidance and regulations interpreting Section 409A, and should be interpreted and administered accordingly. However, if the Company (or, if applicable, the successor entity thereto) determines that the Payments (or any portion of the Payments) constitute “deferred compensation” under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54" w:right="339" w:bottom="1440" w:gutter="0" w:footer="0" w:header="0"/>
        </w:sectPr>
      </w:pPr>
    </w:p>
    <w:bookmarkStart w:id="41" w:name="page42"/>
    <w:bookmarkEnd w:id="41"/>
    <w:p>
      <w:pPr>
        <w:jc w:val="both"/>
        <w:spacing w:after="0" w:line="212" w:lineRule="auto"/>
        <w:rPr>
          <w:sz w:val="20"/>
          <w:szCs w:val="20"/>
          <w:color w:val="auto"/>
        </w:rPr>
      </w:pPr>
      <w:r>
        <w:rPr>
          <w:rFonts w:ascii="Times New Roman" w:cs="Times New Roman" w:eastAsia="Times New Roman" w:hAnsi="Times New Roman"/>
          <w:sz w:val="21"/>
          <w:szCs w:val="21"/>
          <w:color w:val="auto"/>
        </w:rPr>
        <w:t>409A and Executive is a “specified employee” of the Company or any successor entity thereto, as such term is defined in Section 409A(a)(2)(B)(i) (a “</w:t>
      </w:r>
      <w:r>
        <w:rPr>
          <w:rFonts w:ascii="Times New Roman" w:cs="Times New Roman" w:eastAsia="Times New Roman" w:hAnsi="Times New Roman"/>
          <w:sz w:val="21"/>
          <w:szCs w:val="21"/>
          <w:b w:val="1"/>
          <w:bCs w:val="1"/>
          <w:i w:val="1"/>
          <w:iCs w:val="1"/>
          <w:color w:val="auto"/>
        </w:rPr>
        <w:t>Specified Employee</w:t>
      </w:r>
      <w:r>
        <w:rPr>
          <w:rFonts w:ascii="Times New Roman" w:cs="Times New Roman" w:eastAsia="Times New Roman" w:hAnsi="Times New Roman"/>
          <w:sz w:val="21"/>
          <w:szCs w:val="21"/>
          <w:color w:val="auto"/>
        </w:rPr>
        <w:t>”), then, solely to the extent necessary to avoid the incurrence of the adverse personal tax consequences under Section 409A, the timing of the Payments shall be delayed as follows: on the earliest to occur of (i) the date that is six months and one day after the Termination Date, (ii) the date of the Specified Employee’s death, or (iii) such earlier date, as reasonably determined in good faith by the Company (or any successor entity thereto), as would not result in any of the Payments being subject to adverse personal tax consequences under Section 409A (such earliest date, the “</w:t>
      </w:r>
      <w:r>
        <w:rPr>
          <w:rFonts w:ascii="Times New Roman" w:cs="Times New Roman" w:eastAsia="Times New Roman" w:hAnsi="Times New Roman"/>
          <w:sz w:val="21"/>
          <w:szCs w:val="21"/>
          <w:b w:val="1"/>
          <w:bCs w:val="1"/>
          <w:i w:val="1"/>
          <w:iCs w:val="1"/>
          <w:color w:val="auto"/>
        </w:rPr>
        <w:t>Delayed Initial Payment Date</w:t>
      </w:r>
      <w:r>
        <w:rPr>
          <w:rFonts w:ascii="Times New Roman" w:cs="Times New Roman" w:eastAsia="Times New Roman" w:hAnsi="Times New Roman"/>
          <w:sz w:val="21"/>
          <w:szCs w:val="21"/>
          <w:color w:val="auto"/>
        </w:rPr>
        <w:t>”), the Company (or the successor entity thereto, as applicable) shall (A) pay to Executive a lump sum amount equal to the sum of the Payments that Executive would otherwise have received through the Delayed Initial Payment Date if the commencement of the payment of the Payments had not been delayed pursuant to this Section 5.E. and (B) commence paying the balance of the Payments in accordance with the applicable payment schedules set forth in this Section 5 above. For the avoidance of doubt, it is intended that (1) each installment of the Payments is a separate “payment” for purposes of Section 409A, (2) all Payments satisfy, to the greatest extent possible, the exemptions from the application of Section 409A provided under of Treasury Regulation 1.409A-1(b)(4)-(6), and 1.409A-1(b)(9)(iii), and (3) the Payments consisting of COBRA premiums also satisfy, to the greatest extent possible, the exemptions from the application of Section 409A provided under Treasury Regulation 1.409A-1(b)(9)(v).</w:t>
      </w:r>
    </w:p>
    <w:p>
      <w:pPr>
        <w:spacing w:after="0" w:line="146" w:lineRule="exact"/>
        <w:rPr>
          <w:sz w:val="20"/>
          <w:szCs w:val="20"/>
          <w:color w:val="auto"/>
        </w:rPr>
      </w:pPr>
    </w:p>
    <w:p>
      <w:pPr>
        <w:jc w:val="both"/>
        <w:ind w:firstLine="1259"/>
        <w:spacing w:after="0" w:line="210" w:lineRule="auto"/>
        <w:tabs>
          <w:tab w:leader="none" w:pos="1860" w:val="left"/>
        </w:tabs>
        <w:numPr>
          <w:ilvl w:val="1"/>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280G Limitations. </w:t>
      </w:r>
      <w:r>
        <w:rPr>
          <w:rFonts w:ascii="Times New Roman" w:cs="Times New Roman" w:eastAsia="Times New Roman" w:hAnsi="Times New Roman"/>
          <w:sz w:val="21"/>
          <w:szCs w:val="21"/>
          <w:color w:val="auto"/>
        </w:rPr>
        <w:t>In the event that the severance pay and other benefits provided for in this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payable to Executive (i) constitute “parachute payments” within the meaning of Section 280G of the Code and (ii) would be subject to the excise tax imposed by Code Section 4999, then such benefits shall be either be: (A) delivered in full, or (B) delivered as to such lesser extent which would result in no portion of such severance pay and other benefits being subject to excise tax under Code Section 4999, whichever of the foregoing amounts, taking into account the applicable federal, state and local income and employment taxes and the excise tax imposed by Code Section 4999, results in the receipt by Executive, on an after-tax basis, of the greatest amount of benefits, notwithstanding that all or some portion of such benefits may be subject to excise tax under Code Section 4999. Any determination required under this Section 5.F. will be made in writing by an accounting firm selected by the Company or such other person or entity to which the parties mutually agree (the “</w:t>
      </w:r>
      <w:r>
        <w:rPr>
          <w:rFonts w:ascii="Times New Roman" w:cs="Times New Roman" w:eastAsia="Times New Roman" w:hAnsi="Times New Roman"/>
          <w:sz w:val="21"/>
          <w:szCs w:val="21"/>
          <w:b w:val="1"/>
          <w:bCs w:val="1"/>
          <w:i w:val="1"/>
          <w:iCs w:val="1"/>
          <w:color w:val="auto"/>
        </w:rPr>
        <w:t>Accountants</w:t>
      </w:r>
      <w:r>
        <w:rPr>
          <w:rFonts w:ascii="Times New Roman" w:cs="Times New Roman" w:eastAsia="Times New Roman" w:hAnsi="Times New Roman"/>
          <w:sz w:val="21"/>
          <w:szCs w:val="21"/>
          <w:color w:val="auto"/>
        </w:rPr>
        <w:t>”), whose determination will be conclusive and binding upon Executive and the Company for all purposes. For purposes of making the calculations required by this Section 5.F., the Accountants may make reasonable assumptions and approximations concerning applicable taxes and may rely on reasonable, good faith interpretations concerning the application of Code Sections 280G and 4999. The Company and Executive shall furnish to the Accountants such information and documents as the Accountants may reasonably request in order to make a determination under this Section 5.F. The Company shall bear all costs the Accountants may reasonably incur in connection with any calculations contemplated by this Section 5.F. Any reduction in payments and/or benefits required by this Section 5.F. shall occur in the following order: (i) cash payments shall be reduced first and in reverse chronological order such that the cash payment owed on the latest date following the occurrence of the event triggering such excise tax will be the first cash payment to be reduced; (ii) accelerated vesting of restricted stock units, options or other equity-based awards, if any, shall be cancelled/reduced next and in the reverse order of the date of grant for such restricted stock units, options or other equity-based awards (i.e., the vesting of the most recently granted stock awards will be reduced first), with full-value awards reversed before any restricted stock units, options or other equity-based awards are reduced; and (iii) deferred compensation amounts subject to Section 409A shall be reduced last.</w:t>
      </w:r>
    </w:p>
    <w:p>
      <w:pPr>
        <w:spacing w:after="0" w:line="162" w:lineRule="exact"/>
        <w:rPr>
          <w:rFonts w:ascii="Times New Roman" w:cs="Times New Roman" w:eastAsia="Times New Roman" w:hAnsi="Times New Roman"/>
          <w:sz w:val="21"/>
          <w:szCs w:val="21"/>
          <w:b w:val="1"/>
          <w:bCs w:val="1"/>
          <w:color w:val="auto"/>
        </w:rPr>
      </w:pPr>
    </w:p>
    <w:p>
      <w:pPr>
        <w:ind w:firstLine="632"/>
        <w:spacing w:after="0" w:line="242" w:lineRule="auto"/>
        <w:tabs>
          <w:tab w:leader="none" w:pos="1255" w:val="left"/>
        </w:tabs>
        <w:numPr>
          <w:ilvl w:val="0"/>
          <w:numId w:val="1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Remedies. </w:t>
      </w:r>
      <w:r>
        <w:rPr>
          <w:rFonts w:ascii="Times New Roman" w:cs="Times New Roman" w:eastAsia="Times New Roman" w:hAnsi="Times New Roman"/>
          <w:sz w:val="21"/>
          <w:szCs w:val="21"/>
          <w:color w:val="auto"/>
        </w:rPr>
        <w:t>Each of the parties to this Agreement will be entitled to enforce its rights under this Agreement specifically,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recover damages by reason of any breach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54" w:right="339" w:bottom="1440" w:gutter="0" w:footer="0" w:header="0"/>
        </w:sectPr>
      </w:pPr>
    </w:p>
    <w:bookmarkStart w:id="42" w:name="page43"/>
    <w:bookmarkEnd w:id="42"/>
    <w:p>
      <w:pPr>
        <w:jc w:val="both"/>
        <w:spacing w:after="0" w:line="223" w:lineRule="auto"/>
        <w:rPr>
          <w:sz w:val="20"/>
          <w:szCs w:val="20"/>
          <w:color w:val="auto"/>
        </w:rPr>
      </w:pPr>
      <w:r>
        <w:rPr>
          <w:rFonts w:ascii="Times New Roman" w:cs="Times New Roman" w:eastAsia="Times New Roman" w:hAnsi="Times New Roman"/>
          <w:sz w:val="21"/>
          <w:szCs w:val="21"/>
          <w:color w:val="auto"/>
        </w:rPr>
        <w:t>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in accordance with Section 12 for injunctive relief in order to enforce or prevent any violations of the provisions of this Agreement.</w:t>
      </w:r>
    </w:p>
    <w:p>
      <w:pPr>
        <w:spacing w:after="0" w:line="144" w:lineRule="exact"/>
        <w:rPr>
          <w:sz w:val="20"/>
          <w:szCs w:val="20"/>
          <w:color w:val="auto"/>
        </w:rPr>
      </w:pPr>
    </w:p>
    <w:p>
      <w:pPr>
        <w:jc w:val="both"/>
        <w:ind w:firstLine="632"/>
        <w:spacing w:after="0" w:line="221" w:lineRule="auto"/>
        <w:tabs>
          <w:tab w:leader="none" w:pos="1255"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Attorney Fees. </w:t>
      </w:r>
      <w:r>
        <w:rPr>
          <w:rFonts w:ascii="Times New Roman" w:cs="Times New Roman" w:eastAsia="Times New Roman" w:hAnsi="Times New Roman"/>
          <w:sz w:val="21"/>
          <w:szCs w:val="21"/>
          <w:color w:val="auto"/>
        </w:rPr>
        <w:t>If any action at law or in equity, including any action for declaratory or injunctive relief, is brought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which arises out of this Agreement or the termination of Executive’s employment, or which seeks to enforce or interpret this Agreement or to seek damages for its breach, the prevailing party shall be entitled to recover reasonable attorney fees from the non-prevailing party, which fees may be set by the court or arbitrator in the trial of such action, or may be enforced in a separate action brought for that purpose, and which fees shall be in addition to any other relief which may be awarded.</w:t>
      </w:r>
    </w:p>
    <w:p>
      <w:pPr>
        <w:spacing w:after="0" w:line="142" w:lineRule="exact"/>
        <w:rPr>
          <w:rFonts w:ascii="Times New Roman" w:cs="Times New Roman" w:eastAsia="Times New Roman" w:hAnsi="Times New Roman"/>
          <w:sz w:val="21"/>
          <w:szCs w:val="21"/>
          <w:b w:val="1"/>
          <w:bCs w:val="1"/>
          <w:color w:val="auto"/>
        </w:rPr>
      </w:pPr>
    </w:p>
    <w:p>
      <w:pPr>
        <w:jc w:val="both"/>
        <w:ind w:firstLine="632"/>
        <w:spacing w:after="0" w:line="216" w:lineRule="auto"/>
        <w:tabs>
          <w:tab w:leader="none" w:pos="1255"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Assignment. </w:t>
      </w:r>
      <w:r>
        <w:rPr>
          <w:rFonts w:ascii="Times New Roman" w:cs="Times New Roman" w:eastAsia="Times New Roman" w:hAnsi="Times New Roman"/>
          <w:sz w:val="21"/>
          <w:szCs w:val="21"/>
          <w:color w:val="auto"/>
        </w:rPr>
        <w:t>This Agreement shall not be assignable, in whole or in part, by either party without the written consent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other party, except that the Company may, without the consent of Executive, assign or delegate all or any portion of its rights and obligations under this Agreement to any corporation or other business entity (i) with which the Company may merge or consolidate, or (ii) to which the Company may sell or transfer all or substantially all of its assets or capital stock. Any such current or future successor to which any right or obligation has been assigned or delegated shall be deemed to be the “Company” for purposes of such rights or obligations of this Agreement. The rights and, obligations under this Agreement shall inure to the benefit of and shall be binding upon the heirs, legatees, administrators and personal representatives of Executive and upon the successors, affiliates, representatives and assigns of the Company.</w:t>
      </w:r>
    </w:p>
    <w:p>
      <w:pPr>
        <w:spacing w:after="0" w:line="143" w:lineRule="exact"/>
        <w:rPr>
          <w:rFonts w:ascii="Times New Roman" w:cs="Times New Roman" w:eastAsia="Times New Roman" w:hAnsi="Times New Roman"/>
          <w:sz w:val="21"/>
          <w:szCs w:val="21"/>
          <w:b w:val="1"/>
          <w:bCs w:val="1"/>
          <w:color w:val="auto"/>
        </w:rPr>
      </w:pPr>
    </w:p>
    <w:p>
      <w:pPr>
        <w:jc w:val="both"/>
        <w:ind w:firstLine="632"/>
        <w:spacing w:after="0" w:line="217" w:lineRule="auto"/>
        <w:tabs>
          <w:tab w:leader="none" w:pos="1255"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Severability and Reformation. </w:t>
      </w:r>
      <w:r>
        <w:rPr>
          <w:rFonts w:ascii="Times New Roman" w:cs="Times New Roman" w:eastAsia="Times New Roman" w:hAnsi="Times New Roman"/>
          <w:sz w:val="21"/>
          <w:szCs w:val="21"/>
          <w:color w:val="auto"/>
        </w:rPr>
        <w:t>The parties hereto intend all provisions of this Agreement to be enforced to the fullest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extent permitted by law, and are intended to be limited to the extent necessary so that they will not render this Agreement illegal, invalid, or unenforceable under present or future law. If any provision of this Agreement or any application thereof shall be held to be invalid, illegal or unenforceable, the validity, legality and enforceability of such provision shall be fully severable, and this Agreement shall be construed and enforced as if such illegal, invalid, or unenforceable provision were never a part hereof and the remaining provisions shall remain in full force and effect and shall not be affected by the illegal, invalid, or unenforceable provision or by its severance.</w:t>
      </w:r>
    </w:p>
    <w:p>
      <w:pPr>
        <w:spacing w:after="0" w:line="144" w:lineRule="exact"/>
        <w:rPr>
          <w:rFonts w:ascii="Times New Roman" w:cs="Times New Roman" w:eastAsia="Times New Roman" w:hAnsi="Times New Roman"/>
          <w:sz w:val="21"/>
          <w:szCs w:val="21"/>
          <w:b w:val="1"/>
          <w:bCs w:val="1"/>
          <w:color w:val="auto"/>
        </w:rPr>
      </w:pPr>
    </w:p>
    <w:p>
      <w:pPr>
        <w:jc w:val="both"/>
        <w:ind w:firstLine="632"/>
        <w:spacing w:after="0" w:line="224" w:lineRule="auto"/>
        <w:tabs>
          <w:tab w:leader="none" w:pos="1255" w:val="left"/>
        </w:tabs>
        <w:numPr>
          <w:ilvl w:val="0"/>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Notices. </w:t>
      </w:r>
      <w:r>
        <w:rPr>
          <w:rFonts w:ascii="Times New Roman" w:cs="Times New Roman" w:eastAsia="Times New Roman" w:hAnsi="Times New Roman"/>
          <w:sz w:val="21"/>
          <w:szCs w:val="21"/>
          <w:color w:val="auto"/>
        </w:rPr>
        <w:t>All notices and other communications required or permitted to be given hereunder shall be in writing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be deemed to have been duly given if delivered personally, mailed by certified mail (return receipt requested) or sent by overnight delivery service, cable, telegram, facsimile transmission or telex to the parties at the following addresses or at such other addresses as shall be specified by the parties by like notice: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Proto Labs, Inc.</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5540 Pioneer Creek Drive</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Maple Plain, MN 55359</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Attention: President and CEO</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If to Executive:</w:t>
      </w: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The last known address on file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54" w:right="339" w:bottom="1440" w:gutter="0" w:footer="0" w:header="0"/>
        </w:sectPr>
      </w:pPr>
    </w:p>
    <w:bookmarkStart w:id="43" w:name="page44"/>
    <w:bookmarkEnd w:id="43"/>
    <w:p>
      <w:pPr>
        <w:spacing w:after="0" w:line="175" w:lineRule="exact"/>
        <w:rPr>
          <w:sz w:val="20"/>
          <w:szCs w:val="20"/>
          <w:color w:val="auto"/>
        </w:rPr>
      </w:pPr>
    </w:p>
    <w:p>
      <w:pPr>
        <w:jc w:val="both"/>
        <w:ind w:firstLine="627"/>
        <w:spacing w:after="0" w:line="261" w:lineRule="auto"/>
        <w:rPr>
          <w:sz w:val="20"/>
          <w:szCs w:val="20"/>
          <w:color w:val="auto"/>
        </w:rPr>
      </w:pPr>
      <w:r>
        <w:rPr>
          <w:rFonts w:ascii="Times New Roman" w:cs="Times New Roman" w:eastAsia="Times New Roman" w:hAnsi="Times New Roman"/>
          <w:sz w:val="21"/>
          <w:szCs w:val="21"/>
          <w:color w:val="auto"/>
        </w:rPr>
        <w:t>Notice so given shall, in the case of notice so given by mail, be deemed to be given and received on the fourth calendar day after posting, in the case of notice so given by overnight delivery service, on the date of actual delivery and, in the case of notice so given by cable, telegram, facsimile transmission, telex or personal delivery, on the date of actual transmission or, as the case may be, personal delivery.</w:t>
      </w:r>
    </w:p>
    <w:p>
      <w:pPr>
        <w:spacing w:after="0" w:line="135" w:lineRule="exact"/>
        <w:rPr>
          <w:sz w:val="20"/>
          <w:szCs w:val="20"/>
          <w:color w:val="auto"/>
        </w:rPr>
      </w:pPr>
    </w:p>
    <w:p>
      <w:pPr>
        <w:jc w:val="both"/>
        <w:ind w:firstLine="632"/>
        <w:spacing w:after="0" w:line="230" w:lineRule="auto"/>
        <w:tabs>
          <w:tab w:leader="none" w:pos="1243"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Further Actions. </w:t>
      </w:r>
      <w:r>
        <w:rPr>
          <w:rFonts w:ascii="Times New Roman" w:cs="Times New Roman" w:eastAsia="Times New Roman" w:hAnsi="Times New Roman"/>
          <w:sz w:val="21"/>
          <w:szCs w:val="21"/>
          <w:color w:val="auto"/>
        </w:rPr>
        <w:t>Whether or not specifically required under the terms of this Agreement, each party hereto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execute and deliver such documents and take such further actions as shall be necessary in order for such party to perform all of the party’s obligations specified herein or reasonably implied from the terms hereof.</w:t>
      </w:r>
    </w:p>
    <w:p>
      <w:pPr>
        <w:spacing w:after="0" w:line="142" w:lineRule="exact"/>
        <w:rPr>
          <w:rFonts w:ascii="Times New Roman" w:cs="Times New Roman" w:eastAsia="Times New Roman" w:hAnsi="Times New Roman"/>
          <w:sz w:val="21"/>
          <w:szCs w:val="21"/>
          <w:b w:val="1"/>
          <w:bCs w:val="1"/>
          <w:color w:val="auto"/>
        </w:rPr>
      </w:pPr>
    </w:p>
    <w:p>
      <w:pPr>
        <w:jc w:val="both"/>
        <w:ind w:firstLine="632"/>
        <w:spacing w:after="0" w:line="211" w:lineRule="auto"/>
        <w:tabs>
          <w:tab w:leader="none" w:pos="1255"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Taxes. </w:t>
      </w:r>
      <w:r>
        <w:rPr>
          <w:rFonts w:ascii="Times New Roman" w:cs="Times New Roman" w:eastAsia="Times New Roman" w:hAnsi="Times New Roman"/>
          <w:sz w:val="21"/>
          <w:szCs w:val="21"/>
          <w:color w:val="auto"/>
        </w:rPr>
        <w:t>The Company may withhold from any amounts payable under this Agreement such federal, state and local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income and employment taxes as the Company determines are required or authorized to be withheld pursuant to any applicable law or regulation. Except for any tax amounts withheld by the Company from any compensation that Executive may receive in connection with Executive’s employment with the Company and any employer taxes required to be paid by the Company under applicable laws or regulations, Executive is solely responsible for payment of any and all taxes owed in connection with any compensation, benefits, reimbursement amounts or other payments Executive receives from the Company under this Agreement or otherwise in connection with Executive’s employment with the Company. The Company does not guarantee any particular tax consequence or result with respect to any payment made by the Company. In no event should this Section 12 or any other provision of this Agreement be construed to require the Company to provide any gross-up for the tax consequences of any provisions of, or payments under, this Agreement, and the Company has no responsibility for tax or legal consequences to Executive resulting from the terms or operation of this Agreement; provided, however, to the extent that any post-termination COBRA premiums paid by the Company under Section 5 of this Agreement shall be taxable at the Termination Date or during the period for which such COBRA premiums are provided, then the Company shall pay to Executive an additional amount for each such month that the COBRA premiums are taxable. The monthly amount will equal 15% of the applicable COBRA premium for that month and such amount will be paid to Executive within two and one half months after the month to which they relate, provided that the aggregate amount payable to Executive under this provision will not exceed the dollar limit in effect under Code section 402(g)(1)(B) for the year of the Termination Date, as provided in Treasury Regulations section 1.409A-1(b)(9)(v)(D).</w:t>
      </w:r>
    </w:p>
    <w:p>
      <w:pPr>
        <w:spacing w:after="0" w:line="154" w:lineRule="exact"/>
        <w:rPr>
          <w:rFonts w:ascii="Times New Roman" w:cs="Times New Roman" w:eastAsia="Times New Roman" w:hAnsi="Times New Roman"/>
          <w:sz w:val="21"/>
          <w:szCs w:val="21"/>
          <w:b w:val="1"/>
          <w:bCs w:val="1"/>
          <w:color w:val="auto"/>
        </w:rPr>
      </w:pPr>
    </w:p>
    <w:p>
      <w:pPr>
        <w:jc w:val="both"/>
        <w:ind w:firstLine="632"/>
        <w:spacing w:after="0" w:line="224" w:lineRule="auto"/>
        <w:tabs>
          <w:tab w:leader="none" w:pos="1255"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Governing Law and Venue. </w:t>
      </w:r>
      <w:r>
        <w:rPr>
          <w:rFonts w:ascii="Times New Roman" w:cs="Times New Roman" w:eastAsia="Times New Roman" w:hAnsi="Times New Roman"/>
          <w:sz w:val="21"/>
          <w:szCs w:val="21"/>
          <w:color w:val="auto"/>
        </w:rPr>
        <w:t>This Agreement is to be governed by and construed in accordance with the laws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 of Minnesota without giving effect to any choice or conflict of law provision or rule that would cause the application of laws of any jurisdiction other than the State of Minnesota. The parties agree that any dispute concerning this Agreement is to be brought in the District Court in Hennepin County, Minnesota and consent to jurisdiction and venue therein.</w:t>
      </w:r>
    </w:p>
    <w:p>
      <w:pPr>
        <w:spacing w:after="0" w:line="143" w:lineRule="exact"/>
        <w:rPr>
          <w:rFonts w:ascii="Times New Roman" w:cs="Times New Roman" w:eastAsia="Times New Roman" w:hAnsi="Times New Roman"/>
          <w:sz w:val="21"/>
          <w:szCs w:val="21"/>
          <w:b w:val="1"/>
          <w:bCs w:val="1"/>
          <w:color w:val="auto"/>
        </w:rPr>
      </w:pPr>
    </w:p>
    <w:p>
      <w:pPr>
        <w:jc w:val="both"/>
        <w:ind w:firstLine="632"/>
        <w:spacing w:after="0" w:line="221" w:lineRule="auto"/>
        <w:tabs>
          <w:tab w:leader="none" w:pos="1255"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Entire Agreement. </w:t>
      </w:r>
      <w:r>
        <w:rPr>
          <w:rFonts w:ascii="Times New Roman" w:cs="Times New Roman" w:eastAsia="Times New Roman" w:hAnsi="Times New Roman"/>
          <w:sz w:val="21"/>
          <w:szCs w:val="21"/>
          <w:color w:val="auto"/>
        </w:rPr>
        <w:t>This Agreement, the Restrictive Covenants Agreement, the Award Agreements and the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contain the entire understanding and agreement between the parties, except as otherwise specified herein, and supersede any other agreement between Executive and the Company, whether oral or in writing, with respect to the same subject matter;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nothing herein shall supersede or replace any of the Company’s equity-based compensation plans and any award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agreements with the Executive entered into thereunder.</w:t>
      </w:r>
    </w:p>
    <w:p>
      <w:pPr>
        <w:spacing w:after="0" w:line="142" w:lineRule="exact"/>
        <w:rPr>
          <w:rFonts w:ascii="Times New Roman" w:cs="Times New Roman" w:eastAsia="Times New Roman" w:hAnsi="Times New Roman"/>
          <w:sz w:val="21"/>
          <w:szCs w:val="21"/>
          <w:b w:val="1"/>
          <w:bCs w:val="1"/>
          <w:color w:val="auto"/>
        </w:rPr>
      </w:pPr>
    </w:p>
    <w:p>
      <w:pPr>
        <w:ind w:firstLine="632"/>
        <w:spacing w:after="0" w:line="242" w:lineRule="auto"/>
        <w:tabs>
          <w:tab w:leader="none" w:pos="1255"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No Waiver. </w:t>
      </w:r>
      <w:r>
        <w:rPr>
          <w:rFonts w:ascii="Times New Roman" w:cs="Times New Roman" w:eastAsia="Times New Roman" w:hAnsi="Times New Roman"/>
          <w:sz w:val="21"/>
          <w:szCs w:val="21"/>
          <w:color w:val="auto"/>
        </w:rPr>
        <w:t>No term or condition of this Agreement shall be deemed to have been waived, except by a statement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writing signed by the party against whom enforcement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44" w:name="page45"/>
    <w:bookmarkEnd w:id="44"/>
    <w:p>
      <w:pPr>
        <w:jc w:val="both"/>
        <w:spacing w:after="0" w:line="228" w:lineRule="auto"/>
        <w:rPr>
          <w:sz w:val="20"/>
          <w:szCs w:val="20"/>
          <w:color w:val="auto"/>
        </w:rPr>
      </w:pPr>
      <w:r>
        <w:rPr>
          <w:rFonts w:ascii="Times New Roman" w:cs="Times New Roman" w:eastAsia="Times New Roman" w:hAnsi="Times New Roman"/>
          <w:sz w:val="21"/>
          <w:szCs w:val="21"/>
          <w:color w:val="auto"/>
        </w:rPr>
        <w:t>the waiver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44" w:lineRule="exact"/>
        <w:rPr>
          <w:sz w:val="20"/>
          <w:szCs w:val="20"/>
          <w:color w:val="auto"/>
        </w:rPr>
      </w:pPr>
    </w:p>
    <w:p>
      <w:pPr>
        <w:jc w:val="both"/>
        <w:ind w:firstLine="632"/>
        <w:spacing w:after="0" w:line="230" w:lineRule="auto"/>
        <w:tabs>
          <w:tab w:leader="none" w:pos="1255" w:val="left"/>
        </w:tabs>
        <w:numPr>
          <w:ilvl w:val="0"/>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Counterparts. </w:t>
      </w:r>
      <w:r>
        <w:rPr>
          <w:rFonts w:ascii="Times New Roman" w:cs="Times New Roman" w:eastAsia="Times New Roman" w:hAnsi="Times New Roman"/>
          <w:sz w:val="21"/>
          <w:szCs w:val="21"/>
          <w:color w:val="auto"/>
        </w:rPr>
        <w:t>This Agreement may be executed in counterparts, with the same effect as if both parties had signed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same document. All such counterparts shall be deemed an original, shall be construed together and shall constitute one and the same instrument.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54" w:right="339" w:bottom="1440" w:gutter="0" w:footer="0" w:header="0"/>
        </w:sectPr>
      </w:pPr>
    </w:p>
    <w:bookmarkStart w:id="45" w:name="page46"/>
    <w:bookmarkEnd w:id="45"/>
    <w:p>
      <w:pPr>
        <w:ind w:left="64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executed this Agreement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Proto Labs, Inc.</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-10795</wp:posOffset>
            </wp:positionV>
            <wp:extent cx="1327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32715" cy="8255"/>
                    </a:xfrm>
                    <a:prstGeom prst="rect">
                      <a:avLst/>
                    </a:prstGeom>
                    <a:noFill/>
                  </pic:spPr>
                </pic:pic>
              </a:graphicData>
            </a:graphic>
          </wp:anchor>
        </w:drawing>
        <w:drawing>
          <wp:anchor simplePos="0" relativeHeight="251657728" behindDoc="1" locked="0" layoutInCell="0" allowOverlap="1">
            <wp:simplePos x="0" y="0"/>
            <wp:positionH relativeFrom="column">
              <wp:posOffset>135890</wp:posOffset>
            </wp:positionH>
            <wp:positionV relativeFrom="paragraph">
              <wp:posOffset>146050</wp:posOffset>
            </wp:positionV>
            <wp:extent cx="1327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455930</wp:posOffset>
            </wp:positionV>
            <wp:extent cx="1327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1327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i w:val="1"/>
          <w:iCs w:val="1"/>
          <w:color w:val="auto"/>
        </w:rPr>
        <w:t>Executive Severance Agreement</w:t>
      </w:r>
    </w:p>
    <w:p>
      <w:pPr>
        <w:sectPr>
          <w:pgSz w:w="11900" w:h="16838" w:orient="portrait"/>
          <w:cols w:equalWidth="0" w:num="1">
            <w:col w:w="10139"/>
          </w:cols>
          <w:pgMar w:left="320" w:top="1376" w:right="1440"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Suresh Krishna, certify that:</w:t>
      </w:r>
    </w:p>
    <w:p>
      <w:pPr>
        <w:spacing w:after="0" w:line="223" w:lineRule="exact"/>
        <w:rPr>
          <w:sz w:val="20"/>
          <w:szCs w:val="20"/>
          <w:color w:val="auto"/>
        </w:rPr>
      </w:pPr>
    </w:p>
    <w:p>
      <w:pPr>
        <w:ind w:left="640" w:hanging="165"/>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October 31, 2025</w:t>
      </w:r>
      <w:r>
        <w:rPr>
          <w:sz w:val="20"/>
          <w:szCs w:val="20"/>
          <w:color w:val="auto"/>
        </w:rPr>
        <w:tab/>
      </w:r>
      <w:r>
        <w:rPr>
          <w:rFonts w:ascii="Times New Roman" w:cs="Times New Roman" w:eastAsia="Times New Roman" w:hAnsi="Times New Roman"/>
          <w:sz w:val="17"/>
          <w:szCs w:val="17"/>
          <w:color w:val="auto"/>
        </w:rPr>
        <w:t>By:</w:t>
        <w:tab/>
        <w:t>/s/ Suresh Krishna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Suresh Krishna</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11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RULE 13a-14(a) OR 15d-14(a) OF</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Daniel Schumacher, certify that:</w:t>
      </w:r>
    </w:p>
    <w:p>
      <w:pPr>
        <w:spacing w:after="0" w:line="223" w:lineRule="exact"/>
        <w:rPr>
          <w:sz w:val="20"/>
          <w:szCs w:val="20"/>
          <w:color w:val="auto"/>
        </w:rPr>
      </w:pPr>
    </w:p>
    <w:p>
      <w:pPr>
        <w:ind w:left="640" w:hanging="165"/>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Proto Labs, Inc.;</w:t>
      </w:r>
    </w:p>
    <w:p>
      <w:pPr>
        <w:spacing w:after="0" w:line="222" w:lineRule="exact"/>
        <w:rPr>
          <w:rFonts w:ascii="Times New Roman" w:cs="Times New Roman" w:eastAsia="Times New Roman" w:hAnsi="Times New Roman"/>
          <w:sz w:val="17"/>
          <w:szCs w:val="17"/>
          <w:color w:val="auto"/>
        </w:rPr>
      </w:pPr>
    </w:p>
    <w:p>
      <w:pPr>
        <w:ind w:right="480" w:firstLine="475"/>
        <w:spacing w:after="0" w:line="295" w:lineRule="auto"/>
        <w:tabs>
          <w:tab w:leader="none" w:pos="62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440" w:firstLine="475"/>
        <w:spacing w:after="0" w:line="295" w:lineRule="auto"/>
        <w:tabs>
          <w:tab w:leader="none" w:pos="62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180" w:firstLine="475"/>
        <w:spacing w:after="0" w:line="276" w:lineRule="auto"/>
        <w:tabs>
          <w:tab w:leader="none" w:pos="62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7"/>
          <w:szCs w:val="17"/>
          <w:color w:val="auto"/>
        </w:rPr>
      </w:pPr>
    </w:p>
    <w:p>
      <w:pPr>
        <w:ind w:left="1580" w:right="160" w:hanging="478"/>
        <w:spacing w:after="0" w:line="276" w:lineRule="auto"/>
        <w:tabs>
          <w:tab w:leader="none" w:pos="15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left="1580" w:right="100" w:hanging="478"/>
        <w:spacing w:after="0" w:line="276" w:lineRule="auto"/>
        <w:tabs>
          <w:tab w:leader="none" w:pos="156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jc w:val="both"/>
        <w:ind w:left="1580" w:right="260" w:hanging="478"/>
        <w:spacing w:after="0" w:line="295" w:lineRule="auto"/>
        <w:tabs>
          <w:tab w:leader="none" w:pos="15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1580" w:right="260" w:hanging="478"/>
        <w:spacing w:after="0" w:line="276" w:lineRule="auto"/>
        <w:tabs>
          <w:tab w:leader="none" w:pos="156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1" w:lineRule="exact"/>
        <w:rPr>
          <w:rFonts w:ascii="Times New Roman" w:cs="Times New Roman" w:eastAsia="Times New Roman" w:hAnsi="Times New Roman"/>
          <w:sz w:val="17"/>
          <w:szCs w:val="17"/>
          <w:color w:val="auto"/>
        </w:rPr>
      </w:pPr>
    </w:p>
    <w:p>
      <w:pPr>
        <w:ind w:right="360" w:firstLine="475"/>
        <w:spacing w:after="0" w:line="295" w:lineRule="auto"/>
        <w:tabs>
          <w:tab w:leader="none" w:pos="62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580" w:right="500" w:hanging="478"/>
        <w:spacing w:after="0" w:line="295" w:lineRule="auto"/>
        <w:tabs>
          <w:tab w:leader="none" w:pos="157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580" w:right="200" w:hanging="478"/>
        <w:spacing w:after="0" w:line="295" w:lineRule="auto"/>
        <w:tabs>
          <w:tab w:leader="none" w:pos="1568"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900" w:val="left"/>
          <w:tab w:leader="none" w:pos="6360" w:val="left"/>
        </w:tabs>
        <w:rPr>
          <w:sz w:val="20"/>
          <w:szCs w:val="20"/>
          <w:color w:val="auto"/>
        </w:rPr>
      </w:pPr>
      <w:r>
        <w:rPr>
          <w:rFonts w:ascii="Times New Roman" w:cs="Times New Roman" w:eastAsia="Times New Roman" w:hAnsi="Times New Roman"/>
          <w:sz w:val="17"/>
          <w:szCs w:val="17"/>
          <w:color w:val="auto"/>
        </w:rPr>
        <w:t>Date: October 31, 2025</w:t>
      </w:r>
      <w:r>
        <w:rPr>
          <w:sz w:val="20"/>
          <w:szCs w:val="20"/>
          <w:color w:val="auto"/>
        </w:rPr>
        <w:tab/>
      </w:r>
      <w:r>
        <w:rPr>
          <w:rFonts w:ascii="Times New Roman" w:cs="Times New Roman" w:eastAsia="Times New Roman" w:hAnsi="Times New Roman"/>
          <w:sz w:val="17"/>
          <w:szCs w:val="17"/>
          <w:color w:val="auto"/>
        </w:rPr>
        <w:t>By:</w:t>
        <w:tab/>
        <w:t>/s/ Daniel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36830</wp:posOffset>
            </wp:positionV>
            <wp:extent cx="31038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5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Schumacher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6"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112"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I, Suresh Krishna, certify, pursuant to 18 U.S.C. Section 1350, as adopted pursuant to Section 906 of the Sarbanes-Oxley Act of 2002, that the Quarterly Report of Proto Labs, Inc. on Form 10-Q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31, 2025</w:t>
            </w:r>
          </w:p>
        </w:tc>
        <w:tc>
          <w:tcPr>
            <w:tcW w:w="304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Suresh Krishna</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40" w:type="dxa"/>
            <w:vAlign w:val="bottom"/>
            <w:vMerge w:val="restart"/>
          </w:tcPr>
          <w:p>
            <w:pPr>
              <w:ind w:left="226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8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Suresh Krishna</w:t>
            </w:r>
          </w:p>
        </w:tc>
        <w:tc>
          <w:tcPr>
            <w:tcW w:w="0" w:type="dxa"/>
            <w:vAlign w:val="bottom"/>
          </w:tcPr>
          <w:p>
            <w:pPr>
              <w:spacing w:after="0"/>
              <w:rPr>
                <w:sz w:val="1"/>
                <w:szCs w:val="1"/>
                <w:color w:val="auto"/>
              </w:rPr>
            </w:pPr>
          </w:p>
        </w:tc>
      </w:tr>
      <w:tr>
        <w:trPr>
          <w:trHeight w:val="261"/>
        </w:trPr>
        <w:tc>
          <w:tcPr>
            <w:tcW w:w="3880" w:type="dxa"/>
            <w:vAlign w:val="bottom"/>
          </w:tcPr>
          <w:p>
            <w:pPr>
              <w:spacing w:after="0"/>
              <w:rPr>
                <w:sz w:val="22"/>
                <w:szCs w:val="22"/>
                <w:color w:val="auto"/>
              </w:rPr>
            </w:pPr>
          </w:p>
        </w:tc>
        <w:tc>
          <w:tcPr>
            <w:tcW w:w="304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President and Chief Executive Officer</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I, Daniel Schumacher, certify, pursuant to 18 U.S.C. Section 1350, as adopted pursuant to Section 906 of the Sarbanes-Oxley Act of 2002, that the Quarterly Report of Proto Labs, Inc. on Form 10-Q for the fiscal quarter ended September 30, 2025 fully complies with the requirements of Section 13(a) or 15(d) of the Securities Exchange Act of 1934 and that information contained in such Quarterly Report on Form 10-Q fairly presents in all material respects the financial condition and results of operations of Proto Labs, Inc.</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88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31, 2025</w:t>
            </w:r>
          </w:p>
        </w:tc>
        <w:tc>
          <w:tcPr>
            <w:tcW w:w="304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By:</w:t>
            </w:r>
          </w:p>
        </w:tc>
        <w:tc>
          <w:tcPr>
            <w:tcW w:w="4300" w:type="dxa"/>
            <w:vAlign w:val="bottom"/>
          </w:tcPr>
          <w:p>
            <w:pPr>
              <w:spacing w:after="0"/>
              <w:rPr>
                <w:sz w:val="20"/>
                <w:szCs w:val="20"/>
                <w:color w:val="auto"/>
              </w:rPr>
            </w:pPr>
            <w:r>
              <w:rPr>
                <w:rFonts w:ascii="Times New Roman" w:cs="Times New Roman" w:eastAsia="Times New Roman" w:hAnsi="Times New Roman"/>
                <w:sz w:val="17"/>
                <w:szCs w:val="17"/>
                <w:color w:val="auto"/>
              </w:rPr>
              <w:t>/s/ Daniel Schumacher</w:t>
            </w:r>
          </w:p>
        </w:tc>
        <w:tc>
          <w:tcPr>
            <w:tcW w:w="0" w:type="dxa"/>
            <w:vAlign w:val="bottom"/>
          </w:tcPr>
          <w:p>
            <w:pPr>
              <w:spacing w:after="0"/>
              <w:rPr>
                <w:sz w:val="1"/>
                <w:szCs w:val="1"/>
                <w:color w:val="auto"/>
              </w:rPr>
            </w:pPr>
          </w:p>
        </w:tc>
      </w:tr>
      <w:tr>
        <w:trPr>
          <w:trHeight w:val="26"/>
        </w:trPr>
        <w:tc>
          <w:tcPr>
            <w:tcW w:w="3880" w:type="dxa"/>
            <w:vAlign w:val="bottom"/>
          </w:tcPr>
          <w:p>
            <w:pPr>
              <w:spacing w:after="0"/>
              <w:rPr>
                <w:sz w:val="2"/>
                <w:szCs w:val="2"/>
                <w:color w:val="auto"/>
              </w:rPr>
            </w:pPr>
          </w:p>
        </w:tc>
        <w:tc>
          <w:tcPr>
            <w:tcW w:w="3040" w:type="dxa"/>
            <w:vAlign w:val="bottom"/>
            <w:vMerge w:val="restart"/>
          </w:tcPr>
          <w:p>
            <w:pPr>
              <w:ind w:left="2260"/>
              <w:spacing w:after="0"/>
              <w:rPr>
                <w:sz w:val="20"/>
                <w:szCs w:val="20"/>
                <w:color w:val="auto"/>
              </w:rPr>
            </w:pPr>
            <w:r>
              <w:rPr>
                <w:rFonts w:ascii="Times New Roman" w:cs="Times New Roman" w:eastAsia="Times New Roman" w:hAnsi="Times New Roman"/>
                <w:sz w:val="17"/>
                <w:szCs w:val="17"/>
                <w:color w:val="auto"/>
              </w:rPr>
              <w:t>Name:</w:t>
            </w: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880" w:type="dxa"/>
            <w:vAlign w:val="bottom"/>
          </w:tcPr>
          <w:p>
            <w:pPr>
              <w:spacing w:after="0"/>
              <w:rPr>
                <w:sz w:val="19"/>
                <w:szCs w:val="19"/>
                <w:color w:val="auto"/>
              </w:rPr>
            </w:pPr>
          </w:p>
        </w:tc>
        <w:tc>
          <w:tcPr>
            <w:tcW w:w="3040" w:type="dxa"/>
            <w:vAlign w:val="bottom"/>
            <w:vMerge w:val="continue"/>
          </w:tcPr>
          <w:p>
            <w:pPr>
              <w:spacing w:after="0"/>
              <w:rPr>
                <w:sz w:val="19"/>
                <w:szCs w:val="19"/>
                <w:color w:val="auto"/>
              </w:rPr>
            </w:pP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Daniel Schumacher</w:t>
            </w:r>
          </w:p>
        </w:tc>
        <w:tc>
          <w:tcPr>
            <w:tcW w:w="0" w:type="dxa"/>
            <w:vAlign w:val="bottom"/>
          </w:tcPr>
          <w:p>
            <w:pPr>
              <w:spacing w:after="0"/>
              <w:rPr>
                <w:sz w:val="1"/>
                <w:szCs w:val="1"/>
                <w:color w:val="auto"/>
              </w:rPr>
            </w:pPr>
          </w:p>
        </w:tc>
      </w:tr>
      <w:tr>
        <w:trPr>
          <w:trHeight w:val="261"/>
        </w:trPr>
        <w:tc>
          <w:tcPr>
            <w:tcW w:w="3880" w:type="dxa"/>
            <w:vAlign w:val="bottom"/>
          </w:tcPr>
          <w:p>
            <w:pPr>
              <w:spacing w:after="0"/>
              <w:rPr>
                <w:sz w:val="22"/>
                <w:szCs w:val="22"/>
                <w:color w:val="auto"/>
              </w:rPr>
            </w:pPr>
          </w:p>
        </w:tc>
        <w:tc>
          <w:tcPr>
            <w:tcW w:w="3040" w:type="dxa"/>
            <w:vAlign w:val="bottom"/>
          </w:tcPr>
          <w:p>
            <w:pPr>
              <w:ind w:left="2260"/>
              <w:spacing w:after="0"/>
              <w:rPr>
                <w:sz w:val="20"/>
                <w:szCs w:val="20"/>
                <w:color w:val="auto"/>
              </w:rPr>
            </w:pPr>
            <w:r>
              <w:rPr>
                <w:rFonts w:ascii="Times New Roman" w:cs="Times New Roman" w:eastAsia="Times New Roman" w:hAnsi="Times New Roman"/>
                <w:sz w:val="17"/>
                <w:szCs w:val="17"/>
                <w:color w:val="auto"/>
              </w:rPr>
              <w:t>Title:</w:t>
            </w:r>
          </w:p>
        </w:tc>
        <w:tc>
          <w:tcPr>
            <w:tcW w:w="43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bullet"/>
      <w:start w:val="1"/>
    </w:lvl>
  </w:abstractNum>
  <w:abstractNum w:abstractNumId="5">
    <w:nsid w:val="7FDCC233"/>
    <w:multiLevelType w:val="hybridMultilevel"/>
    <w:lvl w:ilvl="0">
      <w:lvlJc w:val="left"/>
      <w:lvlText w:val="%1."/>
      <w:numFmt w:val="upperLetter"/>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bullet"/>
      <w:start w:val="1"/>
    </w:lvl>
  </w:abstractNum>
  <w:abstractNum w:abstractNumId="8">
    <w:nsid w:val="6B68079A"/>
    <w:multiLevelType w:val="hybridMultilevel"/>
    <w:lvl w:ilvl="0">
      <w:lvlJc w:val="left"/>
      <w:lvlText w:val="2"/>
      <w:numFmt w:val="bullet"/>
      <w:start w:val="1"/>
    </w:lvl>
  </w:abstractNum>
  <w:abstractNum w:abstractNumId="9">
    <w:nsid w:val="4E6AFB66"/>
    <w:multiLevelType w:val="hybridMultilevel"/>
    <w:lvl w:ilvl="0">
      <w:lvlJc w:val="left"/>
      <w:lvlText w:val="%1."/>
      <w:numFmt w:val="decimal"/>
      <w:start w:val="2"/>
    </w:lvl>
    <w:lvl w:ilvl="1">
      <w:lvlJc w:val="left"/>
      <w:lvlText w:val="%2."/>
      <w:numFmt w:val="upperLetter"/>
      <w:start w:val="1"/>
    </w:lvl>
  </w:abstractNum>
  <w:abstractNum w:abstractNumId="10">
    <w:nsid w:val="25E45D32"/>
    <w:multiLevelType w:val="hybridMultilevel"/>
    <w:lvl w:ilvl="0">
      <w:lvlJc w:val="left"/>
      <w:lvlText w:val="%1."/>
      <w:numFmt w:val="upperLetter"/>
      <w:start w:val="4"/>
    </w:lvl>
    <w:lvl w:ilvl="1">
      <w:lvlJc w:val="left"/>
      <w:lvlText w:val="(%2)"/>
      <w:numFmt w:val="lowerRoman"/>
      <w:start w:val="1"/>
    </w:lvl>
  </w:abstractNum>
  <w:abstractNum w:abstractNumId="11">
    <w:nsid w:val="519B500D"/>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12">
    <w:nsid w:val="431BD7B7"/>
    <w:multiLevelType w:val="hybridMultilevel"/>
    <w:lvl w:ilvl="0">
      <w:lvlJc w:val="left"/>
      <w:lvlText w:val="%1"/>
      <w:numFmt w:val="upperLetter"/>
      <w:start w:val="1"/>
    </w:lvl>
    <w:lvl w:ilvl="1">
      <w:lvlJc w:val="left"/>
      <w:lvlText w:val="(%2)"/>
      <w:numFmt w:val="lowerRoman"/>
      <w:start w:val="3"/>
    </w:lvl>
  </w:abstractNum>
  <w:abstractNum w:abstractNumId="13">
    <w:nsid w:val="3F2DBA31"/>
    <w:multiLevelType w:val="hybridMultilevel"/>
    <w:lvl w:ilvl="0">
      <w:lvlJc w:val="left"/>
      <w:lvlText w:val="%1."/>
      <w:numFmt w:val="upperLetter"/>
      <w:start w:val="2"/>
    </w:lvl>
    <w:lvl w:ilvl="1">
      <w:lvlJc w:val="left"/>
      <w:lvlText w:val="%2"/>
      <w:numFmt w:val="lowerRoman"/>
      <w:start w:val="1"/>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upperLetter"/>
      <w:start w:val="3"/>
    </w:lvl>
    <w:lvl w:ilvl="1">
      <w:lvlJc w:val="left"/>
      <w:lvlText w:val="(%2)"/>
      <w:numFmt w:val="lowerRoman"/>
      <w:start w:val="1"/>
    </w:lvl>
  </w:abstractNum>
  <w:abstractNum w:abstractNumId="16">
    <w:nsid w:val="62BBD95A"/>
    <w:multiLevelType w:val="hybridMultilevel"/>
    <w:lvl w:ilvl="0">
      <w:lvlJc w:val="left"/>
      <w:lvlText w:val="%1"/>
      <w:numFmt w:val="decimal"/>
      <w:start w:val="1"/>
    </w:lvl>
    <w:lvl w:ilvl="1">
      <w:lvlJc w:val="left"/>
      <w:lvlText w:val="%2."/>
      <w:numFmt w:val="upperLetter"/>
      <w:start w:val="6"/>
    </w:lvl>
  </w:abstractNum>
  <w:abstractNum w:abstractNumId="17">
    <w:nsid w:val="436C6125"/>
    <w:multiLevelType w:val="hybridMultilevel"/>
    <w:lvl w:ilvl="0">
      <w:lvlJc w:val="left"/>
      <w:lvlText w:val="%1."/>
      <w:numFmt w:val="decimal"/>
      <w:start w:val="6"/>
    </w:lvl>
    <w:lvl w:ilvl="1">
      <w:lvlJc w:val="left"/>
      <w:lvlText w:val="%2"/>
      <w:numFmt w:val="upperLetter"/>
      <w:start w:val="1"/>
    </w:lvl>
  </w:abstractNum>
  <w:abstractNum w:abstractNumId="18">
    <w:nsid w:val="628C895D"/>
    <w:multiLevelType w:val="hybridMultilevel"/>
    <w:lvl w:ilvl="0">
      <w:lvlJc w:val="left"/>
      <w:lvlText w:val="%1."/>
      <w:numFmt w:val="decimal"/>
      <w:start w:val="7"/>
    </w:lvl>
  </w:abstractNum>
  <w:abstractNum w:abstractNumId="19">
    <w:nsid w:val="333AB105"/>
    <w:multiLevelType w:val="hybridMultilevel"/>
    <w:lvl w:ilvl="0">
      <w:lvlJc w:val="left"/>
      <w:lvlText w:val="%1."/>
      <w:numFmt w:val="decimal"/>
      <w:start w:val="11"/>
    </w:lvl>
  </w:abstractNum>
  <w:abstractNum w:abstractNumId="20">
    <w:nsid w:val="721DA317"/>
    <w:multiLevelType w:val="hybridMultilevel"/>
    <w:lvl w:ilvl="0">
      <w:lvlJc w:val="left"/>
      <w:lvlText w:val="%1."/>
      <w:numFmt w:val="decimal"/>
      <w:start w:val="16"/>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77" Type="http://schemas.openxmlformats.org/officeDocument/2006/relationships/hyperlink" Target="https://www.sec.gov/Archives/edgar/data/1443669/000119312512054357/d199869dex32.htm" TargetMode="External"/><Relationship Id="rId78" Type="http://schemas.openxmlformats.org/officeDocument/2006/relationships/hyperlink" Target="https://www.sec.gov/Archives/edgar/data/1443669/000143774915010824/ex3-1.htm" TargetMode="External"/><Relationship Id="rId79" Type="http://schemas.openxmlformats.org/officeDocument/2006/relationships/hyperlink" Target="https://www.sec.gov/Archives/edgar/data/1443669/000143774922027471/ex_4451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2025-10-31T12:53:31Z</dcterms:created>
  <dcterms:modified xsi:type="dcterms:W3CDTF">2025-10-31T12:53:31Z</dcterms:modified>
</cp:coreProperties>
</file>