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80" w:right="154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62"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w w:val="91"/>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Commission File Number: 001-35435</w:t>
            </w:r>
          </w:p>
        </w:tc>
      </w:tr>
    </w:tbl>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Proto Labs, Inc.</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4720" w:type="dxa"/>
            <w:vAlign w:val="bottom"/>
          </w:tcPr>
          <w:p>
            <w:pPr>
              <w:jc w:val="right"/>
              <w:ind w:right="790"/>
              <w:spacing w:after="0"/>
              <w:rPr>
                <w:sz w:val="20"/>
                <w:szCs w:val="20"/>
                <w:color w:val="auto"/>
              </w:rPr>
            </w:pPr>
            <w:r>
              <w:rPr>
                <w:rFonts w:ascii="Arial" w:cs="Arial" w:eastAsia="Arial" w:hAnsi="Arial"/>
                <w:sz w:val="18"/>
                <w:szCs w:val="18"/>
                <w:b w:val="1"/>
                <w:bCs w:val="1"/>
                <w:color w:val="auto"/>
              </w:rPr>
              <w:t>41-1939628</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Maple Plain, Minnesota</w:t>
            </w:r>
          </w:p>
        </w:tc>
        <w:tc>
          <w:tcPr>
            <w:tcW w:w="4720" w:type="dxa"/>
            <w:vAlign w:val="bottom"/>
          </w:tcPr>
          <w:p>
            <w:pPr>
              <w:jc w:val="right"/>
              <w:ind w:right="990"/>
              <w:spacing w:after="0"/>
              <w:rPr>
                <w:sz w:val="20"/>
                <w:szCs w:val="20"/>
                <w:color w:val="auto"/>
              </w:rPr>
            </w:pPr>
            <w:r>
              <w:rPr>
                <w:rFonts w:ascii="Arial" w:cs="Arial" w:eastAsia="Arial" w:hAnsi="Arial"/>
                <w:sz w:val="18"/>
                <w:szCs w:val="18"/>
                <w:b w:val="1"/>
                <w:bCs w:val="1"/>
                <w:color w:val="auto"/>
              </w:rPr>
              <w:t>55359</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1"/>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Arial" w:cs="Arial" w:eastAsia="Arial" w:hAnsi="Arial"/>
                <w:sz w:val="18"/>
                <w:szCs w:val="18"/>
                <w:b w:val="1"/>
                <w:bCs w:val="1"/>
                <w:color w:val="auto"/>
                <w:w w:val="92"/>
              </w:rPr>
              <w:t>(763) 479-3680</w:t>
            </w:r>
          </w:p>
        </w:tc>
      </w:tr>
    </w:tbl>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ectPr>
          <w:pgSz w:w="11900" w:h="16838" w:orient="portrait"/>
          <w:cols w:equalWidth="0" w:num="1">
            <w:col w:w="11080"/>
          </w:cols>
          <w:pgMar w:left="320" w:top="692" w:right="499" w:bottom="1440" w:gutter="0" w:footer="0" w:header="0"/>
        </w:sectPr>
      </w:pPr>
    </w:p>
    <w:p>
      <w:pPr>
        <w:spacing w:after="0" w:line="21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4225" cy="302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r>
      <w:tr>
        <w:trPr>
          <w:trHeight w:val="206"/>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PRLB</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22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170" w:lineRule="exact"/>
        <w:rPr>
          <w:sz w:val="24"/>
          <w:szCs w:val="24"/>
          <w:color w:val="auto"/>
        </w:rPr>
      </w:pPr>
    </w:p>
    <w:p>
      <w:pPr>
        <w:sectPr>
          <w:pgSz w:w="11900" w:h="16838" w:orient="portrait"/>
          <w:cols w:equalWidth="0" w:num="2">
            <w:col w:w="7320" w:space="360"/>
            <w:col w:w="3400"/>
          </w:cols>
          <w:pgMar w:left="320" w:top="692" w:right="499" w:bottom="1440" w:gutter="0" w:footer="0" w:header="0"/>
          <w:type w:val="continuous"/>
        </w:sectPr>
      </w:pPr>
    </w:p>
    <w:p>
      <w:pPr>
        <w:ind w:left="1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ind w:left="140" w:right="100" w:firstLine="486"/>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82" w:lineRule="exact"/>
        <w:rPr>
          <w:sz w:val="24"/>
          <w:szCs w:val="24"/>
          <w:color w:val="auto"/>
        </w:rPr>
      </w:pPr>
    </w:p>
    <w:p>
      <w:pPr>
        <w:ind w:left="140" w:right="80" w:firstLine="486"/>
        <w:spacing w:after="0" w:line="28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40" w:right="4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ind w:left="140" w:right="80" w:firstLine="48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26,612,751 shares of Common Stock, par value $0.001 per share, were outstanding at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92"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rFonts w:ascii="Arial" w:cs="Arial" w:eastAsia="Arial" w:hAnsi="Arial"/>
                <w:sz w:val="18"/>
                <w:szCs w:val="18"/>
                <w:u w:val="single" w:color="auto"/>
                <w:color w:val="0000EE"/>
                <w:w w:val="90"/>
              </w:rPr>
            </w:pPr>
            <w:hyperlink w:anchor="page2">
              <w:r>
                <w:rPr>
                  <w:rFonts w:ascii="Arial" w:cs="Arial" w:eastAsia="Arial" w:hAnsi="Arial"/>
                  <w:sz w:val="18"/>
                  <w:szCs w:val="18"/>
                  <w:u w:val="single" w:color="auto"/>
                  <w:color w:val="0000EE"/>
                  <w:w w:val="90"/>
                </w:rPr>
                <w:t>Table of Contents</w:t>
              </w:r>
            </w:hyperlink>
          </w:p>
        </w:tc>
        <w:tc>
          <w:tcPr>
            <w:tcW w:w="6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ind w:left="3580"/>
              <w:spacing w:after="0"/>
              <w:rPr>
                <w:sz w:val="20"/>
                <w:szCs w:val="20"/>
                <w:color w:val="auto"/>
              </w:rPr>
            </w:pPr>
            <w:r>
              <w:rPr>
                <w:rFonts w:ascii="Arial" w:cs="Arial" w:eastAsia="Arial" w:hAnsi="Arial"/>
                <w:sz w:val="18"/>
                <w:szCs w:val="18"/>
                <w:b w:val="1"/>
                <w:bCs w:val="1"/>
                <w:color w:val="auto"/>
              </w:rPr>
              <w:t>Proto Labs,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67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411"/>
        </w:trPr>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Borders>
              <w:top w:val="single" w:sz="8" w:color="auto"/>
            </w:tcBorders>
          </w:tcPr>
          <w:p>
            <w:pPr>
              <w:jc w:val="center"/>
              <w:ind w:left="1870"/>
              <w:spacing w:after="0"/>
              <w:rPr>
                <w:rFonts w:ascii="Arial" w:cs="Arial" w:eastAsia="Arial" w:hAnsi="Arial"/>
                <w:sz w:val="18"/>
                <w:szCs w:val="18"/>
                <w:u w:val="single" w:color="auto"/>
                <w:color w:val="0000EE"/>
                <w:w w:val="92"/>
              </w:rPr>
            </w:pPr>
            <w:hyperlink w:anchor="page2">
              <w:r>
                <w:rPr>
                  <w:rFonts w:ascii="Arial" w:cs="Arial" w:eastAsia="Arial" w:hAnsi="Arial"/>
                  <w:sz w:val="18"/>
                  <w:szCs w:val="18"/>
                  <w:u w:val="single" w:color="auto"/>
                  <w:color w:val="0000EE"/>
                  <w:w w:val="92"/>
                </w:rPr>
                <w:t>PART I</w:t>
              </w:r>
            </w:hyperlink>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Financial Statements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w w:val="94"/>
              </w:rPr>
            </w:pPr>
            <w:hyperlink w:anchor="page15">
              <w:r>
                <w:rPr>
                  <w:rFonts w:ascii="Arial" w:cs="Arial" w:eastAsia="Arial" w:hAnsi="Arial"/>
                  <w:sz w:val="18"/>
                  <w:szCs w:val="18"/>
                  <w:u w:val="single" w:color="auto"/>
                  <w:color w:val="0000EE"/>
                  <w:w w:val="94"/>
                </w:rPr>
                <w:t>Management's Discussion and Analysis of Financial Condition and Results of Operations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Controls and Procedures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850"/>
              <w:spacing w:after="0"/>
              <w:rPr>
                <w:rFonts w:ascii="Arial" w:cs="Arial" w:eastAsia="Arial" w:hAnsi="Arial"/>
                <w:sz w:val="18"/>
                <w:szCs w:val="18"/>
                <w:u w:val="single" w:color="auto"/>
                <w:color w:val="0000EE"/>
                <w:w w:val="95"/>
              </w:rPr>
            </w:pPr>
            <w:hyperlink w:anchor="page21">
              <w:r>
                <w:rPr>
                  <w:rFonts w:ascii="Arial" w:cs="Arial" w:eastAsia="Arial" w:hAnsi="Arial"/>
                  <w:sz w:val="18"/>
                  <w:szCs w:val="18"/>
                  <w:u w:val="single" w:color="auto"/>
                  <w:color w:val="0000EE"/>
                  <w:w w:val="95"/>
                </w:rPr>
                <w:t>PART II</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8"/>
                <w:szCs w:val="18"/>
                <w:color w:val="auto"/>
              </w:rPr>
            </w:pPr>
          </w:p>
        </w:tc>
      </w:tr>
      <w:tr>
        <w:trPr>
          <w:trHeight w:val="216"/>
        </w:trPr>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1A.</w:t>
            </w: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Defaults Upon Senior Securities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8"/>
                <w:szCs w:val="18"/>
                <w:color w:val="auto"/>
              </w:rPr>
            </w:pPr>
          </w:p>
        </w:tc>
      </w:tr>
      <w:tr>
        <w:trPr>
          <w:trHeight w:val="230"/>
        </w:trPr>
        <w:tc>
          <w:tcPr>
            <w:tcW w:w="10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240" w:type="dxa"/>
            <w:vAlign w:val="bottom"/>
          </w:tcPr>
          <w:p>
            <w:pPr>
              <w:spacing w:after="0"/>
              <w:rPr>
                <w:sz w:val="20"/>
                <w:szCs w:val="20"/>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20"/>
                <w:szCs w:val="20"/>
                <w:color w:val="auto"/>
              </w:rPr>
            </w:pPr>
          </w:p>
        </w:tc>
      </w:tr>
      <w:tr>
        <w:trPr>
          <w:trHeight w:val="675"/>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300" w:type="dxa"/>
            <w:vAlign w:val="bottom"/>
            <w:tcBorders>
              <w:bottom w:val="single" w:sz="8" w:color="9A9A9A"/>
            </w:tcBorders>
            <w:gridSpan w:val="2"/>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w w:val="90"/>
              </w:rPr>
            </w:pPr>
            <w:hyperlink w:anchor="page2">
              <w:r>
                <w:rPr>
                  <w:rFonts w:ascii="Arial" w:cs="Arial" w:eastAsia="Arial" w:hAnsi="Arial"/>
                  <w:sz w:val="18"/>
                  <w:szCs w:val="18"/>
                  <w:u w:val="single" w:color="auto"/>
                  <w:color w:val="0000EE"/>
                  <w:w w:val="90"/>
                </w:rPr>
                <w:t>Table of Contents</w:t>
              </w:r>
            </w:hyperlink>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7"/>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Proto Labs,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1"/>
        </w:trPr>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gridSpan w:val="3"/>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r>
        <w:trPr>
          <w:trHeight w:val="522"/>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r>
      <w:tr>
        <w:trPr>
          <w:trHeight w:val="209"/>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125,225</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35,437</w:t>
            </w:r>
          </w:p>
        </w:tc>
      </w:tr>
      <w:tr>
        <w:trPr>
          <w:trHeight w:val="202"/>
        </w:trPr>
        <w:tc>
          <w:tcPr>
            <w:tcW w:w="8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$1,821 and $952 as of March 31, 2020</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and December 31, 2019, respectively</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57,450</w:t>
            </w:r>
          </w:p>
        </w:tc>
      </w:tr>
      <w:tr>
        <w:trPr>
          <w:trHeight w:val="216"/>
        </w:trPr>
        <w:tc>
          <w:tcPr>
            <w:tcW w:w="1300" w:type="dxa"/>
            <w:vAlign w:val="bottom"/>
            <w:gridSpan w:val="2"/>
          </w:tcPr>
          <w:p>
            <w:pPr>
              <w:ind w:left="340"/>
              <w:spacing w:after="0"/>
              <w:rPr>
                <w:sz w:val="20"/>
                <w:szCs w:val="20"/>
                <w:color w:val="auto"/>
              </w:rPr>
            </w:pPr>
            <w:r>
              <w:rPr>
                <w:rFonts w:ascii="Arial" w:cs="Arial" w:eastAsia="Arial" w:hAnsi="Arial"/>
                <w:sz w:val="18"/>
                <w:szCs w:val="18"/>
                <w:color w:val="auto"/>
              </w:rPr>
              <w:t>Inventory</w:t>
            </w: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10,075</w:t>
            </w:r>
          </w:p>
        </w:tc>
      </w:tr>
      <w:tr>
        <w:trPr>
          <w:trHeight w:val="216"/>
        </w:trPr>
        <w:tc>
          <w:tcPr>
            <w:tcW w:w="8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212,474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236,419</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263,712</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128,752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128,752</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17,369</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12,960</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11,425</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3,030</w:t>
            </w:r>
          </w:p>
        </w:tc>
      </w:tr>
      <w:tr>
        <w:trPr>
          <w:trHeight w:val="250"/>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678,090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673,667</w:t>
            </w:r>
          </w:p>
        </w:tc>
      </w:tr>
      <w:tr>
        <w:trPr>
          <w:trHeight w:val="196"/>
        </w:trPr>
        <w:tc>
          <w:tcPr>
            <w:tcW w:w="8000" w:type="dxa"/>
            <w:vAlign w:val="bottom"/>
            <w:tcBorders>
              <w:top w:val="single" w:sz="8" w:color="CCEEFF"/>
            </w:tcBorders>
            <w:gridSpan w:val="3"/>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w w:val="96"/>
              </w:rPr>
              <w:t>Current liabilities</w:t>
            </w: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16,804</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15,058</w:t>
            </w: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11,057</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3,340</w:t>
            </w:r>
          </w:p>
        </w:tc>
      </w:tr>
      <w:tr>
        <w:trPr>
          <w:trHeight w:val="216"/>
        </w:trPr>
        <w:tc>
          <w:tcPr>
            <w:tcW w:w="8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r>
      <w:tr>
        <w:trPr>
          <w:trHeight w:val="209"/>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47,297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47,581</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8,565</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Long-term deferred tax liabilities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29,652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26,283</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5,448</w:t>
            </w:r>
          </w:p>
        </w:tc>
      </w:tr>
      <w:tr>
        <w:trPr>
          <w:trHeight w:val="209"/>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87,877</w:t>
            </w:r>
          </w:p>
        </w:tc>
      </w:tr>
      <w:tr>
        <w:trPr>
          <w:trHeight w:val="216"/>
        </w:trPr>
        <w:tc>
          <w:tcPr>
            <w:tcW w:w="800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Preferred stock, $0.001 par value, authorized 10,000,000 shares; issued and outstanding 0 shares as of</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each of March 31, 2020 and December 31, 2019</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3"/>
          </w:tcPr>
          <w:p>
            <w:pPr>
              <w:ind w:left="340"/>
              <w:spacing w:after="0"/>
              <w:rPr>
                <w:sz w:val="20"/>
                <w:szCs w:val="20"/>
                <w:color w:val="auto"/>
              </w:rPr>
            </w:pPr>
            <w:r>
              <w:rPr>
                <w:rFonts w:ascii="Arial" w:cs="Arial" w:eastAsia="Arial" w:hAnsi="Arial"/>
                <w:sz w:val="18"/>
                <w:szCs w:val="18"/>
                <w:color w:val="auto"/>
                <w:w w:val="94"/>
              </w:rPr>
              <w:t>Common stock, $0.001 par value, authorized 150,000,000 shares; issued and outstanding 26,648,524</w:t>
            </w: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-7046595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-7054850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-5366385</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-5374640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2" w:name="page3"/>
    <w:bookmarkEnd w:id="2"/>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and 26,786,459 shares as of March 31, 2020 and December 31, 2019, respectively</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329,137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324,722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587,740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585,790</w:t>
            </w:r>
          </w:p>
        </w:tc>
      </w:tr>
      <w:tr>
        <w:trPr>
          <w:trHeight w:val="24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678,090</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673,667</w:t>
            </w:r>
          </w:p>
        </w:tc>
      </w:tr>
      <w:tr>
        <w:trPr>
          <w:trHeight w:val="312"/>
        </w:trPr>
        <w:tc>
          <w:tcPr>
            <w:tcW w:w="80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115,108</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113,452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57,008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54,592</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58,860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18,577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12,822</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41,275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39,412</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19,448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17,879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4,150</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13,984</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15,511</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r>
      <w:tr>
        <w:trPr>
          <w:trHeight w:val="196"/>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0.52</w:t>
            </w:r>
          </w:p>
        </w:tc>
        <w:tc>
          <w:tcPr>
            <w:tcW w:w="52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0.57</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Shares used to compute net income per share: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26,776,806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26,963,366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26,929,640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27,177,039</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Comprehensive Income (net of tax)</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11,004</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15,987</w:t>
            </w:r>
          </w:p>
        </w:tc>
      </w:tr>
      <w:tr>
        <w:trPr>
          <w:trHeight w:val="311"/>
        </w:trPr>
        <w:tc>
          <w:tcPr>
            <w:tcW w:w="80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120" w:type="dxa"/>
            <w:vAlign w:val="bottom"/>
            <w:gridSpan w:val="4"/>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21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6"/>
                <w:szCs w:val="16"/>
                <w:color w:val="auto"/>
              </w:rPr>
            </w:pPr>
          </w:p>
        </w:tc>
        <w:tc>
          <w:tcPr>
            <w:tcW w:w="100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6"/>
                <w:szCs w:val="16"/>
                <w:color w:val="auto"/>
              </w:rPr>
            </w:pPr>
          </w:p>
        </w:tc>
        <w:tc>
          <w:tcPr>
            <w:tcW w:w="13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26,786,459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324,722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585,790</w:t>
            </w:r>
          </w:p>
        </w:tc>
        <w:tc>
          <w:tcPr>
            <w:tcW w:w="0" w:type="dxa"/>
            <w:vAlign w:val="bottom"/>
          </w:tcPr>
          <w:p>
            <w:pPr>
              <w:spacing w:after="0"/>
              <w:rPr>
                <w:sz w:val="1"/>
                <w:szCs w:val="1"/>
                <w:color w:val="auto"/>
              </w:rPr>
            </w:pPr>
          </w:p>
        </w:tc>
      </w:tr>
    </w:tbl>
    <w:p>
      <w:pPr>
        <w:sectPr>
          <w:pgSz w:w="11900" w:h="16877"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(161,460)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26,648,524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329,137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587,740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400" w:type="dxa"/>
            <w:vAlign w:val="bottom"/>
          </w:tcPr>
          <w:p>
            <w:pPr>
              <w:spacing w:after="0"/>
              <w:rPr>
                <w:sz w:val="24"/>
                <w:szCs w:val="24"/>
                <w:color w:val="auto"/>
              </w:rPr>
            </w:pPr>
          </w:p>
        </w:tc>
        <w:tc>
          <w:tcPr>
            <w:tcW w:w="212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16"/>
                <w:szCs w:val="16"/>
                <w:color w:val="auto"/>
              </w:rPr>
            </w:pP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26,984,747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291,460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541,497</w:t>
            </w:r>
          </w:p>
        </w:tc>
        <w:tc>
          <w:tcPr>
            <w:tcW w:w="0" w:type="dxa"/>
            <w:vAlign w:val="bottom"/>
          </w:tcPr>
          <w:p>
            <w:pPr>
              <w:spacing w:after="0"/>
              <w:rPr>
                <w:sz w:val="1"/>
                <w:szCs w:val="1"/>
                <w:color w:val="auto"/>
              </w:rPr>
            </w:pP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(157,716)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15,987</w:t>
            </w:r>
          </w:p>
        </w:tc>
        <w:tc>
          <w:tcPr>
            <w:tcW w:w="0" w:type="dxa"/>
            <w:vAlign w:val="bottom"/>
          </w:tcPr>
          <w:p>
            <w:pPr>
              <w:spacing w:after="0"/>
              <w:rPr>
                <w:sz w:val="1"/>
                <w:szCs w:val="1"/>
                <w:color w:val="auto"/>
              </w:rPr>
            </w:pPr>
          </w:p>
        </w:tc>
      </w:tr>
      <w:tr>
        <w:trPr>
          <w:trHeight w:val="24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26,846,981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259,611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291,173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542,795</w:t>
            </w:r>
          </w:p>
        </w:tc>
        <w:tc>
          <w:tcPr>
            <w:tcW w:w="0" w:type="dxa"/>
            <w:vAlign w:val="bottom"/>
          </w:tcPr>
          <w:p>
            <w:pPr>
              <w:spacing w:after="0"/>
              <w:rPr>
                <w:sz w:val="1"/>
                <w:szCs w:val="1"/>
                <w:color w:val="auto"/>
              </w:rPr>
            </w:pPr>
          </w:p>
        </w:tc>
      </w:tr>
      <w:tr>
        <w:trPr>
          <w:trHeight w:val="312"/>
        </w:trPr>
        <w:tc>
          <w:tcPr>
            <w:tcW w:w="440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13,984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15,511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7,439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taxes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held-to-maturity securities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liabilities and other</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22,410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18,002</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equipment and other capital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other assets and investments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maturities of marketable securities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10,700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17,006</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(43,350)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shares withheld for tax obligations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(11,185)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(12,098)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(17,729)</w:t>
            </w:r>
          </w:p>
        </w:tc>
      </w:tr>
    </w:tbl>
    <w:p>
      <w:pPr>
        <w:sectPr>
          <w:pgSz w:w="11900" w:h="16900" w:orient="portrait"/>
          <w:cols w:equalWidth="0" w:num="1">
            <w:col w:w="11240"/>
          </w:cols>
          <w:pgMar w:left="320" w:top="125" w:right="339" w:bottom="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(decrease) increase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30"/>
        </w:trPr>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125,225</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85,046</w:t>
            </w:r>
          </w:p>
        </w:tc>
      </w:tr>
      <w:tr>
        <w:trPr>
          <w:trHeight w:val="209"/>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91,905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85,350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2019 as filed with the Securities and Exchange Commission (SEC) on February 26, 2020.</w:t>
      </w:r>
    </w:p>
    <w:p>
      <w:pPr>
        <w:spacing w:after="0" w:line="188"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The accompanying Consolidated Balance Sheet as of December 31, 2019 was derived from the audited Consolidated Financial Statements but does not include all disclosures required by U.S. GAAP for a full set of financial statements. This Form 10-Q should be read in conjunction with the Company’s Consolidated Financial Statements and Notes included in the Annual Report on Form 10-K filed on February 26, 2020 as referenced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During the first quarter of 2020, the Company adopted the Financial Accounting Standards Board (FASB)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is intended to provide financial statement users with more decision-useful information about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on financial instruments held by a reporting entity at each reporting date. The adoption of this guidance had no material impact on our consolidated financial statements.</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During the fourth quarter of 2019, the Company early adopted the FASB ASU 2017-04, Intangibles – Goodwill and Other, which is intended to simplify the subsequent measurement of goodwill. The adoption of this guidance had no material impact on our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Net Income per Common Share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restricted stock units and restricted stock awards granted under stock-based compensation plans and shares committed to be purchased under the employee stock purchase plan. Performance stock units are excluded from the calculation of dilutive potential common shares until the performance conditions have been satisfied.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60" w:type="dxa"/>
            <w:vAlign w:val="bottom"/>
            <w:gridSpan w:val="2"/>
          </w:tcPr>
          <w:p>
            <w:pPr>
              <w:ind w:left="280"/>
              <w:spacing w:after="0"/>
              <w:rPr>
                <w:sz w:val="20"/>
                <w:szCs w:val="20"/>
                <w:color w:val="auto"/>
              </w:rPr>
            </w:pPr>
            <w:r>
              <w:rPr>
                <w:rFonts w:ascii="Arial" w:cs="Arial" w:eastAsia="Arial" w:hAnsi="Arial"/>
                <w:sz w:val="18"/>
                <w:szCs w:val="18"/>
                <w:color w:val="auto"/>
              </w:rPr>
              <w:t>(in thousands, except share and per share amounts)</w:t>
            </w:r>
          </w:p>
        </w:tc>
        <w:tc>
          <w:tcPr>
            <w:tcW w:w="2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weighted-average shares outstanding:</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26,776,806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26,963,366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options and other</w:t>
            </w:r>
          </w:p>
        </w:tc>
        <w:tc>
          <w:tcPr>
            <w:tcW w:w="29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152,834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213,673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280"/>
              <w:spacing w:after="0"/>
              <w:rPr>
                <w:sz w:val="20"/>
                <w:szCs w:val="20"/>
                <w:color w:val="auto"/>
              </w:rPr>
            </w:pPr>
            <w:r>
              <w:rPr>
                <w:rFonts w:ascii="Arial" w:cs="Arial" w:eastAsia="Arial" w:hAnsi="Arial"/>
                <w:sz w:val="18"/>
                <w:szCs w:val="18"/>
                <w:color w:val="auto"/>
              </w:rPr>
              <w:t>Diluted - weighted-average shares outstanding:</w:t>
            </w:r>
          </w:p>
        </w:tc>
        <w:tc>
          <w:tcPr>
            <w:tcW w:w="2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26,929,640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27,177,039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2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Basic</w:t>
            </w:r>
          </w:p>
        </w:tc>
        <w:tc>
          <w:tcPr>
            <w:tcW w:w="3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44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32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0.52</w:t>
            </w:r>
          </w:p>
        </w:tc>
        <w:tc>
          <w:tcPr>
            <w:tcW w:w="5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0.57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46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900" w:type="dxa"/>
            <w:vAlign w:val="bottom"/>
          </w:tcPr>
          <w:p>
            <w:pPr>
              <w:jc w:val="right"/>
              <w:ind w:right="19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 of Goodwill during the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at March 31, 2020 and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December 31, 2019</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Useful</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Useful Life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Life (in</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(in</w:t>
            </w: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Gross</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Gross</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finite lives: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Marketing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930</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4.0</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2.0 - 5.0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2.8</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Software technology</w:t>
            </w: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13,229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10,611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10,954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7.8</w:t>
            </w:r>
          </w:p>
        </w:tc>
      </w:tr>
      <w:tr>
        <w:trPr>
          <w:trHeight w:val="216"/>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10,070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5,964</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6.0 - 9.0</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3.6</w:t>
            </w:r>
          </w:p>
        </w:tc>
      </w:tr>
      <w:tr>
        <w:trPr>
          <w:trHeight w:val="210"/>
        </w:trPr>
        <w:tc>
          <w:tcPr>
            <w:tcW w:w="26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24,499</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(7,884)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16,615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24,499</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17,369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$0.8 million and $0.9 million for the three months ended March 31, 2020 and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220345</wp:posOffset>
            </wp:positionV>
            <wp:extent cx="6412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Estimated</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c>
          <w:tcPr>
            <w:tcW w:w="560" w:type="dxa"/>
            <w:vAlign w:val="bottom"/>
          </w:tcPr>
          <w:p>
            <w:pPr>
              <w:spacing w:after="0"/>
              <w:rPr>
                <w:sz w:val="18"/>
                <w:szCs w:val="18"/>
                <w:color w:val="auto"/>
              </w:rPr>
            </w:pPr>
          </w:p>
        </w:tc>
      </w:tr>
      <w:tr>
        <w:trPr>
          <w:trHeight w:val="234"/>
        </w:trPr>
        <w:tc>
          <w:tcPr>
            <w:tcW w:w="4420" w:type="dxa"/>
            <w:vAlign w:val="bottom"/>
            <w:gridSpan w:val="2"/>
          </w:tcPr>
          <w:p>
            <w:pPr>
              <w:ind w:left="560"/>
              <w:spacing w:after="0"/>
              <w:rPr>
                <w:sz w:val="20"/>
                <w:szCs w:val="20"/>
                <w:color w:val="auto"/>
              </w:rPr>
            </w:pPr>
            <w:r>
              <w:rPr>
                <w:rFonts w:ascii="Arial" w:cs="Arial" w:eastAsia="Arial" w:hAnsi="Arial"/>
                <w:sz w:val="18"/>
                <w:szCs w:val="18"/>
                <w:color w:val="auto"/>
              </w:rPr>
              <w:t>(in thousands)</w:t>
            </w:r>
          </w:p>
        </w:tc>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4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3,016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2023</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2,813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4,108</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4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16,615</w:t>
            </w:r>
          </w:p>
        </w:tc>
        <w:tc>
          <w:tcPr>
            <w:tcW w:w="56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3840" w:type="dxa"/>
            <w:vAlign w:val="bottom"/>
            <w:tcBorders>
              <w:top w:val="single" w:sz="8" w:color="CCEEFF"/>
              <w:bottom w:val="single" w:sz="8" w:color="auto"/>
            </w:tcBorders>
          </w:tcPr>
          <w:p>
            <w:pPr>
              <w:spacing w:after="0"/>
              <w:rPr>
                <w:sz w:val="17"/>
                <w:szCs w:val="17"/>
                <w:color w:val="auto"/>
              </w:rPr>
            </w:pPr>
          </w:p>
        </w:tc>
        <w:tc>
          <w:tcPr>
            <w:tcW w:w="464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53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40" w:type="dxa"/>
            <w:vAlign w:val="bottom"/>
          </w:tcPr>
          <w:p>
            <w:pPr>
              <w:jc w:val="right"/>
              <w:ind w:right="33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4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Accounting Standards Codification (ASC 820),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1—Quoted prices in active markets for identical assets or liabilities.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2—Observable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3—Unobservable inputs that are supported by little or no market activity and that are significant to the fair value of the assets or liabilities.</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cash consists of bank deposits. The Company’s cash equivalents measured at fair value consist of money market mutual funds. The Company determines the fair value of these investments using Level 1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assets as of March 31, 2020 and December 31, 2019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March 31, 2020</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09"/>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Level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Level 3</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mutual fund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31,291</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ind w:right="601"/>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68,962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Marketable Securities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invests in short-term and long-term agency, municipal, corporate and other debt securities. The securities are categorized as held-to-maturity and are recorded at amortized cost, net of an allowance for credit losses. Categorization as held-to-maturity is based on the Company’s ability and intent to hold these securities to maturity. The following table summarizes information regarding the Company’s short-term and long-term marketable securities as of March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196215</wp:posOffset>
            </wp:positionV>
            <wp:extent cx="6412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March 31, 2020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4380" w:type="dxa"/>
            <w:vAlign w:val="bottom"/>
            <w:gridSpan w:val="2"/>
          </w:tcPr>
          <w:p>
            <w:pPr>
              <w:ind w:left="560"/>
              <w:spacing w:after="0"/>
              <w:rPr>
                <w:sz w:val="20"/>
                <w:szCs w:val="20"/>
                <w:color w:val="auto"/>
              </w:rPr>
            </w:pPr>
            <w:r>
              <w:rPr>
                <w:rFonts w:ascii="Arial" w:cs="Arial" w:eastAsia="Arial" w:hAnsi="Arial"/>
                <w:sz w:val="18"/>
                <w:szCs w:val="18"/>
                <w:color w:val="auto"/>
              </w:rPr>
              <w:t>(in thousands)</w:t>
            </w: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34,906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20,862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3,726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2,980</w:t>
            </w:r>
          </w:p>
        </w:tc>
        <w:tc>
          <w:tcPr>
            <w:tcW w:w="560" w:type="dxa"/>
            <w:vAlign w:val="bottom"/>
          </w:tcPr>
          <w:p>
            <w:pPr>
              <w:spacing w:after="0"/>
              <w:rPr>
                <w:sz w:val="18"/>
                <w:szCs w:val="18"/>
                <w:color w:val="auto"/>
              </w:rPr>
            </w:pPr>
          </w:p>
        </w:tc>
      </w:tr>
      <w:tr>
        <w:trPr>
          <w:trHeight w:val="210"/>
        </w:trPr>
        <w:tc>
          <w:tcPr>
            <w:tcW w:w="4380" w:type="dxa"/>
            <w:vAlign w:val="bottom"/>
            <w:gridSpan w:val="2"/>
          </w:tcPr>
          <w:p>
            <w:pPr>
              <w:ind w:left="560"/>
              <w:spacing w:after="0"/>
              <w:rPr>
                <w:sz w:val="20"/>
                <w:szCs w:val="20"/>
                <w:color w:val="auto"/>
              </w:rPr>
            </w:pPr>
            <w:r>
              <w:rPr>
                <w:rFonts w:ascii="Arial" w:cs="Arial" w:eastAsia="Arial" w:hAnsi="Arial"/>
                <w:sz w:val="18"/>
                <w:szCs w:val="18"/>
                <w:color w:val="auto"/>
              </w:rPr>
              <w:t>Total marketable securities</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75,271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75,183</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533"/>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220345</wp:posOffset>
            </wp:positionV>
            <wp:extent cx="6412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December 31, 2019</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26,944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27,012</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6,268</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1,506</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48,487</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4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March 31, 2020 balance of held-to-maturity debt securities by contractual maturity is shown in the following table at amortized cost, net of an allowance for credit losses.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194310</wp:posOffset>
            </wp:positionV>
            <wp:extent cx="57092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18"/>
                <w:szCs w:val="18"/>
                <w:color w:val="auto"/>
              </w:rPr>
            </w:pPr>
          </w:p>
        </w:tc>
      </w:tr>
      <w:tr>
        <w:trPr>
          <w:trHeight w:val="234"/>
        </w:trPr>
        <w:tc>
          <w:tcPr>
            <w:tcW w:w="7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20" w:type="dxa"/>
            <w:vAlign w:val="bottom"/>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37,077</w:t>
            </w:r>
          </w:p>
        </w:tc>
        <w:tc>
          <w:tcPr>
            <w:tcW w:w="20" w:type="dxa"/>
            <w:vAlign w:val="bottom"/>
          </w:tcPr>
          <w:p>
            <w:pPr>
              <w:spacing w:after="0"/>
              <w:rPr>
                <w:sz w:val="18"/>
                <w:szCs w:val="18"/>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75,271</w:t>
            </w:r>
          </w:p>
        </w:tc>
        <w:tc>
          <w:tcPr>
            <w:tcW w:w="20" w:type="dxa"/>
            <w:vAlign w:val="bottom"/>
          </w:tcPr>
          <w:p>
            <w:pPr>
              <w:spacing w:after="0"/>
              <w:rPr>
                <w:sz w:val="21"/>
                <w:szCs w:val="21"/>
                <w:color w:val="auto"/>
              </w:rPr>
            </w:pPr>
          </w:p>
        </w:tc>
      </w:tr>
      <w:tr>
        <w:trPr>
          <w:trHeight w:val="197"/>
        </w:trPr>
        <w:tc>
          <w:tcPr>
            <w:tcW w:w="7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Inventory</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average-cost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220345</wp:posOffset>
            </wp:positionV>
            <wp:extent cx="57092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Allowance for obsolescence</w:t>
            </w:r>
          </w:p>
        </w:tc>
        <w:tc>
          <w:tcPr>
            <w:tcW w:w="3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 of allowance</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3220" w:type="dxa"/>
            <w:vAlign w:val="bottom"/>
            <w:tcBorders>
              <w:top w:val="single" w:sz="8" w:color="CCEEFF"/>
              <w:bottom w:val="single" w:sz="8" w:color="auto"/>
            </w:tcBorders>
          </w:tcPr>
          <w:p>
            <w:pPr>
              <w:spacing w:after="0"/>
              <w:rPr>
                <w:sz w:val="17"/>
                <w:szCs w:val="17"/>
                <w:color w:val="auto"/>
              </w:rPr>
            </w:pPr>
          </w:p>
        </w:tc>
        <w:tc>
          <w:tcPr>
            <w:tcW w:w="31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533"/>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180" w:type="dxa"/>
            <w:vAlign w:val="bottom"/>
          </w:tcPr>
          <w:p>
            <w:pPr>
              <w:jc w:val="right"/>
              <w:ind w:right="17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Company’s 2012 Long-Term Incentive Plan, as amended (the 2012 Plan), the Company has the ability to grant stock options, stock appreciation rights (SARs), restricted stock, restricted stock units, other stock-based awards and cash incentive awards.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$3.0 million for each of the three months ended March 31,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276,266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33,192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96.72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67.53</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110.38</w:t>
            </w: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306,609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74.94</w:t>
            </w:r>
          </w:p>
        </w:tc>
      </w:tr>
      <w:tr>
        <w:trPr>
          <w:trHeight w:val="196"/>
        </w:trPr>
        <w:tc>
          <w:tcPr>
            <w:tcW w:w="738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187,326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62.48</w:t>
            </w:r>
          </w:p>
        </w:tc>
      </w:tr>
      <w:tr>
        <w:trPr>
          <w:trHeight w:val="196"/>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outstanding options generally have a term of ten years. For employees, options granted become exercisable ratably over the vesting period, which is generally a period from four to five years, beginning on the first anniversary of the grant date, subject to the employee’s continuing service to the Company. For directors, options generally become exercisable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options that were granted during the three months ended March 31, 2020 was $41.72.</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the assumptions used in the Black-Scholes pricing model valuation of options during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117475</wp:posOffset>
            </wp:positionV>
            <wp:extent cx="6412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2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2.58%</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42.40%</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42.74%</w:t>
            </w: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2020, there was $4.5 million of unrecognized compensation expense related to unvested stock options, which is expected to be recognized over a weighted-average period of 2.9 years.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stock awards are share-settled awards and restrictions lapse ratably over the vesting period, which is generally a period from four to five years, beginning on the first anniversary of the grant date, subject to the employee's continuing service to the Company. For directors, restrictions generally lapse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28,105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96.72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79.27</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90.47</w:t>
            </w: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at March 31,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309,864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91.03</w:t>
            </w: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2020, there was $21.0 million of unrecognized compensation expense related to non-vested restricted stock, which is expected to be recognized over a weighted-average period of 2.6 years.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Performance Stock</w:t>
      </w:r>
    </w:p>
    <w:p>
      <w:pPr>
        <w:spacing w:after="0" w:line="229" w:lineRule="exact"/>
        <w:rPr>
          <w:sz w:val="20"/>
          <w:szCs w:val="20"/>
          <w:color w:val="auto"/>
        </w:rPr>
      </w:pPr>
    </w:p>
    <w:p>
      <w:pPr>
        <w:ind w:left="20" w:right="20"/>
        <w:spacing w:after="0" w:line="255" w:lineRule="auto"/>
        <w:rPr>
          <w:sz w:val="20"/>
          <w:szCs w:val="20"/>
          <w:color w:val="auto"/>
        </w:rPr>
      </w:pPr>
      <w:r>
        <w:rPr>
          <w:rFonts w:ascii="Arial" w:cs="Arial" w:eastAsia="Arial" w:hAnsi="Arial"/>
          <w:sz w:val="18"/>
          <w:szCs w:val="18"/>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are based on performance conditions and the related compensation cost is based on the probability that the performance conditions will be achieved. The Company’s PSUs granted in 2020 are based on market conditions and the related compensation cost is based on the fair value at grant date calculated using a Monte Carlo pricing model.</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performance stock activity during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151765</wp:posOffset>
            </wp:positionV>
            <wp:extent cx="67722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19,956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118.66</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Performance change</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r>
      <w:tr>
        <w:trPr>
          <w:trHeight w:val="209"/>
        </w:trPr>
        <w:tc>
          <w:tcPr>
            <w:tcW w:w="7380" w:type="dxa"/>
            <w:vAlign w:val="bottom"/>
            <w:gridSpan w:val="2"/>
          </w:tcPr>
          <w:p>
            <w:pPr>
              <w:spacing w:after="0"/>
              <w:rPr>
                <w:sz w:val="20"/>
                <w:szCs w:val="20"/>
                <w:color w:val="auto"/>
              </w:rPr>
            </w:pPr>
            <w:r>
              <w:rPr>
                <w:rFonts w:ascii="Arial" w:cs="Arial" w:eastAsia="Arial" w:hAnsi="Arial"/>
                <w:sz w:val="18"/>
                <w:szCs w:val="18"/>
                <w:color w:val="auto"/>
              </w:rPr>
              <w:t>Performance stock at March 31, 2020</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19,956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118.66</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assumptions used in the Monte Carlo pricing model valuation of PSUs during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234950</wp:posOffset>
            </wp:positionV>
            <wp:extent cx="67722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7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3"/>
              </w:rPr>
              <w:t>March 31,</w:t>
            </w: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Expected life (years)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38.70%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128270</wp:posOffset>
            </wp:positionV>
            <wp:extent cx="6772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97" w:lineRule="exact"/>
        <w:rPr>
          <w:sz w:val="20"/>
          <w:szCs w:val="20"/>
          <w:color w:val="auto"/>
        </w:rPr>
      </w:pPr>
    </w:p>
    <w:p>
      <w:pPr>
        <w:jc w:val="both"/>
        <w:ind w:left="20" w:right="360"/>
        <w:spacing w:after="0" w:line="277" w:lineRule="auto"/>
        <w:rPr>
          <w:sz w:val="20"/>
          <w:szCs w:val="20"/>
          <w:color w:val="auto"/>
        </w:rPr>
      </w:pPr>
      <w:r>
        <w:rPr>
          <w:rFonts w:ascii="Arial" w:cs="Arial" w:eastAsia="Arial" w:hAnsi="Arial"/>
          <w:sz w:val="18"/>
          <w:szCs w:val="18"/>
          <w:color w:val="auto"/>
        </w:rPr>
        <w:t>As of March 31, 2020, there was $2.3 million of unrecognized compensation expense related to non-vested performance stock, which is expected to be recognized over a weighted-average period of 2.9 years.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presents the assumptions used to estimate the fair value of the ESPP during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159385</wp:posOffset>
            </wp:positionV>
            <wp:extent cx="67722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9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60" w:type="dxa"/>
            <w:vAlign w:val="bottom"/>
            <w:gridSpan w:val="2"/>
            <w:shd w:val="clear" w:color="auto" w:fill="CCEEFF"/>
          </w:tcPr>
          <w:p>
            <w:pPr>
              <w:jc w:val="center"/>
              <w:ind w:left="4150"/>
              <w:spacing w:after="0"/>
              <w:rPr>
                <w:sz w:val="20"/>
                <w:szCs w:val="20"/>
                <w:color w:val="auto"/>
              </w:rPr>
            </w:pPr>
            <w:r>
              <w:rPr>
                <w:rFonts w:ascii="Arial" w:cs="Arial" w:eastAsia="Arial" w:hAnsi="Arial"/>
                <w:sz w:val="18"/>
                <w:szCs w:val="18"/>
                <w:color w:val="auto"/>
                <w:w w:val="90"/>
              </w:rPr>
              <w:t>1.59%</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2.33%</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life (months)</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1"/>
              </w:rPr>
              <w:t>6.00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1"/>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60" w:type="dxa"/>
            <w:vAlign w:val="bottom"/>
            <w:gridSpan w:val="2"/>
            <w:shd w:val="clear" w:color="auto" w:fill="CCEEFF"/>
          </w:tcPr>
          <w:p>
            <w:pPr>
              <w:jc w:val="center"/>
              <w:ind w:left="4130"/>
              <w:spacing w:after="0"/>
              <w:rPr>
                <w:sz w:val="20"/>
                <w:szCs w:val="20"/>
                <w:color w:val="auto"/>
              </w:rPr>
            </w:pPr>
            <w:r>
              <w:rPr>
                <w:rFonts w:ascii="Arial" w:cs="Arial" w:eastAsia="Arial" w:hAnsi="Arial"/>
                <w:sz w:val="18"/>
                <w:szCs w:val="18"/>
                <w:color w:val="auto"/>
                <w:w w:val="91"/>
              </w:rPr>
              <w:t>42.63%</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37.36%</w:t>
            </w: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2"/>
              </w:rPr>
              <w:t>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40" w:type="dxa"/>
            <w:vAlign w:val="bottom"/>
          </w:tcPr>
          <w:p>
            <w:pPr>
              <w:jc w:val="right"/>
              <w:ind w:right="2210"/>
              <w:spacing w:after="0"/>
              <w:rPr>
                <w:sz w:val="20"/>
                <w:szCs w:val="20"/>
                <w:color w:val="auto"/>
              </w:rPr>
            </w:pPr>
            <w:r>
              <w:rPr>
                <w:rFonts w:ascii="Arial" w:cs="Arial" w:eastAsia="Arial" w:hAnsi="Arial"/>
                <w:sz w:val="18"/>
                <w:szCs w:val="18"/>
                <w:color w:val="auto"/>
              </w:rPr>
              <w:t>13</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580"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Note 9 – Accumulated Other Comprehensive Loss</w:t>
      </w:r>
    </w:p>
    <w:p>
      <w:pPr>
        <w:spacing w:after="0" w:line="22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Other comprehensive income (loss) is comprised entirely of foreign currency translation adjustments. The following table presents the changes in accumulated other comprehensive income (loss) balances during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right="2200"/>
        <w:spacing w:after="0" w:line="290" w:lineRule="auto"/>
        <w:rPr>
          <w:sz w:val="20"/>
          <w:szCs w:val="20"/>
          <w:color w:val="auto"/>
        </w:rPr>
      </w:pPr>
      <w:r>
        <w:rPr>
          <w:rFonts w:ascii="Arial" w:cs="Arial" w:eastAsia="Arial" w:hAnsi="Arial"/>
          <w:sz w:val="16"/>
          <w:szCs w:val="16"/>
          <w:color w:val="auto"/>
        </w:rPr>
        <w:t>Other comprehensive income (loss) before reclassifications 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current-period other comprehensive income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411"/>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(8,492)</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30"/>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is subject to income tax in multiple jurisdictions and the use of estimates is required to determine the provision for income taxes. For the three months ended March 31, 2020 and 2019, the Company recorded an income tax provision of $3.9 million and $4.2 million, respectively. The income tax provision is based on the estimated annual effective tax rate for the year applied to pre-tax income. The effective income tax rate for the three months ended March 31, 2020 was 21.8 percent compared to 21.1 percent in the same period of the prior year. The effective tax rate increased by 0.7 percent for the three months ended March 31, 2020 when compared to the same period in 2019 primarily due to a decrease in tax benefits from the vesting of restricted stock and the exercise of stock options and an increase in the state tax provision.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income tax rate for the three months ended March 31, 2020 differs from the U.S. federal statutory rate of 21.0 percent due to various factors, including operating in multiple state and foreign jurisdictions and tax credits for which the Company qualifies.</w:t>
      </w:r>
    </w:p>
    <w:p>
      <w:pPr>
        <w:spacing w:after="0" w:line="17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Company had unrecognized tax benefits totaling $4.6 million as of each of March 31, 2020 and December 31, 2019, respectively, all of which, if recognized, would affect the Company’s effective tax rate. The Company recognizes interest and penalties related to income tax matters in income tax expense, and reports the liability in current or long-term income taxes payable as appropriate.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11 – Segment Reporting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and income from operations by reportable segment for the three months ended March 31,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90,076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87,811</w:t>
            </w:r>
          </w:p>
        </w:tc>
      </w:tr>
      <w:tr>
        <w:trPr>
          <w:trHeight w:val="216"/>
        </w:trPr>
        <w:tc>
          <w:tcPr>
            <w:tcW w:w="30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21,254</w:t>
            </w:r>
          </w:p>
        </w:tc>
      </w:tr>
      <w:tr>
        <w:trPr>
          <w:trHeight w:val="216"/>
        </w:trPr>
        <w:tc>
          <w:tcPr>
            <w:tcW w:w="3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4,387</w:t>
            </w:r>
          </w:p>
        </w:tc>
      </w:tr>
      <w:tr>
        <w:trPr>
          <w:trHeight w:val="249"/>
        </w:trPr>
        <w:tc>
          <w:tcPr>
            <w:tcW w:w="300" w:type="dxa"/>
            <w:vAlign w:val="bottom"/>
            <w:shd w:val="clear" w:color="auto" w:fill="CCEEFF"/>
          </w:tcPr>
          <w:p>
            <w:pPr>
              <w:spacing w:after="0"/>
              <w:rPr>
                <w:sz w:val="21"/>
                <w:szCs w:val="21"/>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115,108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113,452</w:t>
            </w:r>
          </w:p>
        </w:tc>
      </w:tr>
      <w:tr>
        <w:trPr>
          <w:trHeight w:val="34"/>
        </w:trPr>
        <w:tc>
          <w:tcPr>
            <w:tcW w:w="300" w:type="dxa"/>
            <w:vAlign w:val="bottom"/>
            <w:tcBorders>
              <w:top w:val="single" w:sz="8" w:color="CCEEFF"/>
              <w:bottom w:val="single" w:sz="8" w:color="auto"/>
            </w:tcBorders>
          </w:tcPr>
          <w:p>
            <w:pPr>
              <w:spacing w:after="0"/>
              <w:rPr>
                <w:sz w:val="3"/>
                <w:szCs w:val="3"/>
                <w:color w:val="auto"/>
              </w:rPr>
            </w:pPr>
          </w:p>
        </w:tc>
        <w:tc>
          <w:tcPr>
            <w:tcW w:w="770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r>
      <w:tr>
        <w:trPr>
          <w:trHeight w:val="264"/>
        </w:trPr>
        <w:tc>
          <w:tcPr>
            <w:tcW w:w="300" w:type="dxa"/>
            <w:vAlign w:val="bottom"/>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00" w:type="dxa"/>
            <w:vAlign w:val="bottom"/>
            <w:tcBorders>
              <w:bottom w:val="single" w:sz="8" w:color="auto"/>
            </w:tcBorders>
            <w:gridSpan w:val="9"/>
          </w:tcPr>
          <w:p>
            <w:pPr>
              <w:jc w:val="center"/>
              <w:ind w:right="10"/>
              <w:spacing w:after="0"/>
              <w:rPr>
                <w:sz w:val="20"/>
                <w:szCs w:val="20"/>
                <w:color w:val="auto"/>
              </w:rPr>
            </w:pPr>
            <w:r>
              <w:rPr>
                <w:rFonts w:ascii="Arial" w:cs="Arial" w:eastAsia="Arial" w:hAnsi="Arial"/>
                <w:sz w:val="18"/>
                <w:szCs w:val="18"/>
                <w:b w:val="1"/>
                <w:bCs w:val="1"/>
                <w:color w:val="auto"/>
                <w:w w:val="93"/>
              </w:rPr>
              <w:t>Three Months Ended March 31,</w:t>
            </w:r>
          </w:p>
        </w:tc>
        <w:tc>
          <w:tcPr>
            <w:tcW w:w="280" w:type="dxa"/>
            <w:vAlign w:val="bottom"/>
          </w:tcPr>
          <w:p>
            <w:pPr>
              <w:spacing w:after="0"/>
              <w:rPr>
                <w:sz w:val="20"/>
                <w:szCs w:val="20"/>
                <w:color w:val="auto"/>
              </w:rPr>
            </w:pPr>
          </w:p>
        </w:tc>
      </w:tr>
      <w:tr>
        <w:trPr>
          <w:trHeight w:val="209"/>
        </w:trPr>
        <w:tc>
          <w:tcPr>
            <w:tcW w:w="6800" w:type="dxa"/>
            <w:vAlign w:val="bottom"/>
            <w:gridSpan w:val="3"/>
          </w:tcPr>
          <w:p>
            <w:pPr>
              <w:ind w:left="28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500" w:type="dxa"/>
            <w:vAlign w:val="bottom"/>
            <w:gridSpan w:val="2"/>
          </w:tcPr>
          <w:p>
            <w:pPr>
              <w:ind w:left="4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8"/>
                <w:szCs w:val="18"/>
                <w:color w:val="auto"/>
              </w:rPr>
            </w:pPr>
          </w:p>
        </w:tc>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25,089</w:t>
            </w:r>
          </w:p>
        </w:tc>
        <w:tc>
          <w:tcPr>
            <w:tcW w:w="8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26,310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4,221</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500" w:type="dxa"/>
            <w:vAlign w:val="bottom"/>
            <w:gridSpan w:val="2"/>
          </w:tcPr>
          <w:p>
            <w:pPr>
              <w:ind w:left="480"/>
              <w:spacing w:after="0"/>
              <w:rPr>
                <w:sz w:val="20"/>
                <w:szCs w:val="20"/>
                <w:color w:val="auto"/>
              </w:rPr>
            </w:pPr>
            <w:r>
              <w:rPr>
                <w:rFonts w:ascii="Arial" w:cs="Arial" w:eastAsia="Arial" w:hAnsi="Arial"/>
                <w:sz w:val="18"/>
                <w:szCs w:val="18"/>
                <w:color w:val="auto"/>
              </w:rPr>
              <w:t>Corporate Unallocated and Japan</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(12,628)</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(11,083)</w:t>
            </w:r>
          </w:p>
        </w:tc>
        <w:tc>
          <w:tcPr>
            <w:tcW w:w="28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6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Income from Operations</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16,825</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19,448</w:t>
            </w:r>
          </w:p>
        </w:tc>
        <w:tc>
          <w:tcPr>
            <w:tcW w:w="280" w:type="dxa"/>
            <w:vAlign w:val="bottom"/>
          </w:tcPr>
          <w:p>
            <w:pPr>
              <w:spacing w:after="0"/>
              <w:rPr>
                <w:sz w:val="21"/>
                <w:szCs w:val="21"/>
                <w:color w:val="auto"/>
              </w:rPr>
            </w:pPr>
          </w:p>
        </w:tc>
      </w:tr>
      <w:tr>
        <w:trPr>
          <w:trHeight w:val="223"/>
        </w:trPr>
        <w:tc>
          <w:tcPr>
            <w:tcW w:w="300" w:type="dxa"/>
            <w:vAlign w:val="bottom"/>
          </w:tcPr>
          <w:p>
            <w:pPr>
              <w:spacing w:after="0"/>
              <w:rPr>
                <w:sz w:val="19"/>
                <w:szCs w:val="19"/>
                <w:color w:val="auto"/>
              </w:rPr>
            </w:pPr>
          </w:p>
        </w:tc>
        <w:tc>
          <w:tcPr>
            <w:tcW w:w="820" w:type="dxa"/>
            <w:vAlign w:val="bottom"/>
            <w:tcBorders>
              <w:top w:val="single" w:sz="8" w:color="CCEEFF"/>
              <w:bottom w:val="single" w:sz="8" w:color="auto"/>
            </w:tcBorders>
          </w:tcPr>
          <w:p>
            <w:pPr>
              <w:spacing w:after="0"/>
              <w:rPr>
                <w:sz w:val="19"/>
                <w:szCs w:val="19"/>
                <w:color w:val="auto"/>
              </w:rPr>
            </w:pPr>
          </w:p>
        </w:tc>
        <w:tc>
          <w:tcPr>
            <w:tcW w:w="568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620" w:type="dxa"/>
            <w:vAlign w:val="bottom"/>
            <w:tcBorders>
              <w:top w:val="single" w:sz="8" w:color="CCEEFF"/>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425"/>
        </w:trPr>
        <w:tc>
          <w:tcPr>
            <w:tcW w:w="6800" w:type="dxa"/>
            <w:vAlign w:val="bottom"/>
            <w:gridSpan w:val="3"/>
          </w:tcPr>
          <w:p>
            <w:pPr>
              <w:spacing w:after="0"/>
              <w:rPr>
                <w:sz w:val="20"/>
                <w:szCs w:val="20"/>
                <w:color w:val="auto"/>
              </w:rPr>
            </w:pPr>
            <w:r>
              <w:rPr>
                <w:rFonts w:ascii="Arial" w:cs="Arial" w:eastAsia="Arial" w:hAnsi="Arial"/>
                <w:sz w:val="18"/>
                <w:szCs w:val="18"/>
                <w:color w:val="auto"/>
              </w:rPr>
              <w:t>Total long-lived assets at March 31, 2020 and December 31, 2019 were as follows: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07"/>
        </w:trPr>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215,691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210,171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8,326</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8,522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268,001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263,712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97"/>
        </w:trPr>
        <w:tc>
          <w:tcPr>
            <w:tcW w:w="1120" w:type="dxa"/>
            <w:vAlign w:val="bottom"/>
            <w:gridSpan w:val="2"/>
          </w:tcPr>
          <w:p>
            <w:pPr>
              <w:spacing w:after="0"/>
              <w:rPr>
                <w:sz w:val="17"/>
                <w:szCs w:val="17"/>
                <w:color w:val="auto"/>
              </w:rPr>
            </w:pPr>
          </w:p>
        </w:tc>
        <w:tc>
          <w:tcPr>
            <w:tcW w:w="5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26"/>
        </w:trPr>
        <w:tc>
          <w:tcPr>
            <w:tcW w:w="6800" w:type="dxa"/>
            <w:vAlign w:val="bottom"/>
            <w:gridSpan w:val="3"/>
          </w:tcPr>
          <w:p>
            <w:pPr>
              <w:jc w:val="right"/>
              <w:ind w:right="99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the world’s largest and fastest digital manufacturer of custom prototypes and on-demand production parts. We manufacture prototypes and low-volume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aluminum molds and quick turnaround times help reduce design risk and limit overall production costs for product developers and engineers. Prototype quantities typically range from 25 to 100 parts. Because we retain possession of the molds, customers who need short-run production often come back to Protolabs’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product offering. This product offering utilizes our existing processes, but is designed to fulfill the needs of customers with on-going production needs, typically in annual volumes of less than 10,000 parts.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product developer or engineer. CNC turning with live tooling combines both lathe and mill capabilities to machine parts with cylindrical features from metal rod stock. Our efficiencies derive from the automation of the programming of these machines and a proprietary fixturing process.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Quick-turn CNC machining works best for prototyping, form and fit testing, jigs and fixtures and functional components for end-use applications. The CNC Machining product line is well suited to produce small quantities, typically in the range of one to 1,000 parts.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Printing</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3D Printing product line includes stereolithography, selective laser sintering, direct metal laser sintering, Multi Jet Fusion, PolyJet and digital light synthesis processes, which offer customers a wide-variety of high-quality, precision rapid prototyping and low-volume production. These processes create parts with a high level of accuracy, detail, strength and durability. Industrial 3D Printing is best suited for functional prototypes, complex designs and end-use applications produced in small quantities, typically in the range of one to several hundred parts.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Sheet Metal product line includes quick-turn and e-commerce-enabled custom sheet metal parts, which provides customers with prototype and low-volume production parts. The rapid prototype sheet metal process is most often used when form, fit and function are all a priority. Our manufacturing process uses customer 3D CAD models uploaded by the product developer or engineer to fabricate quick-turn prototype sheet metal or short-run production parts. The Sheet Metal product line is well suited to produce quantities in the range of one to 500 parts.</w:t>
      </w:r>
    </w:p>
    <w:p>
      <w:pPr>
        <w:sectPr>
          <w:pgSz w:w="11900" w:h="16838" w:orient="portrait"/>
          <w:cols w:equalWidth="0" w:num="1">
            <w:col w:w="11240"/>
          </w:cols>
          <w:pgMar w:left="320" w:top="125" w:right="339" w:bottom="0" w:gutter="0" w:footer="0" w:header="0"/>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Key Financial Measures and Trends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20" w:right="20"/>
        <w:spacing w:after="0" w:line="255" w:lineRule="auto"/>
        <w:rPr>
          <w:sz w:val="20"/>
          <w:szCs w:val="20"/>
          <w:color w:val="auto"/>
        </w:rPr>
      </w:pPr>
      <w:r>
        <w:rPr>
          <w:rFonts w:ascii="Arial" w:cs="Arial" w:eastAsia="Arial" w:hAnsi="Arial"/>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expanding the breadth of our product offerings, gaining new customers and selling to our existing customer base by increasing marketing and selling activities, including:</w:t>
      </w:r>
    </w:p>
    <w:p>
      <w:pPr>
        <w:spacing w:after="0" w:line="192" w:lineRule="exact"/>
        <w:rPr>
          <w:sz w:val="20"/>
          <w:szCs w:val="20"/>
          <w:color w:val="auto"/>
        </w:rPr>
      </w:pPr>
    </w:p>
    <w:p>
      <w:pPr>
        <w:ind w:left="840" w:hanging="48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the breadth and scope of each of our product lines by adding more sizes and materials to our offerings;</w:t>
      </w:r>
    </w:p>
    <w:p>
      <w:pPr>
        <w:spacing w:after="0" w:line="225" w:lineRule="exact"/>
        <w:rPr>
          <w:rFonts w:ascii="Arial" w:cs="Arial" w:eastAsia="Arial" w:hAnsi="Arial"/>
          <w:sz w:val="18"/>
          <w:szCs w:val="18"/>
          <w:color w:val="auto"/>
        </w:rPr>
      </w:pPr>
    </w:p>
    <w:p>
      <w:pPr>
        <w:ind w:left="840" w:hanging="48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225" w:lineRule="exact"/>
        <w:rPr>
          <w:rFonts w:ascii="Arial" w:cs="Arial" w:eastAsia="Arial" w:hAnsi="Arial"/>
          <w:sz w:val="18"/>
          <w:szCs w:val="18"/>
          <w:color w:val="auto"/>
        </w:rPr>
      </w:pPr>
    </w:p>
    <w:p>
      <w:pPr>
        <w:ind w:left="840" w:hanging="48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October 2015;</w:t>
      </w:r>
    </w:p>
    <w:p>
      <w:pPr>
        <w:spacing w:after="0" w:line="225" w:lineRule="exact"/>
        <w:rPr>
          <w:rFonts w:ascii="Arial" w:cs="Arial" w:eastAsia="Arial" w:hAnsi="Arial"/>
          <w:sz w:val="18"/>
          <w:szCs w:val="18"/>
          <w:color w:val="auto"/>
        </w:rPr>
      </w:pPr>
    </w:p>
    <w:p>
      <w:pPr>
        <w:ind w:left="840" w:hanging="48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in 2017; and</w:t>
      </w:r>
    </w:p>
    <w:p>
      <w:pPr>
        <w:spacing w:after="0" w:line="225" w:lineRule="exact"/>
        <w:rPr>
          <w:rFonts w:ascii="Arial" w:cs="Arial" w:eastAsia="Arial" w:hAnsi="Arial"/>
          <w:sz w:val="18"/>
          <w:szCs w:val="18"/>
          <w:color w:val="auto"/>
        </w:rPr>
      </w:pPr>
    </w:p>
    <w:p>
      <w:pPr>
        <w:ind w:left="840" w:hanging="48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w:t>
      </w:r>
    </w:p>
    <w:p>
      <w:pPr>
        <w:spacing w:after="0" w:line="225" w:lineRule="exact"/>
        <w:rPr>
          <w:sz w:val="20"/>
          <w:szCs w:val="20"/>
          <w:color w:val="auto"/>
        </w:rPr>
      </w:pPr>
    </w:p>
    <w:p>
      <w:pPr>
        <w:ind w:left="20" w:right="100"/>
        <w:spacing w:after="0" w:line="277" w:lineRule="auto"/>
        <w:rPr>
          <w:sz w:val="20"/>
          <w:szCs w:val="20"/>
          <w:color w:val="auto"/>
        </w:rPr>
      </w:pPr>
      <w:r>
        <w:rPr>
          <w:rFonts w:ascii="Arial" w:cs="Arial" w:eastAsia="Arial" w:hAnsi="Arial"/>
          <w:sz w:val="18"/>
          <w:szCs w:val="18"/>
          <w:color w:val="auto"/>
        </w:rPr>
        <w:t>During the three months ended March 31, 2020, we served 20,876 unique product developers and engineers who purchased our products through our web-based customer interface, an increase of 1.5% over the same period in 2019.</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Cost of revenue consists primarily of raw materials, equipment depreciation, employee compensation, benefits,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 but remain relatively constant as a percentage of total revenue.</w:t>
      </w:r>
    </w:p>
    <w:p>
      <w:pPr>
        <w:spacing w:after="0" w:line="187" w:lineRule="exact"/>
        <w:rPr>
          <w:sz w:val="20"/>
          <w:szCs w:val="20"/>
          <w:color w:val="auto"/>
        </w:rPr>
      </w:pPr>
    </w:p>
    <w:p>
      <w:pPr>
        <w:ind w:left="20" w:right="160"/>
        <w:spacing w:after="0" w:line="311" w:lineRule="auto"/>
        <w:rPr>
          <w:sz w:val="20"/>
          <w:szCs w:val="20"/>
          <w:color w:val="auto"/>
        </w:rPr>
      </w:pPr>
      <w:r>
        <w:rPr>
          <w:rFonts w:ascii="Arial" w:cs="Arial" w:eastAsia="Arial" w:hAnsi="Arial"/>
          <w:sz w:val="16"/>
          <w:szCs w:val="16"/>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and foreign exchange rates.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70" w:lineRule="exact"/>
        <w:rPr>
          <w:sz w:val="20"/>
          <w:szCs w:val="20"/>
          <w:color w:val="auto"/>
        </w:rPr>
      </w:pPr>
    </w:p>
    <w:p>
      <w:pPr>
        <w:ind w:left="20" w:right="160"/>
        <w:spacing w:after="0" w:line="279" w:lineRule="auto"/>
        <w:rPr>
          <w:sz w:val="20"/>
          <w:szCs w:val="20"/>
          <w:color w:val="auto"/>
        </w:rPr>
      </w:pPr>
      <w:r>
        <w:rPr>
          <w:rFonts w:ascii="Arial" w:cs="Arial" w:eastAsia="Arial" w:hAnsi="Arial"/>
          <w:sz w:val="17"/>
          <w:szCs w:val="17"/>
          <w:color w:val="auto"/>
        </w:rPr>
        <w:t>Our recent growth in operating expenses is mainly due to higher headcounts to support our growth and expansion, and we expect that trend to continue. Our business strategy is to continue to be a leading online and technology-enabled manufacturer of quick-turn, on-demand injection-molded, CNC-machined, CNC-turned, 3D-printed and sheet metal custom parts for prototyping and low-volume production. In order to achieve our goals, we anticipate continued substantial investments in technology and personnel, resulting in increased operating expenses.</w:t>
      </w:r>
    </w:p>
    <w:p>
      <w:pPr>
        <w:spacing w:after="0" w:line="171" w:lineRule="exact"/>
        <w:rPr>
          <w:sz w:val="20"/>
          <w:szCs w:val="20"/>
          <w:color w:val="auto"/>
        </w:rPr>
      </w:pPr>
    </w:p>
    <w:p>
      <w:pPr>
        <w:ind w:left="20" w:right="20"/>
        <w:spacing w:after="0" w:line="259"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Marketing and sales expense consists primarily of employee compensation, benefits, commissions,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7" w:lineRule="exact"/>
        <w:rPr>
          <w:sz w:val="20"/>
          <w:szCs w:val="20"/>
          <w:color w:val="auto"/>
        </w:rPr>
      </w:pPr>
    </w:p>
    <w:p>
      <w:pPr>
        <w:ind w:left="20"/>
        <w:spacing w:after="0" w:line="29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We expect research and development expense to increase in the future as we seek to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interface technology, internal software and supporting business systems, and continue to expand our product lines.</w:t>
      </w:r>
    </w:p>
    <w:p>
      <w:pPr>
        <w:spacing w:after="0" w:line="161" w:lineRule="exact"/>
        <w:rPr>
          <w:sz w:val="20"/>
          <w:szCs w:val="20"/>
          <w:color w:val="auto"/>
        </w:rPr>
      </w:pPr>
    </w:p>
    <w:p>
      <w:pPr>
        <w:ind w:left="20" w:right="260"/>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We expect general and administrative expense to increase in the future as we continue to grow and expand as a global organization.</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20" w:right="180"/>
        <w:spacing w:after="0" w:line="311" w:lineRule="auto"/>
        <w:rPr>
          <w:sz w:val="20"/>
          <w:szCs w:val="20"/>
          <w:color w:val="auto"/>
        </w:rPr>
      </w:pPr>
      <w:r>
        <w:rPr>
          <w:rFonts w:ascii="Arial" w:cs="Arial" w:eastAsia="Arial" w:hAnsi="Arial"/>
          <w:sz w:val="16"/>
          <w:szCs w:val="16"/>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we expect our effective tax rate for 2020 and beyond will remain consistent based on the current tax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ectPr>
          <w:pgSz w:w="11900" w:h="16838" w:orient="portrait"/>
          <w:cols w:equalWidth="0" w:num="1">
            <w:col w:w="11260"/>
          </w:cols>
          <w:pgMar w:left="300" w:top="121" w:right="339" w:bottom="0" w:gutter="0" w:footer="0" w:header="0"/>
        </w:sectPr>
      </w:pPr>
    </w:p>
    <w:bookmarkStart w:id="16" w:name="page17"/>
    <w:bookmarkEnd w:id="16"/>
    <w:p>
      <w:pPr>
        <w:ind w:right="300"/>
        <w:spacing w:after="0" w:line="271"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a pandemic. Its full financial impact is unknown at this time and will depend on the duration of government restrictions, including travel restrictions, quarantines, shelter in place orders and shutdowns and duration of the economic slowdown and nature and timing of a recovery. The Company has been deemed an essential business and all of our global manufacturing operations have remained open. The Company has activated a global, cross-functional response team, which is closely monitoring the situation and implementing additional safety measures to help ensure the well-being of our employees, customers and suppliers, to minimize disruptions and provide for the safe and reliable supply of products to our customers. In accordance with the guidance provided by both the World Health Organization and the U.S. Centers for Disease Control and Prevention, the Company has implemented safe work practices, including social distancing and work from home guidelines.</w:t>
      </w:r>
    </w:p>
    <w:p>
      <w:pPr>
        <w:spacing w:after="0" w:line="178" w:lineRule="exact"/>
        <w:rPr>
          <w:sz w:val="20"/>
          <w:szCs w:val="20"/>
          <w:color w:val="auto"/>
        </w:rPr>
      </w:pPr>
    </w:p>
    <w:p>
      <w:pPr>
        <w:jc w:val="both"/>
        <w:ind w:right="620"/>
        <w:spacing w:after="0" w:line="311" w:lineRule="auto"/>
        <w:rPr>
          <w:sz w:val="20"/>
          <w:szCs w:val="20"/>
          <w:color w:val="auto"/>
        </w:rPr>
      </w:pPr>
      <w:r>
        <w:rPr>
          <w:rFonts w:ascii="Arial" w:cs="Arial" w:eastAsia="Arial" w:hAnsi="Arial"/>
          <w:sz w:val="16"/>
          <w:szCs w:val="16"/>
          <w:color w:val="auto"/>
        </w:rPr>
        <w:t>We are actively monitoring key product availability and continue to stay connected with our customers to understand impacts on their operations. All of these efforts will help us better plan and prepare, so we can continue to be a leading supplier of custom parts. In anticipation of exposure due to an economic slowdown driven by COVID-19, the Company increased its bad debt reserve by $0.9 million as of March 31, 2020.</w:t>
      </w:r>
    </w:p>
    <w:p>
      <w:pPr>
        <w:spacing w:after="0" w:line="14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Coronavirus Aid, Relief, and Economic Security (CARES) Act was signed into law on March 27th, 2020. The CARES Act is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$2.6 million reduction in our income taxes payable and a corresponding increase to our deferred tax liability.</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"Risk Factors" in Item 1A of this Quarterly Report on Form 10-Q for further information of the possible impact of the COVID-19 pandemic on our business.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186055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8"/>
                <w:szCs w:val="18"/>
                <w:b w:val="1"/>
                <w:bCs w:val="1"/>
                <w:color w:val="auto"/>
                <w:w w:val="92"/>
              </w:rPr>
              <w:t>Three Months Ended 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20"/>
                <w:szCs w:val="20"/>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(dollars in thousands)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57,008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54,592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sales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12.1</w:t>
            </w:r>
          </w:p>
        </w:tc>
      </w:tr>
      <w:tr>
        <w:trPr>
          <w:trHeight w:val="216"/>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12,822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r>
      <w:tr>
        <w:trPr>
          <w:trHeight w:val="210"/>
        </w:trPr>
        <w:tc>
          <w:tcPr>
            <w:tcW w:w="320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41,275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39,412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w:t>
            </w:r>
          </w:p>
        </w:tc>
      </w:tr>
      <w:tr>
        <w:trPr>
          <w:trHeight w:val="25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312"/>
        </w:trPr>
        <w:tc>
          <w:tcPr>
            <w:tcW w:w="32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left="20" w:right="640"/>
        <w:spacing w:after="0" w:line="277" w:lineRule="auto"/>
        <w:rPr>
          <w:sz w:val="20"/>
          <w:szCs w:val="20"/>
          <w:color w:val="auto"/>
        </w:rPr>
      </w:pPr>
      <w:r>
        <w:rPr>
          <w:rFonts w:ascii="Arial" w:cs="Arial" w:eastAsia="Arial" w:hAnsi="Arial"/>
          <w:sz w:val="18"/>
          <w:szCs w:val="18"/>
          <w:color w:val="auto"/>
        </w:rPr>
        <w:t>Stock-based compensation expense included in the statements of operations data above for the three months ended March 31, 2020 and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186055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(dollars in thousands)</w:t>
            </w:r>
          </w:p>
        </w:tc>
        <w:tc>
          <w:tcPr>
            <w:tcW w:w="3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3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left w:val="single" w:sz="8" w:color="CCEEFF"/>
            </w:tcBorders>
            <w:shd w:val="clear" w:color="auto" w:fill="CCEEFF"/>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3900" w:type="dxa"/>
            <w:vAlign w:val="bottom"/>
            <w:tcBorders>
              <w:top w:val="single" w:sz="8" w:color="CCEEFF"/>
            </w:tcBorders>
          </w:tcPr>
          <w:p>
            <w:pPr>
              <w:spacing w:after="0"/>
              <w:rPr>
                <w:sz w:val="17"/>
                <w:szCs w:val="17"/>
                <w:color w:val="auto"/>
              </w:rPr>
            </w:pPr>
          </w:p>
        </w:tc>
        <w:tc>
          <w:tcPr>
            <w:tcW w:w="34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Marketing and sales</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34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3,033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6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60" w:type="dxa"/>
            <w:vAlign w:val="bottom"/>
          </w:tcPr>
          <w:p>
            <w:pPr>
              <w:jc w:val="right"/>
              <w:ind w:right="221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-436245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-445135</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7141210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340"/>
          </w:cols>
          <w:pgMar w:left="300" w:top="341" w:right="259" w:bottom="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three months ended March 31,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90,076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78.3%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87,811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20,787</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29"/>
        </w:trPr>
        <w:tc>
          <w:tcPr>
            <w:tcW w:w="20" w:type="dxa"/>
            <w:vAlign w:val="bottom"/>
          </w:tcPr>
          <w:p>
            <w:pPr>
              <w:spacing w:after="0"/>
              <w:rPr>
                <w:sz w:val="19"/>
                <w:szCs w:val="19"/>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revenue increased $1.7 million, or 1.5%, for the three months ended March 31, 2020 compared to the same period in 2019. By reportable segment, revenue in the United States increased $2.3 million, or 2.6%, for the three months ended March 31, 2020 compared to the same period in 2019. Revenue in Europe decreased $0.5 million, or 2.2%, and revenue in Japan decreased $0.1 million, or 3.2%, in each case for the three months ended March 31, 2020 compared to the same period in 2019. Our revenue in Europe was impacted by foreign currency exchange rates. Excluding the impact of the changes in foreign currency exchange rates, Europe revenue growth would have been 0.9%. In addition, our revenue in each region was impacted by a decline in order activity driven by the COVID-19 pandemic.</w:t>
      </w:r>
    </w:p>
    <w:p>
      <w:pPr>
        <w:spacing w:after="0" w:line="19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Our revenue growth during the three months ended March 31, 2020 was the result of an increase in the volume of product developers and engineers we served. During the three months ended March 31, 2020, we served 20,876 unique product developers and engineers, an increase of 1.5% over the same period in 2019.</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revenue increases were primarily driven by increases in sales personnel and marketing activities. Our sales personnel focus on gaining new customer accounts and expanding the depth and breadth of existing customer accounts. Our marketing personnel focus on marketing activities that result in the greatest number of customer leads to support sales activity. International revenue was negatively impacted by $0.6 million during the three months ended March 31, 2020 compared to the same period in 2019 as a result of foreign currency movements, primarily the weakening of the British Pound and Euro relative to the United States Dollar.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three months ended March 31,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191"/>
        </w:trPr>
        <w:tc>
          <w:tcPr>
            <w:tcW w:w="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294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54,776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55,311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37,885</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37,872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15,948</w:t>
            </w:r>
          </w:p>
        </w:tc>
        <w:tc>
          <w:tcPr>
            <w:tcW w:w="1280" w:type="dxa"/>
            <w:vAlign w:val="bottom"/>
            <w:gridSpan w:val="3"/>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14,480</w:t>
            </w:r>
          </w:p>
        </w:tc>
        <w:tc>
          <w:tcPr>
            <w:tcW w:w="1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113,452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264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By product line, our revenue growth was driven by a 10.1% increase in 3D Printing revenue, a 12.4% increase in Sheet Metal revenue and an 11.3% increase in Other Revenue, which was partially offset by a 1.0% decrease in Injection Molding revenue, in each case for the three months ended March 31, 2020 compared to the same period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increased $2.4 million, or 4.4%, for the three months ended March 31, 2020 compared to the same period in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greater than the rate of revenue increase of 1.5% for the three months ended March 31, 2020 compared to the same period in 2019. The increase in cost of revenue resulted from the growth of the business, investments to support future growth and the costs of inflation. Specifically, the increases were driven by an increase in direct labor headcount and wage inflation resulting in personnel and related cost increases of $1.5 million and equipment and facility-related cost increases of $1.0 million to support increased sales volumes and future growth of the business, which were partially offset by raw material and production cost decreases of $0.1 million.</w:t>
      </w:r>
    </w:p>
    <w:p>
      <w:pPr>
        <w:sectPr>
          <w:pgSz w:w="11900" w:h="16838" w:orient="portrait"/>
          <w:cols w:equalWidth="0" w:num="1">
            <w:col w:w="11240"/>
          </w:cols>
          <w:pgMar w:left="320" w:top="125" w:right="339" w:bottom="0" w:gutter="0" w:footer="0" w:header="0"/>
        </w:sectPr>
      </w:pPr>
    </w:p>
    <w:bookmarkStart w:id="18" w:name="page19"/>
    <w:bookmarkEnd w:id="18"/>
    <w:p>
      <w:pPr>
        <w:ind w:right="80"/>
        <w:spacing w:after="0" w:line="259"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decreased from $58.9 million in the three months ended March 31, 2019 to $58.1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primarily due to an increase in expenses associated with the cost of revenue. Gross margin decreased from 51.9% in the three months ended March 31, 2019 to 50.5% in the three months ended March 31, 2020 due to investments in facilities and personnel to support future growth and the timing and mix of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net and Provision for Income Taxes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decreased $0.4 million, or 2.1%, during the three months ended March 31, 2020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2019 due primarily to personnel and related cost decreases of $0.2 million as well as marketing program cost decreases of $0.2 million.</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increased $1.0 million, or 12.1%, during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due to an increase in headcount resulting in personnel and related cost increases of $1.0 million.</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$1.3 million, or 10.0%, during the three months ended March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2019 due to personnel and related cost increases of $1.2 million and administrative cost increases of $0.5 million primarily driven by an increase to our bad debt expense as a result of anticipated exposure related to the novel coronavirus (COVID-19) pandemic, which were partially offset by stock-based compensation decreases of $0.3 million, as well as a $0.1 million decrease in amortization cost.</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recognized other income, net of $1.1 million for the three months ended March 31, 2020, an increase of $0.9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income, net of $0.2 million for the three months ended March 31, 2019. Other income, net for the three months ended March 31, 2020 primarily consisted of $0.6 million in interest income on investments and a $0.7 million gain on foreign currency, which was partially offset by $0.2 million in other expense. Other income, net for the three months ended March 31, 2019 primarily consisted of $0.6 million in interest income on investments, which was partially offset by a $0.4 million loss on foreign currency.</w:t>
      </w:r>
    </w:p>
    <w:p>
      <w:pPr>
        <w:spacing w:after="0" w:line="188"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of 21.8% for the three months ended March 31, 2020 increased 0.7% compared to 21.1%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2019. The increase in the effective tax rate is primarily due to a decrease in tax benefits from the vesting of restricted stock and the exercise of stock options and an increase in the state tax provision. Our income tax provision of $3.9 million for the three months ended March 31, 2020 decreased $0.3 million compared to our income tax provision of $4.2 million for the three months ended March 31, 2019.</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during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13335</wp:posOffset>
            </wp:positionV>
            <wp:extent cx="641223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financing activities</w:t>
      </w:r>
    </w:p>
    <w:p>
      <w:pPr>
        <w:spacing w:after="0" w:line="22" w:lineRule="exact"/>
        <w:rPr>
          <w:sz w:val="20"/>
          <w:szCs w:val="20"/>
          <w:color w:val="auto"/>
        </w:rPr>
      </w:pPr>
    </w:p>
    <w:p>
      <w:pPr>
        <w:ind w:left="560" w:right="2180"/>
        <w:spacing w:after="0" w:line="395" w:lineRule="auto"/>
        <w:rPr>
          <w:sz w:val="20"/>
          <w:szCs w:val="20"/>
          <w:color w:val="auto"/>
        </w:rPr>
      </w:pPr>
      <w:r>
        <w:rPr>
          <w:rFonts w:ascii="Arial" w:cs="Arial" w:eastAsia="Arial" w:hAnsi="Arial"/>
          <w:sz w:val="16"/>
          <w:szCs w:val="16"/>
          <w:color w:val="auto"/>
        </w:rPr>
        <w:t>Effect of exchange rates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-237490</wp:posOffset>
            </wp:positionV>
            <wp:extent cx="641223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22,410</w:t>
            </w:r>
          </w:p>
        </w:tc>
        <w:tc>
          <w:tcPr>
            <w:tcW w:w="10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18,002</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(17,729)</w:t>
            </w:r>
          </w:p>
        </w:tc>
      </w:tr>
      <w:tr>
        <w:trPr>
          <w:trHeight w:val="244"/>
        </w:trPr>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ectPr>
          <w:pgSz w:w="11900" w:h="16838" w:orient="portrait"/>
          <w:cols w:equalWidth="0" w:num="2">
            <w:col w:w="6620" w:space="720"/>
            <w:col w:w="3840"/>
          </w:cols>
          <w:pgMar w:left="320" w:top="341" w:right="399" w:bottom="187"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Historically, we have primarily financed our operations and capital expenditures through cash flow from operations. We had cash and cash equivalents of $91.9 million as of March 31, 2020, a decrease of $33.3 million from December 31, 2019. The decrease in our cash was primarily due to cash used in investing activity and repurchases of common stock, which were partially offset by cash generated through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Cash flows from operating activities were $22.4 million during the three months ended March 31, 2020 and primarily consisted of net income of $14.0 million, adjusted for certain non-cash items, including depreciation and amortization of $8.0 million, stock-based compensation expense of $3.0 million and deferred taxes of $3.4 million, which were partially offset by changes in operating assets and liabilities and other items totaling $6.0 million. Cash flows from operating activities were $18.0 million during the three months ended March 31, 2019 and primarily consisted of net income of $15.5 million, adjusted for certain non-cash items, including depreciation and amortization of $7.4 million, stock-based compensation expense of $3.0 million and deferred taxes of $0.4 million, which were partially offset by changes in operating assets and liabilities and other items totaling $8.3 million.</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from operating activities increased $4.4 million during the three months ended March 31, 2020 compared to the same period in 2019, primarily due to increases in changes in operating assets and liabilities of $3.3 million driven by timing of cash receipts and payments, deferred taxes of $3.0 million and depreciation and amortization of $0.5 million, which were partially offset by decreases in net income of $1.5 million and decreases in other operating activities of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ectPr>
          <w:pgSz w:w="11900" w:h="16838" w:orient="portrait"/>
          <w:cols w:equalWidth="0" w:num="1">
            <w:col w:w="11180"/>
          </w:cols>
          <w:pgMar w:left="320" w:top="341" w:right="399" w:bottom="187" w:gutter="0" w:footer="0" w:header="0"/>
          <w:type w:val="continuous"/>
        </w:sectPr>
      </w:pPr>
    </w:p>
    <w:bookmarkStart w:id="19" w:name="page20"/>
    <w:bookmarkEnd w:id="19"/>
    <w:p>
      <w:pPr>
        <w:ind w:right="360"/>
        <w:spacing w:after="0" w:line="286" w:lineRule="auto"/>
        <w:rPr>
          <w:sz w:val="20"/>
          <w:szCs w:val="20"/>
          <w:color w:val="auto"/>
        </w:rPr>
      </w:pPr>
      <w:r>
        <w:rPr>
          <w:rFonts w:ascii="Arial" w:cs="Arial" w:eastAsia="Arial" w:hAnsi="Arial"/>
          <w:sz w:val="17"/>
          <w:szCs w:val="17"/>
          <w:color w:val="auto"/>
        </w:rPr>
        <w:t>Cash used in investing activities was $43.3 million during the three months ended March 31, 2020, consisting of $37.6 million for the purchases of marketable securities, $13.4 million for the purchases of property, equipment and other capital assets and $3.0 million for purchases of other assets and investments, which were partially offset by $10.7 million in proceeds from maturities of marketable securities.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Cash provided by investing activities was $0.3 million during the three months ended March 31, 2019, consisting of $17.0 million in proceeds from maturities of marketable securities, which were partially offset by $12.7 million for the purchases of property, equipment and other capital assets and $4.0 million for purchases of other assets and investments.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used in financing activities was $12.1 million during the three months ended March 31, 2020, consisting of $11.2 million in repurchases of common stock and $1.0 million in purchases of shares withheld for tax obligations associated with equity transactions, which were partially offset by $0.1 million in proceeds from the exercise of stock options.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used in financing activities was $17.7 million during the three months ended March 31, 2019, consisting of $17.3 million in repurchases of common stock and $0.6 million in purchases of shares withheld for tax obligations, which were partially offset by $0.2 million in proceeds from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on recent accounting pronouncements, see Note 2 to the Consolidated Financial Statements appearing in Part I, Item 1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a foreign currency gain of $0.7 million during the three months ended March 31, 2020 and a foreign currency loss of $0.4 million during the three months ended March 31, 2019. The changes in foreign exchange rates had a negative impact on consolidated revenue of $0.6 million for the three months ended March 31,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240"/>
          </w:cols>
          <w:pgMar w:left="320" w:top="125" w:right="3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Part I, Item 1A. “Risk Factors” in our Annual Report on Form 10-K for the year ended December 31, 2019 includes a discussion of our risk factors. The information presented below updates, and should be read in conjunction with, the risk factors and information disclosed in our Form 10-K. Except as presented below, there have been no material changes from the risk factors described in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arising from the recent COVID-19 pandemic could adversely affect our business and results of operations.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a pandemic. The COVID-19 outbreak and associated counter-acting measures implemented by governments around the world, as well as increased business uncertainty, could adversely affect our business and results of operations. At this time, the Company is monitoring the global outbreak of the COVID-19 and is taking steps to mitigate the risks to our employees, customers, suppliers and other stakeholders. The Company has been deemed an essential business and all of our global manufacturing operations have remained open. The current business environment and quickly evolving market conditions require significant management judgment to interpret and quantify the potential impact on our assumptions about future financial performance and operating cash flows. To the extent that changes in the current business environment impact our ability to achieve levels of forecasted operating results and cash flows, if our stock price were to trade below book value per share for an extended period of time and/or should other events occur indicating the carrying value of our assets might be impaired, we may be required to recognize impairment losses on goodwill, intangible and 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9, 2017, we announced that our board of directors had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This authorization increases the stock repurchase program to $100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any share repurchases will be determined by our management based on market conditions and other factors.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common stock repurchase does not obligate us to repurchase any dollar amount or number of shares. During the three months ended March 31, 2020, we repurchased 161,460 shares of our common stock at a total purchase price of $12.0 million under this program. Common stock repurchase activity through March 31,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7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8"/>
                <w:szCs w:val="18"/>
                <w:color w:val="auto"/>
              </w:rPr>
            </w:pPr>
          </w:p>
        </w:tc>
        <w:tc>
          <w:tcPr>
            <w:tcW w:w="17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Purchased Under the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Average Price Paid</w:t>
            </w:r>
          </w:p>
        </w:tc>
        <w:tc>
          <w:tcPr>
            <w:tcW w:w="1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Plans or Programs</w:t>
            </w:r>
          </w:p>
        </w:tc>
      </w:t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Shares Purchased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 thousands) (1)</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January 1, 2020 through January 31, 2020</w:t>
            </w: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49,854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February 1, 2020 through February 29, 2020</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4,916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87.15</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4,916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49,426</w:t>
            </w:r>
          </w:p>
        </w:tc>
      </w:tr>
      <w:tr>
        <w:trPr>
          <w:trHeight w:val="216"/>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 2020 through March 31, 2020</w:t>
            </w:r>
          </w:p>
        </w:tc>
        <w:tc>
          <w:tcPr>
            <w:tcW w:w="1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156,544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156,544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37,877</w:t>
            </w:r>
          </w:p>
        </w:tc>
      </w:tr>
      <w:tr>
        <w:trPr>
          <w:trHeight w:val="209"/>
        </w:trPr>
        <w:tc>
          <w:tcPr>
            <w:tcW w:w="3620" w:type="dxa"/>
            <w:vAlign w:val="bottom"/>
          </w:tcPr>
          <w:p>
            <w:pPr>
              <w:spacing w:after="0"/>
              <w:rPr>
                <w:sz w:val="18"/>
                <w:szCs w:val="18"/>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161,460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74.18</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161,460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37,877</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2"/>
        </w:trPr>
        <w:tc>
          <w:tcPr>
            <w:tcW w:w="3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both"/>
        <w:ind w:right="400" w:firstLine="8"/>
        <w:spacing w:after="0" w:line="26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May 15, 2019 the Board of Directors authorized the repurchase of shares of the Company’s common stock from time to time on the open market or in privately negotiated purchases, at an aggregate purchase price of up to $100 million. The term of the program runs through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ectPr>
          <w:pgSz w:w="11900" w:h="16838" w:orient="portrait"/>
          <w:cols w:equalWidth="0" w:num="1">
            <w:col w:w="11240"/>
          </w:cols>
          <w:pgMar w:left="320" w:top="121" w:right="33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18"/>
                <w:szCs w:val="18"/>
                <w:color w:val="auto"/>
              </w:rPr>
            </w:pPr>
          </w:p>
        </w:tc>
        <w:tc>
          <w:tcPr>
            <w:tcW w:w="10440" w:type="dxa"/>
            <w:vAlign w:val="bottom"/>
          </w:tcPr>
          <w:p>
            <w:pPr>
              <w:ind w:left="438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0"/>
                <w:szCs w:val="20"/>
                <w:color w:val="auto"/>
              </w:rPr>
            </w:pPr>
          </w:p>
        </w:tc>
        <w:tc>
          <w:tcPr>
            <w:tcW w:w="10440" w:type="dxa"/>
            <w:vAlign w:val="bottom"/>
          </w:tcPr>
          <w:p>
            <w:pPr>
              <w:spacing w:after="0"/>
              <w:rPr>
                <w:sz w:val="20"/>
                <w:szCs w:val="20"/>
                <w:color w:val="auto"/>
              </w:rPr>
            </w:pPr>
          </w:p>
        </w:tc>
      </w:tr>
      <w:tr>
        <w:trPr>
          <w:trHeight w:val="195"/>
        </w:trPr>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22"/>
                <w:szCs w:val="22"/>
                <w:color w:val="auto"/>
                <w:vertAlign w:val="subscript"/>
              </w:rPr>
              <w:t>3.1</w:t>
            </w:r>
            <w:r>
              <w:rPr>
                <w:rFonts w:ascii="Arial" w:cs="Arial" w:eastAsia="Arial" w:hAnsi="Arial"/>
                <w:sz w:val="10"/>
                <w:szCs w:val="10"/>
                <w:color w:val="auto"/>
              </w:rPr>
              <w:t>(1)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4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Third Amended and Restated Articles of Incorporation of Proto Labs, Inc.</w:t>
              </w:r>
            </w:hyperlink>
          </w:p>
        </w:tc>
      </w:tr>
      <w:tr>
        <w:trPr>
          <w:trHeight w:val="216"/>
        </w:trPr>
        <w:tc>
          <w:tcPr>
            <w:tcW w:w="680" w:type="dxa"/>
            <w:vAlign w:val="bottom"/>
          </w:tcPr>
          <w:p>
            <w:pPr>
              <w:jc w:val="center"/>
              <w:spacing w:after="0" w:line="216" w:lineRule="exact"/>
              <w:rPr>
                <w:sz w:val="20"/>
                <w:szCs w:val="20"/>
                <w:color w:val="auto"/>
              </w:rPr>
            </w:pPr>
            <w:r>
              <w:rPr>
                <w:rFonts w:ascii="Arial" w:cs="Arial" w:eastAsia="Arial" w:hAnsi="Arial"/>
                <w:sz w:val="18"/>
                <w:szCs w:val="18"/>
                <w:color w:val="auto"/>
                <w:w w:val="82"/>
              </w:rPr>
              <w:t>3.2</w:t>
            </w:r>
            <w:r>
              <w:rPr>
                <w:rFonts w:ascii="Arial" w:cs="Arial" w:eastAsia="Arial" w:hAnsi="Arial"/>
                <w:sz w:val="23"/>
                <w:szCs w:val="23"/>
                <w:color w:val="auto"/>
                <w:w w:val="82"/>
                <w:vertAlign w:val="superscript"/>
              </w:rPr>
              <w:t>(2)</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Articles of Amendment to Third Amended and Restated Articles of Incorporation of Proto Labs, Inc. dated May 20, 2015</w:t>
              </w:r>
            </w:hyperlink>
          </w:p>
        </w:tc>
      </w:tr>
      <w:tr>
        <w:trPr>
          <w:trHeight w:val="216"/>
        </w:trPr>
        <w:tc>
          <w:tcPr>
            <w:tcW w:w="68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3.3</w:t>
            </w:r>
            <w:r>
              <w:rPr>
                <w:rFonts w:ascii="Arial" w:cs="Arial" w:eastAsia="Arial" w:hAnsi="Arial"/>
                <w:sz w:val="10"/>
                <w:szCs w:val="10"/>
                <w:color w:val="auto"/>
              </w:rPr>
              <w:t>(3)</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Second Amended and Restated By-Laws of Proto Labs, Inc., as amended through November 8, 2016</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Certification of the Chief Executive Officer pursuant to Section 302 of the Sarbanes-Oxley Act</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Certification of the Chief Financial Officer pursuant to Section 302 of the Sarbanes-Oxley Act</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Certification of the Chief Executive Officer and the Chief Financial Officer pursuant to Section 906 of the Sarbanes-Oxley Act</w:t>
              </w:r>
            </w:hyperlink>
          </w:p>
        </w:tc>
      </w:t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101.SCH</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101.CAL</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101.DEF</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101.LAB</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101.PRE</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bl>
    <w:p>
      <w:pPr>
        <w:ind w:left="800" w:hanging="590"/>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7" w:lineRule="exact"/>
        <w:rPr>
          <w:rFonts w:ascii="Arial" w:cs="Arial" w:eastAsia="Arial" w:hAnsi="Arial"/>
          <w:sz w:val="18"/>
          <w:szCs w:val="18"/>
          <w:color w:val="auto"/>
        </w:rPr>
      </w:pPr>
    </w:p>
    <w:p>
      <w:pPr>
        <w:ind w:left="380" w:right="640" w:hanging="372"/>
        <w:spacing w:after="0" w:line="221"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3.2 to the Company’s Registration Statement on Form S-1/A (File No. 333-175745), filed with the Commission on February 13, 2012, and incorporated by reference herein.</w:t>
      </w:r>
    </w:p>
    <w:p>
      <w:pPr>
        <w:spacing w:after="0" w:line="1" w:lineRule="exact"/>
        <w:rPr>
          <w:rFonts w:ascii="Arial" w:cs="Arial" w:eastAsia="Arial" w:hAnsi="Arial"/>
          <w:sz w:val="24"/>
          <w:szCs w:val="24"/>
          <w:color w:val="auto"/>
          <w:vertAlign w:val="superscript"/>
        </w:rPr>
      </w:pPr>
    </w:p>
    <w:p>
      <w:pPr>
        <w:ind w:left="380" w:right="280" w:hanging="372"/>
        <w:spacing w:after="0" w:line="214"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May 21, 2015 and incorporated by reference herein.</w:t>
      </w:r>
    </w:p>
    <w:p>
      <w:pPr>
        <w:spacing w:after="0" w:line="1" w:lineRule="exact"/>
        <w:rPr>
          <w:rFonts w:ascii="Arial" w:cs="Arial" w:eastAsia="Arial" w:hAnsi="Arial"/>
          <w:sz w:val="24"/>
          <w:szCs w:val="24"/>
          <w:color w:val="auto"/>
          <w:vertAlign w:val="superscript"/>
        </w:rPr>
      </w:pPr>
    </w:p>
    <w:p>
      <w:pPr>
        <w:ind w:left="380" w:right="180" w:hanging="372"/>
        <w:spacing w:after="0" w:line="214"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November 8, 2016 and incorporated by reference herein.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Proto Labs, Inc.</w:t>
            </w:r>
          </w:p>
        </w:tc>
        <w:tc>
          <w:tcPr>
            <w:tcW w:w="112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5, 2020</w:t>
            </w:r>
          </w:p>
        </w:tc>
        <w:tc>
          <w:tcPr>
            <w:tcW w:w="22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Victoria M. Holt</w:t>
            </w:r>
          </w:p>
        </w:tc>
        <w:tc>
          <w:tcPr>
            <w:tcW w:w="112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Victoria M. Holt</w:t>
            </w:r>
          </w:p>
        </w:tc>
        <w:tc>
          <w:tcPr>
            <w:tcW w:w="112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1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5, 2020</w:t>
            </w:r>
          </w:p>
        </w:tc>
        <w:tc>
          <w:tcPr>
            <w:tcW w:w="22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Way</w:t>
            </w:r>
          </w:p>
        </w:tc>
        <w:tc>
          <w:tcPr>
            <w:tcW w:w="112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John A. Way</w:t>
            </w:r>
          </w:p>
        </w:tc>
        <w:tc>
          <w:tcPr>
            <w:tcW w:w="112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120" w:type="dxa"/>
            <w:vAlign w:val="bottom"/>
          </w:tcPr>
          <w:p>
            <w:pPr>
              <w:spacing w:after="0"/>
              <w:rPr>
                <w:sz w:val="20"/>
                <w:szCs w:val="20"/>
                <w:color w:val="auto"/>
              </w:rPr>
            </w:pPr>
          </w:p>
        </w:tc>
      </w:tr>
      <w:tr>
        <w:trPr>
          <w:trHeight w:val="418"/>
        </w:trPr>
        <w:tc>
          <w:tcPr>
            <w:tcW w:w="3440" w:type="dxa"/>
            <w:vAlign w:val="bottom"/>
          </w:tcPr>
          <w:p>
            <w:pPr>
              <w:spacing w:after="0"/>
              <w:rPr>
                <w:sz w:val="24"/>
                <w:szCs w:val="24"/>
                <w:color w:val="auto"/>
              </w:rPr>
            </w:pPr>
          </w:p>
        </w:tc>
        <w:tc>
          <w:tcPr>
            <w:tcW w:w="6680" w:type="dxa"/>
            <w:vAlign w:val="bottom"/>
            <w:gridSpan w:val="2"/>
          </w:tcPr>
          <w:p>
            <w:pPr>
              <w:jc w:val="right"/>
              <w:ind w:right="43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6680" w:type="dxa"/>
            <w:vAlign w:val="bottom"/>
            <w:gridSpan w:val="2"/>
          </w:tcPr>
          <w:p>
            <w:pPr>
              <w:jc w:val="right"/>
              <w:ind w:right="4310"/>
              <w:spacing w:after="0"/>
              <w:rPr>
                <w:sz w:val="20"/>
                <w:szCs w:val="20"/>
                <w:color w:val="auto"/>
              </w:rPr>
            </w:pPr>
            <w:r>
              <w:rPr>
                <w:rFonts w:ascii="Arial" w:cs="Arial" w:eastAsia="Arial" w:hAnsi="Arial"/>
                <w:sz w:val="18"/>
                <w:szCs w:val="18"/>
                <w:color w:val="auto"/>
              </w:rPr>
              <w:t>28</w:t>
            </w:r>
          </w:p>
        </w:tc>
        <w:tc>
          <w:tcPr>
            <w:tcW w:w="1120" w:type="dxa"/>
            <w:vAlign w:val="bottom"/>
          </w:tcPr>
          <w:p>
            <w:pPr>
              <w:spacing w:after="0"/>
              <w:rPr>
                <w:sz w:val="20"/>
                <w:szCs w:val="20"/>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01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Victoria M. Holt,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May 5, 2020</w:t>
            </w:r>
          </w:p>
        </w:tc>
        <w:tc>
          <w:tcPr>
            <w:tcW w:w="7580" w:type="dxa"/>
            <w:vAlign w:val="bottom"/>
            <w:gridSpan w:val="2"/>
          </w:tcPr>
          <w:p>
            <w:pPr>
              <w:ind w:left="2280"/>
              <w:spacing w:after="0"/>
              <w:rPr>
                <w:sz w:val="20"/>
                <w:szCs w:val="20"/>
                <w:color w:val="auto"/>
              </w:rPr>
            </w:pPr>
            <w:r>
              <w:rPr>
                <w:rFonts w:ascii="Arial" w:cs="Arial" w:eastAsia="Arial" w:hAnsi="Arial"/>
                <w:sz w:val="18"/>
                <w:szCs w:val="18"/>
                <w:color w:val="auto"/>
              </w:rPr>
              <w:t>By: /s/ Victoria M. Holt</w:t>
            </w: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Victoria M. Holt</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90"/>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Way,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May 5, 2020</w:t>
            </w:r>
          </w:p>
        </w:tc>
        <w:tc>
          <w:tcPr>
            <w:tcW w:w="7580" w:type="dxa"/>
            <w:vAlign w:val="bottom"/>
            <w:gridSpan w:val="2"/>
          </w:tcPr>
          <w:p>
            <w:pPr>
              <w:ind w:left="2280"/>
              <w:spacing w:after="0"/>
              <w:rPr>
                <w:sz w:val="20"/>
                <w:szCs w:val="20"/>
                <w:color w:val="auto"/>
              </w:rPr>
            </w:pPr>
            <w:r>
              <w:rPr>
                <w:rFonts w:ascii="Arial" w:cs="Arial" w:eastAsia="Arial" w:hAnsi="Arial"/>
                <w:sz w:val="18"/>
                <w:szCs w:val="18"/>
                <w:color w:val="auto"/>
              </w:rPr>
              <w:t>By: /s/ John A. Way</w:t>
            </w: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74"/>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Victoria M. Holt, certify, pursuant to 18 U.S.C. Section 1350, as adopted pursuant to Section 906 of the Sarbanes-Oxley Act of 2002, that the Quarterly Report of Proto Labs, Inc. on Form 10-Q for the fiscal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Victoria M. Holt</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Victoria M. Holt</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John A. Way, certify, pursuant to 18 U.S.C. Section 1350, as adopted pursuant to Section 906 of the Sarbanes-Oxley Act of 2002, that the Quarterly Report of Proto Labs, Inc. on Form 10-Q for the fiscal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John A. Way</w:t>
            </w:r>
          </w:p>
        </w:tc>
      </w:tr>
      <w:tr>
        <w:trPr>
          <w:trHeight w:val="195"/>
        </w:trPr>
        <w:tc>
          <w:tcPr>
            <w:tcW w:w="6920" w:type="dxa"/>
            <w:vAlign w:val="bottom"/>
          </w:tcPr>
          <w:p>
            <w:pPr>
              <w:ind w:left="644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A. Way</w:t>
            </w:r>
          </w:p>
        </w:tc>
      </w:t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574"/>
        </w:trPr>
        <w:tc>
          <w:tcPr>
            <w:tcW w:w="6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decimal"/>
      <w:start w:val="104"/>
    </w:lvl>
  </w:abstractNum>
  <w:abstractNum w:abstractNumId="5">
    <w:nsid w:val="41B71EFB"/>
    <w:multiLevelType w:val="hybridMultilevel"/>
    <w:lvl w:ilvl="0">
      <w:lvlJc w:val="left"/>
      <w:lvlText w:val="(%1)"/>
      <w:numFmt w:val="decimal"/>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0" Type="http://schemas.openxmlformats.org/officeDocument/2006/relationships/hyperlink" Target="http://www.sec.gov/Archives/edgar/data/1443669/000119312512054357/d199869dex32.htm" TargetMode="External"/><Relationship Id="rId91" Type="http://schemas.openxmlformats.org/officeDocument/2006/relationships/hyperlink" Target="http://www.sec.gov/Archives/edgar/data/1443669/000143774915010824/ex3-1.htm" TargetMode="External"/><Relationship Id="rId92" Type="http://schemas.openxmlformats.org/officeDocument/2006/relationships/hyperlink" Target="http://www.sec.gov/Archives/edgar/data/1443669/000143774916041414/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2020-05-05T15:26:58Z</dcterms:created>
  <dcterms:modified xsi:type="dcterms:W3CDTF">2020-05-05T15:26:58Z</dcterms:modified>
</cp:coreProperties>
</file>