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 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June 30, 2026</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7"/>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For the transition period from ___________ to ___________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001-35435</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Proto Labs,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Minnesota</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41-1939628</w:t>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5540 Pioneer Creek Drive</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Maple Plain, Minnesota</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55359</w:t>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(763) 479-3680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83" w:type="dxa"/>
        <w:jc w:val="left"/>
        <w:tblInd w:w="0" w:type="dxa"/>
        <w:tblLayout w:type="fixed"/>
        <w:tblCellMar>
          <w:top w:w="28" w:type="dxa"/>
          <w:left w:w="28" w:type="dxa"/>
          <w:bottom w:w="28" w:type="dxa"/>
          <w:right w:w="28" w:type="dxa"/>
        </w:tblCellMar>
      </w:tblPr>
      <w:tblGrid>
        <w:gridCol w:w="1325"/>
        <w:gridCol w:w="1160"/>
        <w:gridCol w:w="1174"/>
        <w:gridCol w:w="539"/>
        <w:gridCol w:w="539"/>
        <w:gridCol w:w="541"/>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PRLB</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rFonts w:ascii="Times New Roman;serif" w:hAnsi="Times New Roman;serif"/>
          <w:b w:val="false"/>
          <w:color w:val="000000"/>
          <w:sz w:val="20"/>
        </w:rPr>
        <w:t>No</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rFonts w:ascii="Times New Roman;serif" w:hAnsi="Times New Roman;serif"/>
          <w:b w:val="false"/>
          <w:color w:val="000000"/>
          <w:sz w:val="20"/>
        </w:rPr>
        <w:t>No</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Indicate by check mark whether the registrant is a shell company (as defined in Rule 12b-2 of the Exchange Act). </w:t>
      </w:r>
      <w:r>
        <w:rPr>
          <w:rFonts w:ascii="Wingdings;sans-serif" w:hAnsi="Wingdings;sans-serif"/>
          <w:b w:val="false"/>
          <w:color w:val="000000"/>
          <w:sz w:val="20"/>
        </w:rPr>
        <w:t>o</w:t>
      </w:r>
      <w:r>
        <w:rPr>
          <w:rFonts w:ascii="Times New Roman;serif" w:hAnsi="Times New Roman;serif"/>
          <w:b w:val="false"/>
          <w:color w:val="000000"/>
          <w:sz w:val="20"/>
        </w:rPr>
        <w:t xml:space="preserve">Yes </w:t>
      </w:r>
      <w:r>
        <w:rPr>
          <w:color w:val="000000"/>
        </w:rPr>
        <w:t>☑</w:t>
      </w:r>
      <w:r>
        <w:rPr>
          <w:rFonts w:ascii="Times New Roman;serif" w:hAnsi="Times New Roman;serif"/>
          <w:b w:val="false"/>
          <w:color w:val="000000"/>
          <w:sz w:val="20"/>
        </w:rPr>
        <w:t>No</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 23,921,897 shares of Common Stock, par value $0.001 per share, were outstanding at July 28,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Proto Labs,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070"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2442"/>
        <w:gridCol w:w="2442"/>
        <w:gridCol w:w="2450"/>
        <w:gridCol w:w="109"/>
        <w:gridCol w:w="109"/>
        <w:gridCol w:w="109"/>
        <w:gridCol w:w="167"/>
        <w:gridCol w:w="167"/>
        <w:gridCol w:w="23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Page</w:t>
            </w:r>
          </w:p>
        </w:tc>
      </w:tr>
      <w:tr>
        <w:trPr/>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15"/>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0">
              <w:r>
                <w:rPr>
                  <w:rStyle w:val="InternetLink"/>
                  <w:rFonts w:ascii="Times New Roman;serif" w:hAnsi="Times New Roman;serif"/>
                  <w:b w:val="false"/>
                  <w:color w:val="0000EE"/>
                  <w:sz w:val="20"/>
                  <w:u w:val="single"/>
                </w:rPr>
                <w:t>PART I</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3">
              <w:r>
                <w:rPr>
                  <w:rStyle w:val="InternetLink"/>
                  <w:rFonts w:ascii="Times New Roman;serif" w:hAnsi="Times New Roman;serif"/>
                  <w:b w:val="false"/>
                  <w:strike w:val="false"/>
                  <w:dstrike w:val="false"/>
                  <w:color w:val="000000"/>
                  <w:sz w:val="20"/>
                  <w:u w:val="none"/>
                  <w:effect w:val="non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636338bef214b3d85ac83ac12c0d2df_13">
              <w:r>
                <w:rPr>
                  <w:rStyle w:val="InternetLink"/>
                  <w:rFonts w:ascii="Times New Roman;serif" w:hAnsi="Times New Roman;serif"/>
                  <w:b w:val="false"/>
                  <w:color w:val="0000EE"/>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3">
              <w:r>
                <w:rPr>
                  <w:rStyle w:val="InternetLink"/>
                  <w:rFonts w:ascii="Times New Roman;serif" w:hAnsi="Times New Roman;serif"/>
                  <w:b w:val="false"/>
                  <w:color w:val="0000EE"/>
                  <w:sz w:val="20"/>
                  <w:u w:val="single"/>
                </w:rPr>
                <w:t>2</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70">
              <w:r>
                <w:rPr>
                  <w:rStyle w:val="InternetLink"/>
                  <w:rFonts w:ascii="Times New Roman;serif" w:hAnsi="Times New Roman;serif"/>
                  <w:b w:val="false"/>
                  <w:strike w:val="false"/>
                  <w:dstrike w:val="false"/>
                  <w:color w:val="000000"/>
                  <w:sz w:val="20"/>
                  <w:u w:val="none"/>
                  <w:effect w:val="non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36338bef214b3d85ac83ac12c0d2df_70">
              <w:r>
                <w:rPr>
                  <w:rStyle w:val="InternetLink"/>
                  <w:rFonts w:ascii="Times New Roman;serif" w:hAnsi="Times New Roman;serif"/>
                  <w:b w:val="false"/>
                  <w:color w:val="0000EE"/>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70">
              <w:r>
                <w:rPr>
                  <w:rStyle w:val="InternetLink"/>
                  <w:rFonts w:ascii="Times New Roman;serif" w:hAnsi="Times New Roman;serif"/>
                  <w:b w:val="false"/>
                  <w:color w:val="0000EE"/>
                  <w:sz w:val="20"/>
                  <w:u w:val="single"/>
                </w:rPr>
                <w:t>17</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91">
              <w:r>
                <w:rPr>
                  <w:rStyle w:val="InternetLink"/>
                  <w:rFonts w:ascii="Times New Roman;serif" w:hAnsi="Times New Roman;serif"/>
                  <w:b w:val="false"/>
                  <w:strike w:val="false"/>
                  <w:dstrike w:val="false"/>
                  <w:color w:val="000000"/>
                  <w:sz w:val="20"/>
                  <w:u w:val="none"/>
                  <w:effect w:val="non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636338bef214b3d85ac83ac12c0d2df_91">
              <w:r>
                <w:rPr>
                  <w:rStyle w:val="InternetLink"/>
                  <w:rFonts w:ascii="Times New Roman;serif" w:hAnsi="Times New Roman;serif"/>
                  <w:b w:val="false"/>
                  <w:color w:val="0000EE"/>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91">
              <w:r>
                <w:rPr>
                  <w:rStyle w:val="InternetLink"/>
                  <w:rFonts w:ascii="Times New Roman;serif" w:hAnsi="Times New Roman;serif"/>
                  <w:b w:val="false"/>
                  <w:color w:val="0000EE"/>
                  <w:sz w:val="20"/>
                  <w:u w:val="single"/>
                </w:rPr>
                <w:t>26</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94">
              <w:r>
                <w:rPr>
                  <w:rStyle w:val="InternetLink"/>
                  <w:rFonts w:ascii="Times New Roman;serif" w:hAnsi="Times New Roman;serif"/>
                  <w:b w:val="false"/>
                  <w:strike w:val="false"/>
                  <w:dstrike w:val="false"/>
                  <w:color w:val="000000"/>
                  <w:sz w:val="20"/>
                  <w:u w:val="none"/>
                  <w:effect w:val="non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636338bef214b3d85ac83ac12c0d2df_94">
              <w:r>
                <w:rPr>
                  <w:rStyle w:val="InternetLink"/>
                  <w:rFonts w:ascii="Times New Roman;serif" w:hAnsi="Times New Roman;serif"/>
                  <w:b w:val="false"/>
                  <w:color w:val="0000EE"/>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94">
              <w:r>
                <w:rPr>
                  <w:rStyle w:val="InternetLink"/>
                  <w:rFonts w:ascii="Times New Roman;serif" w:hAnsi="Times New Roman;serif"/>
                  <w:b w:val="false"/>
                  <w:color w:val="0000EE"/>
                  <w:sz w:val="20"/>
                  <w:u w:val="single"/>
                </w:rPr>
                <w:t>26</w:t>
              </w:r>
            </w:hyperlink>
          </w:p>
        </w:tc>
      </w:tr>
      <w:tr>
        <w:trPr/>
        <w:tc>
          <w:tcPr>
            <w:tcW w:w="9070" w:type="dxa"/>
            <w:gridSpan w:val="15"/>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97">
              <w:r>
                <w:rPr>
                  <w:rStyle w:val="InternetLink"/>
                  <w:rFonts w:ascii="Times New Roman;serif" w:hAnsi="Times New Roman;serif"/>
                  <w:b w:val="false"/>
                  <w:color w:val="0000EE"/>
                  <w:sz w:val="20"/>
                  <w:u w:val="single"/>
                </w:rPr>
                <w:t>PART II</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00">
              <w:r>
                <w:rPr>
                  <w:rStyle w:val="InternetLink"/>
                  <w:rFonts w:ascii="Times New Roman;serif" w:hAnsi="Times New Roman;serif"/>
                  <w:b w:val="false"/>
                  <w:strike w:val="false"/>
                  <w:dstrike w:val="false"/>
                  <w:color w:val="000000"/>
                  <w:sz w:val="20"/>
                  <w:u w:val="none"/>
                  <w:effect w:val="non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636338bef214b3d85ac83ac12c0d2df_100">
              <w:r>
                <w:rPr>
                  <w:rStyle w:val="InternetLink"/>
                  <w:rFonts w:ascii="Times New Roman;serif" w:hAnsi="Times New Roman;serif"/>
                  <w:b w:val="false"/>
                  <w:color w:val="0000EE"/>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00">
              <w:r>
                <w:rPr>
                  <w:rStyle w:val="InternetLink"/>
                  <w:rFonts w:ascii="Times New Roman;serif" w:hAnsi="Times New Roman;serif"/>
                  <w:b w:val="false"/>
                  <w:color w:val="0000EE"/>
                  <w:sz w:val="20"/>
                  <w:u w:val="single"/>
                </w:rPr>
                <w:t>27</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03">
              <w:r>
                <w:rPr>
                  <w:rStyle w:val="InternetLink"/>
                  <w:rFonts w:ascii="Times New Roman;serif" w:hAnsi="Times New Roman;serif"/>
                  <w:b w:val="false"/>
                  <w:strike w:val="false"/>
                  <w:dstrike w:val="false"/>
                  <w:color w:val="000000"/>
                  <w:sz w:val="20"/>
                  <w:u w:val="none"/>
                  <w:effect w:val="none"/>
                </w:rPr>
                <w:t>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636338bef214b3d85ac83ac12c0d2df_103">
              <w:r>
                <w:rPr>
                  <w:rStyle w:val="InternetLink"/>
                  <w:rFonts w:ascii="Times New Roman;serif" w:hAnsi="Times New Roman;serif"/>
                  <w:b w:val="false"/>
                  <w:color w:val="0000EE"/>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03">
              <w:r>
                <w:rPr>
                  <w:rStyle w:val="InternetLink"/>
                  <w:rFonts w:ascii="Times New Roman;serif" w:hAnsi="Times New Roman;serif"/>
                  <w:b w:val="false"/>
                  <w:color w:val="0000EE"/>
                  <w:sz w:val="20"/>
                  <w:u w:val="single"/>
                </w:rPr>
                <w:t>27</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06">
              <w:r>
                <w:rPr>
                  <w:rStyle w:val="InternetLink"/>
                  <w:rFonts w:ascii="Times New Roman;serif" w:hAnsi="Times New Roman;serif"/>
                  <w:b w:val="false"/>
                  <w:strike w:val="false"/>
                  <w:dstrike w:val="false"/>
                  <w:color w:val="000000"/>
                  <w:sz w:val="20"/>
                  <w:u w:val="none"/>
                  <w:effect w:val="non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636338bef214b3d85ac83ac12c0d2df_106">
              <w:r>
                <w:rPr>
                  <w:rStyle w:val="InternetLink"/>
                  <w:rFonts w:ascii="Times New Roman;serif" w:hAnsi="Times New Roman;serif"/>
                  <w:b w:val="false"/>
                  <w:color w:val="0000EE"/>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06">
              <w:r>
                <w:rPr>
                  <w:rStyle w:val="InternetLink"/>
                  <w:rFonts w:ascii="Times New Roman;serif" w:hAnsi="Times New Roman;serif"/>
                  <w:b w:val="false"/>
                  <w:color w:val="0000EE"/>
                  <w:sz w:val="20"/>
                  <w:u w:val="single"/>
                </w:rPr>
                <w:t>27</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09">
              <w:r>
                <w:rPr>
                  <w:rStyle w:val="InternetLink"/>
                  <w:rFonts w:ascii="Times New Roman;serif" w:hAnsi="Times New Roman;serif"/>
                  <w:b w:val="false"/>
                  <w:strike w:val="false"/>
                  <w:dstrike w:val="false"/>
                  <w:color w:val="000000"/>
                  <w:sz w:val="20"/>
                  <w:u w:val="none"/>
                  <w:effect w:val="non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36338bef214b3d85ac83ac12c0d2df_109">
              <w:r>
                <w:rPr>
                  <w:rStyle w:val="InternetLink"/>
                  <w:rFonts w:ascii="Times New Roman;serif" w:hAnsi="Times New Roman;serif"/>
                  <w:b w:val="false"/>
                  <w:color w:val="0000EE"/>
                  <w:sz w:val="20"/>
                  <w:u w:val="single"/>
                </w:rPr>
                <w:t>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09">
              <w:r>
                <w:rPr>
                  <w:rStyle w:val="InternetLink"/>
                  <w:rFonts w:ascii="Times New Roman;serif" w:hAnsi="Times New Roman;serif"/>
                  <w:b w:val="false"/>
                  <w:color w:val="0000EE"/>
                  <w:sz w:val="20"/>
                  <w:u w:val="single"/>
                </w:rPr>
                <w:t>27</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12">
              <w:r>
                <w:rPr>
                  <w:rStyle w:val="InternetLink"/>
                  <w:rFonts w:ascii="Times New Roman;serif" w:hAnsi="Times New Roman;serif"/>
                  <w:b w:val="false"/>
                  <w:strike w:val="false"/>
                  <w:dstrike w:val="false"/>
                  <w:color w:val="000000"/>
                  <w:sz w:val="20"/>
                  <w:u w:val="none"/>
                  <w:effect w:val="non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636338bef214b3d85ac83ac12c0d2df_112">
              <w:r>
                <w:rPr>
                  <w:rStyle w:val="InternetLink"/>
                  <w:rFonts w:ascii="Times New Roman;serif" w:hAnsi="Times New Roman;serif"/>
                  <w:b w:val="false"/>
                  <w:color w:val="0000EE"/>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12">
              <w:r>
                <w:rPr>
                  <w:rStyle w:val="InternetLink"/>
                  <w:rFonts w:ascii="Times New Roman;serif" w:hAnsi="Times New Roman;serif"/>
                  <w:b w:val="false"/>
                  <w:color w:val="0000EE"/>
                  <w:sz w:val="20"/>
                  <w:u w:val="single"/>
                </w:rPr>
                <w:t>28</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15">
              <w:r>
                <w:rPr>
                  <w:rStyle w:val="InternetLink"/>
                  <w:rFonts w:ascii="Times New Roman;serif" w:hAnsi="Times New Roman;serif"/>
                  <w:b w:val="false"/>
                  <w:strike w:val="false"/>
                  <w:dstrike w:val="false"/>
                  <w:color w:val="000000"/>
                  <w:sz w:val="20"/>
                  <w:u w:val="none"/>
                  <w:effect w:val="non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636338bef214b3d85ac83ac12c0d2df_115">
              <w:r>
                <w:rPr>
                  <w:rStyle w:val="InternetLink"/>
                  <w:rFonts w:ascii="Times New Roman;serif" w:hAnsi="Times New Roman;serif"/>
                  <w:b w:val="false"/>
                  <w:color w:val="0000EE"/>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15">
              <w:r>
                <w:rPr>
                  <w:rStyle w:val="InternetLink"/>
                  <w:rFonts w:ascii="Times New Roman;serif" w:hAnsi="Times New Roman;serif"/>
                  <w:b w:val="false"/>
                  <w:color w:val="0000EE"/>
                  <w:sz w:val="20"/>
                  <w:u w:val="single"/>
                </w:rPr>
                <w:t>28</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21">
              <w:r>
                <w:rPr>
                  <w:rStyle w:val="InternetLink"/>
                  <w:rFonts w:ascii="Times New Roman;serif" w:hAnsi="Times New Roman;serif"/>
                  <w:b w:val="false"/>
                  <w:strike w:val="false"/>
                  <w:dstrike w:val="false"/>
                  <w:color w:val="000000"/>
                  <w:sz w:val="20"/>
                  <w:u w:val="none"/>
                  <w:effect w:val="non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636338bef214b3d85ac83ac12c0d2df_121">
              <w:r>
                <w:rPr>
                  <w:rStyle w:val="InternetLink"/>
                  <w:rFonts w:ascii="Times New Roman;serif" w:hAnsi="Times New Roman;serif"/>
                  <w:b w:val="false"/>
                  <w:color w:val="0000EE"/>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8636338bef214b3d85ac83ac12c0d2df_121">
              <w:r>
                <w:rPr>
                  <w:rStyle w:val="InternetLink"/>
                  <w:rFonts w:ascii="Times New Roman;serif" w:hAnsi="Times New Roman;serif"/>
                  <w:b w:val="false"/>
                  <w:color w:val="0000EE"/>
                  <w:sz w:val="20"/>
                  <w:u w:val="singl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Proto Labs,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887"/>
        <w:gridCol w:w="2422"/>
        <w:gridCol w:w="2411"/>
        <w:gridCol w:w="196"/>
        <w:gridCol w:w="736"/>
        <w:gridCol w:w="109"/>
        <w:gridCol w:w="109"/>
        <w:gridCol w:w="109"/>
        <w:gridCol w:w="109"/>
        <w:gridCol w:w="201"/>
        <w:gridCol w:w="756"/>
        <w:gridCol w:w="160"/>
      </w:tblGrid>
      <w:tr>
        <w:trPr/>
        <w:tc>
          <w:tcPr>
            <w:tcW w:w="2887"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110,826 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$3,022 and $2,668 as of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233,541 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215,261 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273,991 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791,298 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763,415 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finance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67,002 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deferred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99,565 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89,483 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$0.001 par value, authorized 10,000,000 shares; issued and outstanding 0 shares as of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$0.001 par value, authorized 150,000,000 shares; issued and outstanding 23,921,897 and 23,627,422 shares as of June 30, 2026, and December 31, 2025,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454,120 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240,764 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(20,976)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691,733 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673,932 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791,298 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763,415 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Proto Labs,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404" w:type="dxa"/>
        <w:jc w:val="left"/>
        <w:tblInd w:w="0" w:type="dxa"/>
        <w:tblLayout w:type="fixed"/>
        <w:tblCellMar>
          <w:top w:w="28" w:type="dxa"/>
          <w:left w:w="28" w:type="dxa"/>
          <w:bottom w:w="28" w:type="dxa"/>
          <w:right w:w="28" w:type="dxa"/>
        </w:tblCellMar>
      </w:tblPr>
      <w:tblGrid>
        <w:gridCol w:w="1373"/>
        <w:gridCol w:w="1208"/>
        <w:gridCol w:w="121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Statements of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transformation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exit and disposal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23,969,254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23,900,390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23,902,802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24,018,119</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24,415,788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24,101,592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24,358,568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24,291,246</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(net of tax)</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Proto Labs,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1077"/>
        <w:gridCol w:w="654"/>
        <w:gridCol w:w="656"/>
        <w:gridCol w:w="368"/>
        <w:gridCol w:w="368"/>
        <w:gridCol w:w="308"/>
        <w:gridCol w:w="109"/>
        <w:gridCol w:w="109"/>
        <w:gridCol w:w="109"/>
        <w:gridCol w:w="212"/>
        <w:gridCol w:w="359"/>
        <w:gridCol w:w="120"/>
        <w:gridCol w:w="109"/>
        <w:gridCol w:w="109"/>
        <w:gridCol w:w="109"/>
        <w:gridCol w:w="196"/>
        <w:gridCol w:w="736"/>
        <w:gridCol w:w="109"/>
        <w:gridCol w:w="109"/>
        <w:gridCol w:w="109"/>
        <w:gridCol w:w="109"/>
        <w:gridCol w:w="196"/>
        <w:gridCol w:w="736"/>
        <w:gridCol w:w="109"/>
        <w:gridCol w:w="109"/>
        <w:gridCol w:w="109"/>
        <w:gridCol w:w="109"/>
        <w:gridCol w:w="258"/>
        <w:gridCol w:w="874"/>
        <w:gridCol w:w="144"/>
        <w:gridCol w:w="109"/>
        <w:gridCol w:w="109"/>
        <w:gridCol w:w="109"/>
        <w:gridCol w:w="196"/>
        <w:gridCol w:w="736"/>
        <w:gridCol w:w="158"/>
      </w:tblGrid>
      <w:tr>
        <w:trPr/>
        <w:tc>
          <w:tcPr>
            <w:tcW w:w="107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23,627,422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(20,976)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673,932 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on exercise of options and other, net of shares withheld for tax obligations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165,066 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Other comprehensive income</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loss on investments in securities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Comprehensive income</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5,600 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23,792,488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(23,487)</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683,126 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on exercise of options and other, net of shares withheld for tax obligations</w:t>
            </w:r>
          </w:p>
        </w:tc>
        <w:tc>
          <w:tcPr>
            <w:tcW w:w="104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and other</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(5,036)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Net income</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Other comprehensive income</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loss on investments in securities</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Comprehensive income</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9,351 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104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23,921,897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460,671 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254,326 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(23,288)</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691,733 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8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8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8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8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8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8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8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8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15"/>
        <w:gridCol w:w="695"/>
        <w:gridCol w:w="697"/>
        <w:gridCol w:w="304"/>
        <w:gridCol w:w="304"/>
        <w:gridCol w:w="308"/>
        <w:gridCol w:w="109"/>
        <w:gridCol w:w="109"/>
        <w:gridCol w:w="109"/>
        <w:gridCol w:w="212"/>
        <w:gridCol w:w="359"/>
        <w:gridCol w:w="120"/>
        <w:gridCol w:w="109"/>
        <w:gridCol w:w="109"/>
        <w:gridCol w:w="109"/>
        <w:gridCol w:w="196"/>
        <w:gridCol w:w="736"/>
        <w:gridCol w:w="109"/>
        <w:gridCol w:w="109"/>
        <w:gridCol w:w="109"/>
        <w:gridCol w:w="109"/>
        <w:gridCol w:w="196"/>
        <w:gridCol w:w="736"/>
        <w:gridCol w:w="109"/>
        <w:gridCol w:w="109"/>
        <w:gridCol w:w="109"/>
        <w:gridCol w:w="109"/>
        <w:gridCol w:w="259"/>
        <w:gridCol w:w="879"/>
        <w:gridCol w:w="145"/>
        <w:gridCol w:w="109"/>
        <w:gridCol w:w="109"/>
        <w:gridCol w:w="109"/>
        <w:gridCol w:w="196"/>
        <w:gridCol w:w="736"/>
        <w:gridCol w:w="159"/>
      </w:tblGrid>
      <w:tr>
        <w:trPr/>
        <w:tc>
          <w:tcPr>
            <w:tcW w:w="111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24,226,088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(27,984)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670,151 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on exercise of options and other, net of shares withheld for tax obligations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(21,073)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Net income</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Other comprehensive income</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gains on investments in securities</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Comprehensive income</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23,770,640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236,554 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(26,891)</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656,801 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on exercise of options and other, net of shares withheld for tax obligations</w:t>
            </w:r>
          </w:p>
        </w:tc>
        <w:tc>
          <w:tcPr>
            <w:tcW w:w="91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Net income</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Other comprehensive income</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gains on investments in securities</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Comprehensive income</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6,755 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91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23,874,601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449,903 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239,344 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(24,563)</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664,707 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50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Proto Labs,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278" w:type="dxa"/>
        <w:jc w:val="left"/>
        <w:tblInd w:w="0" w:type="dxa"/>
        <w:tblLayout w:type="fixed"/>
        <w:tblCellMar>
          <w:top w:w="28" w:type="dxa"/>
          <w:left w:w="28" w:type="dxa"/>
          <w:bottom w:w="28" w:type="dxa"/>
          <w:right w:w="28" w:type="dxa"/>
        </w:tblCellMar>
      </w:tblPr>
      <w:tblGrid>
        <w:gridCol w:w="2434"/>
        <w:gridCol w:w="2135"/>
        <w:gridCol w:w="2150"/>
        <w:gridCol w:w="211"/>
        <w:gridCol w:w="826"/>
        <w:gridCol w:w="109"/>
        <w:gridCol w:w="109"/>
        <w:gridCol w:w="109"/>
        <w:gridCol w:w="109"/>
        <w:gridCol w:w="211"/>
        <w:gridCol w:w="721"/>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finance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 of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related to exit and closure of facilities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equipment and other capital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equipment and other capital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from equity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shares withheld for tax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repayments of 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(25,169)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beginning of period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83"/>
        <w:jc w:val="left"/>
        <w:rPr>
          <w:rFonts w:ascii="Times New Roman;serif" w:hAnsi="Times New Roman;serif"/>
          <w:b/>
          <w:color w:val="000000"/>
          <w:sz w:val="20"/>
        </w:rPr>
      </w:pPr>
      <w:r>
        <w:rPr>
          <w:rFonts w:ascii="Times New Roman;serif" w:hAnsi="Times New Roman;serif"/>
          <w:b/>
          <w:color w:val="000000"/>
          <w:sz w:val="20"/>
        </w:rPr>
        <w:t>Note 1 – Basis of Presentation</w:t>
      </w:r>
    </w:p>
    <w:p>
      <w:pPr>
        <w:pStyle w:val="TextBody"/>
        <w:bidi w:val="0"/>
        <w:spacing w:lineRule="auto" w:line="288" w:before="200" w:after="283"/>
        <w:jc w:val="left"/>
        <w:rPr/>
      </w:pPr>
      <w:r>
        <w:rPr>
          <w:rFonts w:ascii="Times New Roman;serif" w:hAnsi="Times New Roman;serif"/>
          <w:b w:val="false"/>
          <w:color w:val="000000"/>
          <w:sz w:val="20"/>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w:t>
      </w:r>
      <w:r>
        <w:rPr>
          <w:color w:val="000000"/>
        </w:rPr>
        <w:t xml:space="preserve"> </w:t>
      </w:r>
      <w:r>
        <w:rPr>
          <w:rFonts w:ascii="Times New Roman;serif" w:hAnsi="Times New Roman;serif"/>
          <w:b w:val="false"/>
          <w:color w:val="000000"/>
          <w:sz w:val="20"/>
        </w:rPr>
        <w:t>be expected for the fiscal year as a whole.</w:t>
      </w:r>
    </w:p>
    <w:p>
      <w:pPr>
        <w:pStyle w:val="TextBody"/>
        <w:bidi w:val="0"/>
        <w:spacing w:lineRule="auto" w:line="288" w:before="200" w:after="283"/>
        <w:jc w:val="left"/>
        <w:rPr/>
      </w:pPr>
      <w:r>
        <w:rPr>
          <w:rFonts w:ascii="Times New Roman;serif" w:hAnsi="Times New Roman;serif"/>
          <w:b w:val="false"/>
          <w:color w:val="000000"/>
          <w:sz w:val="20"/>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2025, as filed with the Securities and Exchange Commission (SEC) on February 20, 2026</w:t>
      </w:r>
      <w:r>
        <w:rPr>
          <w:rFonts w:ascii="Times New Roman;serif" w:hAnsi="Times New Roman;serif"/>
          <w:b w:val="false"/>
          <w:i/>
          <w:color w:val="000000"/>
          <w:sz w:val="20"/>
        </w:rPr>
        <w:t>.</w:t>
      </w:r>
    </w:p>
    <w:p>
      <w:pPr>
        <w:pStyle w:val="TextBody"/>
        <w:bidi w:val="0"/>
        <w:spacing w:lineRule="auto" w:line="288" w:before="200" w:after="283"/>
        <w:jc w:val="left"/>
        <w:rPr/>
      </w:pPr>
      <w:r>
        <w:rPr>
          <w:rFonts w:ascii="Times New Roman;serif" w:hAnsi="Times New Roman;serif"/>
          <w:b w:val="false"/>
          <w:color w:val="000000"/>
          <w:sz w:val="20"/>
        </w:rPr>
        <w:t>The accompanying Consolidated Balance Sheet as of December 31, 2025 was derived from the audited Consolidated Financial Statements but does not include all disclosures required by U.S. GAAP for a full set of financial statements. This Quarterly Report on Form 10-Q should be read in conjunction with the Company’s Consolidated Financial Statements and Notes included in the Company's Annual Report on Form 10-K filed on February 20, 2026</w:t>
      </w:r>
      <w:r>
        <w:rPr>
          <w:color w:val="000000"/>
        </w:rPr>
        <w:t xml:space="preserve"> </w:t>
      </w:r>
      <w:r>
        <w:rPr>
          <w:rFonts w:ascii="Times New Roman;serif" w:hAnsi="Times New Roman;serif"/>
          <w:b w:val="false"/>
          <w:color w:val="000000"/>
          <w:sz w:val="20"/>
        </w:rPr>
        <w:t>as referenced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83"/>
        <w:jc w:val="left"/>
        <w:rPr>
          <w:rFonts w:ascii="Times New Roman;serif" w:hAnsi="Times New Roman;serif"/>
          <w:b/>
          <w:color w:val="000000"/>
          <w:sz w:val="20"/>
        </w:rPr>
      </w:pPr>
      <w:r>
        <w:rPr>
          <w:rFonts w:ascii="Times New Roman;serif" w:hAnsi="Times New Roman;serif"/>
          <w:b/>
          <w:color w:val="000000"/>
          <w:sz w:val="20"/>
        </w:rPr>
        <w:t>Note 2 – Recent Accounting Pronouncements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recently adopt any accounting pronouncements that had a material impact on the Company's Consolidated Financial Statements.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Apart from the items discussed in our Annual Report on Form 10-K for the year ended December 31, 2025, there are no other new accounting pronouncements that are expected to have a significant impact on the Company’s consolidated financial statements or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83"/>
        <w:jc w:val="left"/>
        <w:rPr>
          <w:rFonts w:ascii="Times New Roman;serif" w:hAnsi="Times New Roman;serif"/>
          <w:b/>
          <w:color w:val="000000"/>
          <w:sz w:val="20"/>
        </w:rPr>
      </w:pPr>
      <w:r>
        <w:rPr>
          <w:rFonts w:ascii="Times New Roman;serif" w:hAnsi="Times New Roman;serif"/>
          <w:b/>
          <w:color w:val="000000"/>
          <w:sz w:val="20"/>
        </w:rPr>
        <w:t>Note 3 – Net Income per Common Share</w:t>
      </w:r>
    </w:p>
    <w:p>
      <w:pPr>
        <w:pStyle w:val="TextBody"/>
        <w:bidi w:val="0"/>
        <w:spacing w:lineRule="auto" w:line="288" w:before="200" w:after="283"/>
        <w:jc w:val="left"/>
        <w:rPr/>
      </w:pPr>
      <w:r>
        <w:rPr>
          <w:rFonts w:ascii="Times New Roman;serif" w:hAnsi="Times New Roman;serif"/>
          <w:b w:val="false"/>
          <w:color w:val="000000"/>
          <w:sz w:val="20"/>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Performance stock units are excluded from the calculation of dilutive potential common shares until the performance conditions have been satisfied. Anti-dilutive options were excluded from the calculation of diluted weighted average shares outstanding and were 99,200 and 459,386 for the three months ended June 30, 2026</w:t>
      </w:r>
      <w:r>
        <w:rPr>
          <w:color w:val="000000"/>
        </w:rPr>
        <w:t xml:space="preserve"> </w:t>
      </w:r>
      <w:r>
        <w:rPr>
          <w:rFonts w:ascii="Times New Roman;serif" w:hAnsi="Times New Roman;serif"/>
          <w:b w:val="false"/>
          <w:color w:val="000000"/>
          <w:sz w:val="20"/>
        </w:rPr>
        <w:t>and 2025</w:t>
      </w:r>
      <w:r>
        <w:rPr>
          <w:rFonts w:ascii="Times New Roman;serif" w:hAnsi="Times New Roman;serif"/>
          <w:b w:val="false"/>
          <w:i/>
          <w:color w:val="000000"/>
          <w:sz w:val="20"/>
        </w:rPr>
        <w:t xml:space="preserve">, </w:t>
      </w:r>
      <w:r>
        <w:rPr>
          <w:rFonts w:ascii="Times New Roman;serif" w:hAnsi="Times New Roman;serif"/>
          <w:b w:val="false"/>
          <w:color w:val="000000"/>
          <w:sz w:val="20"/>
        </w:rPr>
        <w:t>respectively, and 93,525 and 446,174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below sets forth the computation of basic and diluted net income per share:</w:t>
      </w:r>
    </w:p>
    <w:tbl>
      <w:tblPr>
        <w:tblW w:w="9390" w:type="dxa"/>
        <w:jc w:val="left"/>
        <w:tblInd w:w="0" w:type="dxa"/>
        <w:tblLayout w:type="fixed"/>
        <w:tblCellMar>
          <w:top w:w="28" w:type="dxa"/>
          <w:left w:w="28" w:type="dxa"/>
          <w:bottom w:w="28" w:type="dxa"/>
          <w:right w:w="28" w:type="dxa"/>
        </w:tblCellMar>
      </w:tblPr>
      <w:tblGrid>
        <w:gridCol w:w="1527"/>
        <w:gridCol w:w="1340"/>
        <w:gridCol w:w="1348"/>
        <w:gridCol w:w="233"/>
        <w:gridCol w:w="681"/>
        <w:gridCol w:w="122"/>
        <w:gridCol w:w="109"/>
        <w:gridCol w:w="109"/>
        <w:gridCol w:w="109"/>
        <w:gridCol w:w="233"/>
        <w:gridCol w:w="681"/>
        <w:gridCol w:w="122"/>
        <w:gridCol w:w="109"/>
        <w:gridCol w:w="109"/>
        <w:gridCol w:w="109"/>
        <w:gridCol w:w="211"/>
        <w:gridCol w:w="721"/>
        <w:gridCol w:w="109"/>
        <w:gridCol w:w="109"/>
        <w:gridCol w:w="109"/>
        <w:gridCol w:w="109"/>
        <w:gridCol w:w="232"/>
        <w:gridCol w:w="678"/>
        <w:gridCol w:w="171"/>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9,152 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 weighted-average shares outstanding:</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23,969,254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23,900,390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23,902,802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24,018,119</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options and other</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273,127</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 weighted-average shares outstanding:</w:t>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24,415,788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24,101,592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24,358,568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24,291,246</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2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2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5175" w:type="dxa"/>
            <w:gridSpan w:val="21"/>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83"/>
        <w:jc w:val="left"/>
        <w:rPr>
          <w:rFonts w:ascii="Times New Roman;serif" w:hAnsi="Times New Roman;serif"/>
          <w:b/>
          <w:color w:val="000000"/>
          <w:sz w:val="20"/>
        </w:rPr>
      </w:pPr>
      <w:r>
        <w:rPr>
          <w:rFonts w:ascii="Times New Roman;serif" w:hAnsi="Times New Roman;serif"/>
          <w:b/>
          <w:color w:val="000000"/>
          <w:sz w:val="20"/>
        </w:rPr>
        <w:t>Note 4 – Goodwill and Other Intangible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the carrying amount of goodwill during the three and six months ended June 30,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other than goodwill at June 30, 2026 and December 31, 2025 were as follows:</w:t>
      </w:r>
    </w:p>
    <w:tbl>
      <w:tblPr>
        <w:tblW w:w="11018" w:type="dxa"/>
        <w:jc w:val="left"/>
        <w:tblInd w:w="0" w:type="dxa"/>
        <w:tblLayout w:type="fixed"/>
        <w:tblCellMar>
          <w:top w:w="28" w:type="dxa"/>
          <w:left w:w="28" w:type="dxa"/>
          <w:bottom w:w="28" w:type="dxa"/>
          <w:right w:w="28" w:type="dxa"/>
        </w:tblCellMar>
      </w:tblPr>
      <w:tblGrid>
        <w:gridCol w:w="544"/>
        <w:gridCol w:w="268"/>
        <w:gridCol w:w="269"/>
        <w:gridCol w:w="196"/>
        <w:gridCol w:w="646"/>
        <w:gridCol w:w="109"/>
        <w:gridCol w:w="109"/>
        <w:gridCol w:w="109"/>
        <w:gridCol w:w="109"/>
        <w:gridCol w:w="228"/>
        <w:gridCol w:w="770"/>
        <w:gridCol w:w="128"/>
        <w:gridCol w:w="109"/>
        <w:gridCol w:w="109"/>
        <w:gridCol w:w="109"/>
        <w:gridCol w:w="196"/>
        <w:gridCol w:w="646"/>
        <w:gridCol w:w="109"/>
        <w:gridCol w:w="109"/>
        <w:gridCol w:w="109"/>
        <w:gridCol w:w="109"/>
        <w:gridCol w:w="196"/>
        <w:gridCol w:w="646"/>
        <w:gridCol w:w="109"/>
        <w:gridCol w:w="109"/>
        <w:gridCol w:w="109"/>
        <w:gridCol w:w="109"/>
        <w:gridCol w:w="228"/>
        <w:gridCol w:w="770"/>
        <w:gridCol w:w="128"/>
        <w:gridCol w:w="109"/>
        <w:gridCol w:w="109"/>
        <w:gridCol w:w="109"/>
        <w:gridCol w:w="196"/>
        <w:gridCol w:w="646"/>
        <w:gridCol w:w="109"/>
        <w:gridCol w:w="109"/>
        <w:gridCol w:w="109"/>
        <w:gridCol w:w="109"/>
        <w:gridCol w:w="200"/>
        <w:gridCol w:w="200"/>
        <w:gridCol w:w="201"/>
        <w:gridCol w:w="109"/>
        <w:gridCol w:w="109"/>
        <w:gridCol w:w="109"/>
        <w:gridCol w:w="290"/>
        <w:gridCol w:w="290"/>
        <w:gridCol w:w="411"/>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Useful</w:t>
              <w:br/>
              <w:t>Life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Weighted Average</w:t>
              <w:br/>
              <w:t>Useful Life Remaining</w:t>
              <w:br/>
              <w:t>(in years)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95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with finite lives:</w:t>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 agreement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2.0 - 5.0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technology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(11,177)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(10,493)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platform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(12,215)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(11,241)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6.6</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(23,392)</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(22,577)</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allocated to the Protolabs Network entities consisted of intangible assets of €11.6 million in Europe and $16.6 million in the United States as of the date of the acquisition. The Euro-denominated intangible assets are translated at the end of each period using the current exchange rates resulting in a foreign currency translation adjustment that is recorded as a component of Other Comprehensive Income. Foreign currency unrealized losses related to intangible assets were $0.9 million and $0.5 million as of June 30, 2026 and December 31, 2025, respectively. Amortization expense for intangible assets was $0.9 million for each of the three months ended June 30, 2026 and 2025, and $1.8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Estimated aggregated amortization expense based on the current carrying value of the amortizable intangible assets and current exchange rates is as follows:</w:t>
      </w:r>
    </w:p>
    <w:tbl>
      <w:tblPr>
        <w:tblW w:w="6104" w:type="dxa"/>
        <w:jc w:val="left"/>
        <w:tblInd w:w="0" w:type="dxa"/>
        <w:tblLayout w:type="fixed"/>
        <w:tblCellMar>
          <w:top w:w="28" w:type="dxa"/>
          <w:left w:w="28" w:type="dxa"/>
          <w:bottom w:w="28" w:type="dxa"/>
          <w:right w:w="28" w:type="dxa"/>
        </w:tblCellMar>
      </w:tblPr>
      <w:tblGrid>
        <w:gridCol w:w="1144"/>
        <w:gridCol w:w="1008"/>
        <w:gridCol w:w="1012"/>
        <w:gridCol w:w="1307"/>
        <w:gridCol w:w="674"/>
        <w:gridCol w:w="959"/>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Amortization Expense</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130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3,578</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2,211</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2,211</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2,211</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estimated amortization expense</w:t>
            </w:r>
          </w:p>
        </w:tc>
        <w:tc>
          <w:tcPr>
            <w:tcW w:w="1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16,606</w:t>
            </w:r>
          </w:p>
        </w:tc>
      </w:tr>
      <w:tr>
        <w:trPr/>
        <w:tc>
          <w:tcPr>
            <w:tcW w:w="316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83"/>
        <w:jc w:val="both"/>
        <w:rPr>
          <w:rFonts w:ascii="Times New Roman;serif" w:hAnsi="Times New Roman;serif"/>
          <w:b/>
          <w:color w:val="000000"/>
          <w:sz w:val="20"/>
        </w:rPr>
      </w:pPr>
      <w:r>
        <w:rPr>
          <w:rFonts w:ascii="Times New Roman;serif" w:hAnsi="Times New Roman;serif"/>
          <w:b/>
          <w:color w:val="000000"/>
          <w:sz w:val="20"/>
        </w:rPr>
        <w:t>Note 5 – Fair Value Measurements</w:t>
      </w:r>
    </w:p>
    <w:p>
      <w:pPr>
        <w:pStyle w:val="TextBody"/>
        <w:bidi w:val="0"/>
        <w:spacing w:lineRule="auto" w:line="288" w:before="200" w:after="283"/>
        <w:jc w:val="left"/>
        <w:rPr/>
      </w:pPr>
      <w:r>
        <w:rPr>
          <w:rFonts w:ascii="Times New Roman;serif" w:hAnsi="Times New Roman;serif"/>
          <w:b w:val="false"/>
          <w:color w:val="000000"/>
          <w:sz w:val="20"/>
        </w:rPr>
        <w:t xml:space="preserve">Accounting Standards Codification,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w:t>
      </w:r>
      <w:r>
        <w:rPr>
          <w:color w:val="000000"/>
        </w:rPr>
        <w:t xml:space="preserve"> </w:t>
      </w:r>
      <w:r>
        <w:rPr>
          <w:rFonts w:ascii="Times New Roman;serif" w:hAnsi="Times New Roman;serif"/>
          <w:b w:val="false"/>
          <w:color w:val="000000"/>
          <w:sz w:val="20"/>
        </w:rPr>
        <w:t>be used to measure fair value:</w:t>
      </w:r>
    </w:p>
    <w:p>
      <w:pPr>
        <w:pStyle w:val="TextBody"/>
        <w:bidi w:val="0"/>
        <w:spacing w:lineRule="auto" w:line="288" w:before="200" w:after="283"/>
        <w:jc w:val="left"/>
        <w:rPr/>
      </w:pPr>
      <w:r>
        <w:rPr>
          <w:rFonts w:ascii="Times New Roman;serif" w:hAnsi="Times New Roman;serif"/>
          <w:b w:val="false"/>
          <w:i/>
          <w:color w:val="000000"/>
          <w:sz w:val="20"/>
        </w:rPr>
        <w:t xml:space="preserve">Level </w:t>
      </w:r>
      <w:r>
        <w:rPr>
          <w:rFonts w:ascii="Times New Roman;serif" w:hAnsi="Times New Roman;serif"/>
          <w:b w:val="false"/>
          <w:color w:val="000000"/>
          <w:sz w:val="20"/>
        </w:rPr>
        <w:t>1</w:t>
      </w:r>
      <w:r>
        <w:rPr>
          <w:color w:val="000000"/>
        </w:rPr>
        <w:t>—</w:t>
      </w:r>
      <w:r>
        <w:rPr>
          <w:rFonts w:ascii="Times New Roman;serif" w:hAnsi="Times New Roman;serif"/>
          <w:b w:val="false"/>
          <w:color w:val="000000"/>
          <w:sz w:val="20"/>
        </w:rPr>
        <w:t>Quoted prices in active markets for identical assets or liabilities.</w:t>
      </w:r>
    </w:p>
    <w:p>
      <w:pPr>
        <w:pStyle w:val="TextBody"/>
        <w:bidi w:val="0"/>
        <w:spacing w:lineRule="auto" w:line="288" w:before="200" w:after="283"/>
        <w:jc w:val="left"/>
        <w:rPr/>
      </w:pPr>
      <w:r>
        <w:rPr>
          <w:rFonts w:ascii="Times New Roman;serif" w:hAnsi="Times New Roman;serif"/>
          <w:b w:val="false"/>
          <w:i/>
          <w:color w:val="000000"/>
          <w:sz w:val="20"/>
        </w:rPr>
        <w:t xml:space="preserve">Level </w:t>
      </w:r>
      <w:r>
        <w:rPr>
          <w:rFonts w:ascii="Times New Roman;serif" w:hAnsi="Times New Roman;serif"/>
          <w:b w:val="false"/>
          <w:color w:val="000000"/>
          <w:sz w:val="20"/>
        </w:rPr>
        <w:t>2</w:t>
      </w:r>
      <w:r>
        <w:rPr>
          <w:color w:val="000000"/>
        </w:rPr>
        <w:t>—</w:t>
      </w:r>
      <w:r>
        <w:rPr>
          <w:rFonts w:ascii="Times New Roman;serif" w:hAnsi="Times New Roman;serif"/>
          <w:b w:val="false"/>
          <w:color w:val="000000"/>
          <w:sz w:val="20"/>
        </w:rPr>
        <w:t xml:space="preserve">Observable inputs other than Level 1 prices such as quoted prices for similar assets or liabilities; quoted prices in markets that are </w:t>
      </w:r>
      <w:r>
        <w:rPr>
          <w:rFonts w:ascii="Times New Roman;serif" w:hAnsi="Times New Roman;serif"/>
          <w:b w:val="false"/>
          <w:i/>
          <w:color w:val="000000"/>
          <w:sz w:val="20"/>
        </w:rPr>
        <w:t>not</w:t>
      </w:r>
      <w:r>
        <w:rPr>
          <w:color w:val="000000"/>
        </w:rPr>
        <w:t xml:space="preserve"> </w:t>
      </w:r>
      <w:r>
        <w:rPr>
          <w:rFonts w:ascii="Times New Roman;serif" w:hAnsi="Times New Roman;serif"/>
          <w:b w:val="false"/>
          <w:color w:val="000000"/>
          <w:sz w:val="20"/>
        </w:rPr>
        <w:t>active; or other inputs that are observable or can be corroborated by observable market data for substantially the full term of the assets or liabilities.</w:t>
      </w:r>
    </w:p>
    <w:p>
      <w:pPr>
        <w:pStyle w:val="TextBody"/>
        <w:bidi w:val="0"/>
        <w:spacing w:lineRule="auto" w:line="288" w:before="200" w:after="283"/>
        <w:jc w:val="left"/>
        <w:rPr/>
      </w:pPr>
      <w:r>
        <w:rPr>
          <w:rFonts w:ascii="Times New Roman;serif" w:hAnsi="Times New Roman;serif"/>
          <w:b w:val="false"/>
          <w:i/>
          <w:color w:val="000000"/>
          <w:sz w:val="20"/>
        </w:rPr>
        <w:t xml:space="preserve">Level </w:t>
      </w:r>
      <w:r>
        <w:rPr>
          <w:rFonts w:ascii="Times New Roman;serif" w:hAnsi="Times New Roman;serif"/>
          <w:b w:val="false"/>
          <w:color w:val="000000"/>
          <w:sz w:val="20"/>
        </w:rPr>
        <w:t>3</w:t>
      </w:r>
      <w:r>
        <w:rPr>
          <w:color w:val="000000"/>
        </w:rPr>
        <w:t>—</w:t>
      </w:r>
      <w:r>
        <w:rPr>
          <w:rFonts w:ascii="Times New Roman;serif" w:hAnsi="Times New Roman;serif"/>
          <w:b w:val="false"/>
          <w:color w:val="000000"/>
          <w:sz w:val="20"/>
        </w:rPr>
        <w:t>Unobservable inputs that are supported by little or no market activity and that are significant to the fair value of the assets or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assets and liabilities that are required to be measured or disclosed at fair value on a recurring basis include cash and cash equivalents and marketable securities. The Company’s cash consists of bank deposits and cash equivalents consist primarily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financial assets as of June 30, 2026 and December 31, 2025 measured at fair value on a recurring basis: </w:t>
      </w:r>
    </w:p>
    <w:tbl>
      <w:tblPr>
        <w:tblW w:w="9861" w:type="dxa"/>
        <w:jc w:val="left"/>
        <w:tblInd w:w="0" w:type="dxa"/>
        <w:tblLayout w:type="fixed"/>
        <w:tblCellMar>
          <w:top w:w="28" w:type="dxa"/>
          <w:left w:w="28" w:type="dxa"/>
          <w:bottom w:w="28" w:type="dxa"/>
          <w:right w:w="28" w:type="dxa"/>
        </w:tblCellMar>
      </w:tblPr>
      <w:tblGrid>
        <w:gridCol w:w="846"/>
        <w:gridCol w:w="745"/>
        <w:gridCol w:w="748"/>
        <w:gridCol w:w="211"/>
        <w:gridCol w:w="826"/>
        <w:gridCol w:w="109"/>
        <w:gridCol w:w="109"/>
        <w:gridCol w:w="109"/>
        <w:gridCol w:w="109"/>
        <w:gridCol w:w="211"/>
        <w:gridCol w:w="721"/>
        <w:gridCol w:w="109"/>
        <w:gridCol w:w="109"/>
        <w:gridCol w:w="109"/>
        <w:gridCol w:w="109"/>
        <w:gridCol w:w="213"/>
        <w:gridCol w:w="411"/>
        <w:gridCol w:w="110"/>
        <w:gridCol w:w="109"/>
        <w:gridCol w:w="109"/>
        <w:gridCol w:w="109"/>
        <w:gridCol w:w="211"/>
        <w:gridCol w:w="826"/>
        <w:gridCol w:w="109"/>
        <w:gridCol w:w="109"/>
        <w:gridCol w:w="109"/>
        <w:gridCol w:w="109"/>
        <w:gridCol w:w="211"/>
        <w:gridCol w:w="721"/>
        <w:gridCol w:w="109"/>
        <w:gridCol w:w="109"/>
        <w:gridCol w:w="109"/>
        <w:gridCol w:w="109"/>
        <w:gridCol w:w="213"/>
        <w:gridCol w:w="411"/>
        <w:gridCol w:w="155"/>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400" w:after="283"/>
        <w:jc w:val="left"/>
        <w:rPr>
          <w:rFonts w:ascii="Times New Roman;serif" w:hAnsi="Times New Roman;serif"/>
          <w:b/>
          <w:color w:val="000000"/>
          <w:sz w:val="20"/>
        </w:rPr>
      </w:pPr>
      <w:r>
        <w:rPr>
          <w:rFonts w:ascii="Times New Roman;serif" w:hAnsi="Times New Roman;serif"/>
          <w:b/>
          <w:color w:val="000000"/>
          <w:sz w:val="20"/>
        </w:rPr>
        <w:t>Note 6 – Marketable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invests in short-term and long-term agency, municipal, corporate and other debt securities. The securities are categorized as available-for-sale and are recorded at fair value. The following table summarizes information regarding the Company’s short-term and long-term marketable securities as of June 30, 2026 and December 31, 2025:</w:t>
      </w:r>
    </w:p>
    <w:tbl>
      <w:tblPr>
        <w:tblW w:w="9226" w:type="dxa"/>
        <w:jc w:val="left"/>
        <w:tblInd w:w="0" w:type="dxa"/>
        <w:tblLayout w:type="fixed"/>
        <w:tblCellMar>
          <w:top w:w="28" w:type="dxa"/>
          <w:left w:w="28" w:type="dxa"/>
          <w:bottom w:w="28" w:type="dxa"/>
          <w:right w:w="28" w:type="dxa"/>
        </w:tblCellMar>
      </w:tblPr>
      <w:tblGrid>
        <w:gridCol w:w="1052"/>
        <w:gridCol w:w="926"/>
        <w:gridCol w:w="931"/>
        <w:gridCol w:w="211"/>
        <w:gridCol w:w="721"/>
        <w:gridCol w:w="109"/>
        <w:gridCol w:w="109"/>
        <w:gridCol w:w="109"/>
        <w:gridCol w:w="109"/>
        <w:gridCol w:w="457"/>
        <w:gridCol w:w="880"/>
        <w:gridCol w:w="237"/>
        <w:gridCol w:w="109"/>
        <w:gridCol w:w="109"/>
        <w:gridCol w:w="109"/>
        <w:gridCol w:w="429"/>
        <w:gridCol w:w="982"/>
        <w:gridCol w:w="224"/>
        <w:gridCol w:w="109"/>
        <w:gridCol w:w="109"/>
        <w:gridCol w:w="109"/>
        <w:gridCol w:w="211"/>
        <w:gridCol w:w="72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municipal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9226" w:type="dxa"/>
        <w:jc w:val="left"/>
        <w:tblInd w:w="0" w:type="dxa"/>
        <w:tblLayout w:type="fixed"/>
        <w:tblCellMar>
          <w:top w:w="28" w:type="dxa"/>
          <w:left w:w="28" w:type="dxa"/>
          <w:bottom w:w="28" w:type="dxa"/>
          <w:right w:w="28" w:type="dxa"/>
        </w:tblCellMar>
      </w:tblPr>
      <w:tblGrid>
        <w:gridCol w:w="1052"/>
        <w:gridCol w:w="926"/>
        <w:gridCol w:w="931"/>
        <w:gridCol w:w="211"/>
        <w:gridCol w:w="721"/>
        <w:gridCol w:w="109"/>
        <w:gridCol w:w="109"/>
        <w:gridCol w:w="109"/>
        <w:gridCol w:w="109"/>
        <w:gridCol w:w="486"/>
        <w:gridCol w:w="835"/>
        <w:gridCol w:w="254"/>
        <w:gridCol w:w="109"/>
        <w:gridCol w:w="109"/>
        <w:gridCol w:w="109"/>
        <w:gridCol w:w="495"/>
        <w:gridCol w:w="882"/>
        <w:gridCol w:w="257"/>
        <w:gridCol w:w="109"/>
        <w:gridCol w:w="109"/>
        <w:gridCol w:w="109"/>
        <w:gridCol w:w="211"/>
        <w:gridCol w:w="72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municipal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Classification of marketable securities as current or non-current is based upon the security’s maturity date as of the date of these financial statements.</w:t>
      </w:r>
    </w:p>
    <w:p>
      <w:pPr>
        <w:pStyle w:val="TextBody"/>
        <w:bidi w:val="0"/>
        <w:spacing w:lineRule="auto" w:line="288" w:before="200" w:after="283"/>
        <w:jc w:val="left"/>
        <w:rPr/>
      </w:pPr>
      <w:r>
        <w:rPr>
          <w:rFonts w:ascii="Times New Roman;serif" w:hAnsi="Times New Roman;serif"/>
          <w:b w:val="false"/>
          <w:color w:val="000000"/>
          <w:sz w:val="20"/>
        </w:rPr>
        <w:t>The June 30, 2026 balance of available-for-sale debt securities by contractual maturity is shown in the following table at fair value. Actual maturities may</w:t>
      </w:r>
      <w:r>
        <w:rPr>
          <w:color w:val="000000"/>
        </w:rPr>
        <w:t xml:space="preserve"> </w:t>
      </w:r>
      <w:r>
        <w:rPr>
          <w:rFonts w:ascii="Times New Roman;serif" w:hAnsi="Times New Roman;serif"/>
          <w:b w:val="false"/>
          <w:color w:val="000000"/>
          <w:sz w:val="20"/>
        </w:rPr>
        <w:t>differ from contractual maturities because the issuers of the securities may</w:t>
      </w:r>
      <w:r>
        <w:rPr>
          <w:color w:val="000000"/>
        </w:rPr>
        <w:t xml:space="preserve"> </w:t>
      </w:r>
      <w:r>
        <w:rPr>
          <w:rFonts w:ascii="Times New Roman;serif" w:hAnsi="Times New Roman;serif"/>
          <w:b w:val="false"/>
          <w:color w:val="000000"/>
          <w:sz w:val="20"/>
        </w:rPr>
        <w:t>have the right to prepay obligations without prepayment penalties.</w:t>
      </w:r>
    </w:p>
    <w:tbl>
      <w:tblPr>
        <w:tblW w:w="4190" w:type="dxa"/>
        <w:jc w:val="left"/>
        <w:tblInd w:w="0" w:type="dxa"/>
        <w:tblLayout w:type="fixed"/>
        <w:tblCellMar>
          <w:top w:w="28" w:type="dxa"/>
          <w:left w:w="28" w:type="dxa"/>
          <w:bottom w:w="28" w:type="dxa"/>
          <w:right w:w="28" w:type="dxa"/>
        </w:tblCellMar>
      </w:tblPr>
      <w:tblGrid>
        <w:gridCol w:w="1122"/>
        <w:gridCol w:w="989"/>
        <w:gridCol w:w="993"/>
        <w:gridCol w:w="211"/>
        <w:gridCol w:w="721"/>
        <w:gridCol w:w="154"/>
      </w:tblGrid>
      <w:tr>
        <w:trPr/>
        <w:tc>
          <w:tcPr>
            <w:tcW w:w="11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83"/>
        <w:jc w:val="left"/>
        <w:rPr>
          <w:rFonts w:ascii="Times New Roman;serif" w:hAnsi="Times New Roman;serif"/>
          <w:b/>
          <w:color w:val="000000"/>
          <w:sz w:val="20"/>
        </w:rPr>
      </w:pPr>
      <w:r>
        <w:rPr>
          <w:rFonts w:ascii="Times New Roman;serif" w:hAnsi="Times New Roman;serif"/>
          <w:b/>
          <w:color w:val="000000"/>
          <w:sz w:val="20"/>
        </w:rPr>
        <w:t xml:space="preserve">Note 7 – Inventory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inventory consisted of the following as of the dates indicated:</w:t>
      </w:r>
    </w:p>
    <w:tbl>
      <w:tblPr>
        <w:tblW w:w="5057" w:type="dxa"/>
        <w:jc w:val="left"/>
        <w:tblInd w:w="0" w:type="dxa"/>
        <w:tblLayout w:type="fixed"/>
        <w:tblCellMar>
          <w:top w:w="28" w:type="dxa"/>
          <w:left w:w="28" w:type="dxa"/>
          <w:bottom w:w="28" w:type="dxa"/>
          <w:right w:w="28" w:type="dxa"/>
        </w:tblCellMar>
      </w:tblPr>
      <w:tblGrid>
        <w:gridCol w:w="862"/>
        <w:gridCol w:w="759"/>
        <w:gridCol w:w="763"/>
        <w:gridCol w:w="211"/>
        <w:gridCol w:w="721"/>
        <w:gridCol w:w="109"/>
        <w:gridCol w:w="109"/>
        <w:gridCol w:w="109"/>
        <w:gridCol w:w="109"/>
        <w:gridCol w:w="253"/>
        <w:gridCol w:w="867"/>
        <w:gridCol w:w="185"/>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obsolescence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 of allowance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83"/>
        <w:jc w:val="left"/>
        <w:rPr>
          <w:rFonts w:ascii="Times New Roman;serif" w:hAnsi="Times New Roman;serif"/>
          <w:b/>
          <w:color w:val="000000"/>
          <w:sz w:val="20"/>
        </w:rPr>
      </w:pPr>
      <w:r>
        <w:rPr>
          <w:rFonts w:ascii="Times New Roman;serif" w:hAnsi="Times New Roman;serif"/>
          <w:b/>
          <w:color w:val="000000"/>
          <w:sz w:val="20"/>
        </w:rPr>
        <w:t>Note 8 – Stock-Based Compensation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8, 2022, the board of directors approved the Proto Labs, Inc. 2022 Long-Term Incentive Plan, which was approved by the Company's shareholders at a Special Meeting of Shareholders on August 29, 2022, and subsequently amended and restated by the Company's shareholders at the Annual Meeting of Shareholders on May 23, 2024 (as amended and restated, and subsequently further amended, the 2022 Plan) to increase the number of shares available for issuance pursuant to awards under the 2022 Plan by an additional 430,000 shares, add a minimum vesting requirement, and extend the expiration date so that the term of the 2022 Plan runs for ten years from the date of the shareholder approval. On May 20, 2025 and May 19, 2026, the Company's shareholders approved amendments to the 2022 Plan to increase the number of shares available for issuance pursuant to awards under the 2022 Plan by an additional 296,000 shares and 395,000 shares, respectively. Under the 2022 Plan, the Company has the ability to grant stock options, stock appreciation rights (SARs), restricted stock, restricted stock units, other stock-based awards and cash incentive awards. Awards under the 2022 Plan have a maximum term of ten years from the date of grant. The compensation and talent committee may provide that the vesting or payment of any award will be subject to the attainment of specified performance measures in addition to the satisfaction of any continued service requirements and the compensation and talent committee will determine whether such measures have been achieved. The per-share exercise price of stock options and SARs granted under the 2022 Plan generally may not be less than the fair market value of a share of our common stock on the date of the grant.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has outstanding awards under the 2012 Long-Term Incentive Plan, as amended (the 2012 Plan), although the plan expired in February 2022 and no additional awards have since been or will be made under the 2012 Plan. The 2012 Plan provided the Company the ability to grant stock options, SARs, restricted stock, restricted stock units, other stock-based awards and cash incentive awards. Awards under the 2012 Plan that subsequently expired, were forfeited or cancelled, or settled in cash after August 29, 2022 became available for awards under the 2022 Plan.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the Company has outstanding awards that were not granted under the 2022 Plan or the 2012 Plan. These awards were granted as inducement awards to the Company’s Chief Executive Officer in May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was $4.1 million and $4.3 million for the three months ended June 30, 2026 and 2025, respectively, and $7.3 million and $8.3 million for the six months ended June 30,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during the six months ended June 30, 2026:</w:t>
      </w:r>
    </w:p>
    <w:tbl>
      <w:tblPr>
        <w:tblW w:w="6580" w:type="dxa"/>
        <w:jc w:val="left"/>
        <w:tblInd w:w="0" w:type="dxa"/>
        <w:tblLayout w:type="fixed"/>
        <w:tblCellMar>
          <w:top w:w="28" w:type="dxa"/>
          <w:left w:w="28" w:type="dxa"/>
          <w:bottom w:w="28" w:type="dxa"/>
          <w:right w:w="28" w:type="dxa"/>
        </w:tblCellMar>
      </w:tblPr>
      <w:tblGrid>
        <w:gridCol w:w="1304"/>
        <w:gridCol w:w="1146"/>
        <w:gridCol w:w="1149"/>
        <w:gridCol w:w="424"/>
        <w:gridCol w:w="424"/>
        <w:gridCol w:w="426"/>
        <w:gridCol w:w="109"/>
        <w:gridCol w:w="109"/>
        <w:gridCol w:w="109"/>
        <w:gridCol w:w="296"/>
        <w:gridCol w:w="867"/>
        <w:gridCol w:w="217"/>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 Price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December 31, 2025</w:t>
            </w:r>
          </w:p>
        </w:tc>
        <w:tc>
          <w:tcPr>
            <w:tcW w:w="12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June 30, 2026</w:t>
            </w:r>
          </w:p>
        </w:tc>
        <w:tc>
          <w:tcPr>
            <w:tcW w:w="12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outstanding options generally have a term of ten years. For employees, options granted become exercisable ratably over the vesting period, which is generally a period of four years, beginning on the first anniversary of the grant date, subject to the employee’s continuing service to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options that were granted during the six months ended June 30, 2026 was $35.95.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assumptions used in the Black-Scholes pricing model valuation of options during the six months ended June 30, 2026 and 2025:</w:t>
      </w:r>
    </w:p>
    <w:tbl>
      <w:tblPr>
        <w:tblW w:w="5736" w:type="dxa"/>
        <w:jc w:val="left"/>
        <w:tblInd w:w="0" w:type="dxa"/>
        <w:tblLayout w:type="fixed"/>
        <w:tblCellMar>
          <w:top w:w="28" w:type="dxa"/>
          <w:left w:w="28" w:type="dxa"/>
          <w:bottom w:w="28" w:type="dxa"/>
          <w:right w:w="28" w:type="dxa"/>
        </w:tblCellMar>
      </w:tblPr>
      <w:tblGrid>
        <w:gridCol w:w="771"/>
        <w:gridCol w:w="677"/>
        <w:gridCol w:w="681"/>
        <w:gridCol w:w="511"/>
        <w:gridCol w:w="511"/>
        <w:gridCol w:w="492"/>
        <w:gridCol w:w="178"/>
        <w:gridCol w:w="178"/>
        <w:gridCol w:w="178"/>
        <w:gridCol w:w="484"/>
        <w:gridCol w:w="484"/>
        <w:gridCol w:w="59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5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3.71% - 4.28%</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4.13% - 4.17%</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6.25</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52.59% - 52.69%</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52.12% - 52.99%</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1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$4.4 million of unrecognized compensation expense related to unvested stock options, which is expected to be recognized over a weighted-average period of 3.2 years.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Restricted Stock Units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stock unit (RSU) awards are share-settled awards and restrictions lapse ratably over the vesting period, which is generally a period of four years, beginning on the first anniversary of the grant date, subject to the employee's continuing service to the Company. For the board of directors, restrictions generally lapse in full on the first anniversary of the grant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units activity during the six months ended June 30, 2026:</w:t>
      </w:r>
    </w:p>
    <w:tbl>
      <w:tblPr>
        <w:tblW w:w="6161" w:type="dxa"/>
        <w:jc w:val="left"/>
        <w:tblInd w:w="0" w:type="dxa"/>
        <w:tblLayout w:type="fixed"/>
        <w:tblCellMar>
          <w:top w:w="28" w:type="dxa"/>
          <w:left w:w="28" w:type="dxa"/>
          <w:bottom w:w="28" w:type="dxa"/>
          <w:right w:w="28" w:type="dxa"/>
        </w:tblCellMar>
      </w:tblPr>
      <w:tblGrid>
        <w:gridCol w:w="1334"/>
        <w:gridCol w:w="1174"/>
        <w:gridCol w:w="1182"/>
        <w:gridCol w:w="349"/>
        <w:gridCol w:w="349"/>
        <w:gridCol w:w="351"/>
        <w:gridCol w:w="109"/>
        <w:gridCol w:w="109"/>
        <w:gridCol w:w="109"/>
        <w:gridCol w:w="235"/>
        <w:gridCol w:w="688"/>
        <w:gridCol w:w="172"/>
      </w:tblGrid>
      <w:tr>
        <w:trP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Restricted</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w:t>
              <w:br/>
              <w:t>Fair Value</w:t>
              <w:br/>
              <w:t>Per Share</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at December 31, 2025</w:t>
            </w:r>
          </w:p>
        </w:tc>
        <w:tc>
          <w:tcPr>
            <w:tcW w:w="1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Restrictions lapsed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at June 30, 2026</w:t>
            </w:r>
          </w:p>
        </w:tc>
        <w:tc>
          <w:tcPr>
            <w:tcW w:w="1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$20.5 million of unrecognized compensation expense related to non-vested restricted stock units, which is expected to be recognized over a weighted-average period of 2.9 years.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Performance Stock Units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 (PSUs) are expressed in terms of a target number of PSUs, with anywhere between 0 percent and 200 percent of that target number capable of being earned and vesting at the end of a three-year performance period depending on the Company’s three-year cumulative total shareholder return performance relative to an index and the award recipient’s continued employment. The Company’s PSUs are based on market conditions and the related compensation cost is based on the fair value at grant date calculated using a Monte Carlo pricing model.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performance stock units activity during the six months ended June 30, 2026:</w:t>
      </w:r>
    </w:p>
    <w:tbl>
      <w:tblPr>
        <w:tblW w:w="6507" w:type="dxa"/>
        <w:jc w:val="left"/>
        <w:tblInd w:w="0" w:type="dxa"/>
        <w:tblLayout w:type="fixed"/>
        <w:tblCellMar>
          <w:top w:w="28" w:type="dxa"/>
          <w:left w:w="28" w:type="dxa"/>
          <w:bottom w:w="28" w:type="dxa"/>
          <w:right w:w="28" w:type="dxa"/>
        </w:tblCellMar>
      </w:tblPr>
      <w:tblGrid>
        <w:gridCol w:w="1402"/>
        <w:gridCol w:w="1230"/>
        <w:gridCol w:w="1237"/>
        <w:gridCol w:w="405"/>
        <w:gridCol w:w="405"/>
        <w:gridCol w:w="406"/>
        <w:gridCol w:w="109"/>
        <w:gridCol w:w="109"/>
        <w:gridCol w:w="109"/>
        <w:gridCol w:w="235"/>
        <w:gridCol w:w="688"/>
        <w:gridCol w:w="172"/>
      </w:tblGrid>
      <w:tr>
        <w:trPr/>
        <w:tc>
          <w:tcPr>
            <w:tcW w:w="140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Performance</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w:t>
              <w:br/>
              <w:t>Fair Value</w:t>
              <w:br/>
              <w:t>Per Share</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 at December 31, 2025</w:t>
            </w:r>
          </w:p>
        </w:tc>
        <w:tc>
          <w:tcPr>
            <w:tcW w:w="12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Restrictions lapsed</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57.79</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change</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 at June 30, 2026</w:t>
            </w:r>
          </w:p>
        </w:tc>
        <w:tc>
          <w:tcPr>
            <w:tcW w:w="12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the assumptions used in the Monte Carlo pricing model valuation of PSUs during the six months ended June 30, 2026 and 2025: </w:t>
      </w:r>
    </w:p>
    <w:tbl>
      <w:tblPr>
        <w:tblW w:w="4957" w:type="dxa"/>
        <w:jc w:val="center"/>
        <w:tblInd w:w="0" w:type="dxa"/>
        <w:tblLayout w:type="fixed"/>
        <w:tblCellMar>
          <w:top w:w="28" w:type="dxa"/>
          <w:left w:w="28" w:type="dxa"/>
          <w:bottom w:w="28" w:type="dxa"/>
          <w:right w:w="28" w:type="dxa"/>
        </w:tblCellMar>
      </w:tblPr>
      <w:tblGrid>
        <w:gridCol w:w="771"/>
        <w:gridCol w:w="677"/>
        <w:gridCol w:w="681"/>
        <w:gridCol w:w="245"/>
        <w:gridCol w:w="245"/>
        <w:gridCol w:w="245"/>
        <w:gridCol w:w="178"/>
        <w:gridCol w:w="178"/>
        <w:gridCol w:w="178"/>
        <w:gridCol w:w="484"/>
        <w:gridCol w:w="484"/>
        <w:gridCol w:w="59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3.48%</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3.98% - 4.08%</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2.85</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2.61 - 2.85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47.40%</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52.40% - 53.20%</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1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$10.8 million of unrecognized compensation expense related to non-vested performance stock units, which is expected to be recognized over a weighted-average period of 2.2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assumptions used to estimate the fair value of the ESPP during the six months ended June 30, 2026 and 2025: </w:t>
      </w:r>
    </w:p>
    <w:tbl>
      <w:tblPr>
        <w:tblW w:w="4958" w:type="dxa"/>
        <w:jc w:val="left"/>
        <w:tblInd w:w="0" w:type="dxa"/>
        <w:tblLayout w:type="fixed"/>
        <w:tblCellMar>
          <w:top w:w="28" w:type="dxa"/>
          <w:left w:w="28" w:type="dxa"/>
          <w:bottom w:w="28" w:type="dxa"/>
          <w:right w:w="28" w:type="dxa"/>
        </w:tblCellMar>
      </w:tblPr>
      <w:tblGrid>
        <w:gridCol w:w="772"/>
        <w:gridCol w:w="676"/>
        <w:gridCol w:w="682"/>
        <w:gridCol w:w="511"/>
        <w:gridCol w:w="511"/>
        <w:gridCol w:w="492"/>
        <w:gridCol w:w="178"/>
        <w:gridCol w:w="178"/>
        <w:gridCol w:w="178"/>
        <w:gridCol w:w="228"/>
        <w:gridCol w:w="228"/>
        <w:gridCol w:w="324"/>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5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3.67% - 3.78%</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4.29%</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(months)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6.00</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6.00</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39.13% - 46.79%</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65.60%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1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83"/>
        <w:jc w:val="left"/>
        <w:rPr>
          <w:rFonts w:ascii="Times New Roman;serif" w:hAnsi="Times New Roman;serif"/>
          <w:b/>
          <w:color w:val="000000"/>
          <w:sz w:val="20"/>
        </w:rPr>
      </w:pPr>
      <w:r>
        <w:rPr>
          <w:rFonts w:ascii="Times New Roman;serif" w:hAnsi="Times New Roman;serif"/>
          <w:b/>
          <w:color w:val="000000"/>
          <w:sz w:val="20"/>
        </w:rPr>
        <w:t>Note 9 – Accumulated Other Comprehensive (Loss)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(loss) income is comprised of foreign currency translation adjustments and net unrealized gains (losses) on investments in securities.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accumulated other comprehensive (loss) income balances during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769"/>
        <w:gridCol w:w="1488"/>
        <w:gridCol w:w="1497"/>
        <w:gridCol w:w="211"/>
        <w:gridCol w:w="786"/>
        <w:gridCol w:w="109"/>
        <w:gridCol w:w="109"/>
        <w:gridCol w:w="109"/>
        <w:gridCol w:w="109"/>
        <w:gridCol w:w="211"/>
        <w:gridCol w:w="786"/>
        <w:gridCol w:w="109"/>
        <w:gridCol w:w="109"/>
        <w:gridCol w:w="109"/>
        <w:gridCol w:w="109"/>
        <w:gridCol w:w="211"/>
        <w:gridCol w:w="786"/>
        <w:gridCol w:w="109"/>
        <w:gridCol w:w="109"/>
        <w:gridCol w:w="109"/>
        <w:gridCol w:w="109"/>
        <w:gridCol w:w="211"/>
        <w:gridCol w:w="786"/>
        <w:gridCol w:w="155"/>
      </w:tblGrid>
      <w:tr>
        <w:trPr/>
        <w:tc>
          <w:tcPr>
            <w:tcW w:w="176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translation adjustments</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(loss) income</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unrealized (losses) gains on investments in securities</w:t>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(loss) income</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(24,563)</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83"/>
        <w:jc w:val="left"/>
        <w:rPr>
          <w:rFonts w:ascii="Times New Roman;serif" w:hAnsi="Times New Roman;serif"/>
          <w:b/>
          <w:color w:val="000000"/>
          <w:sz w:val="20"/>
        </w:rPr>
      </w:pPr>
      <w:r>
        <w:rPr>
          <w:rFonts w:ascii="Times New Roman;serif" w:hAnsi="Times New Roman;serif"/>
          <w:b/>
          <w:color w:val="000000"/>
          <w:sz w:val="20"/>
        </w:rPr>
        <w:t>Note 10 –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income tax in multiple jurisdictions and the use of estimates is required to determine the provision for income taxes. For the three months ended June 30, 2026 and 2025, the Company recorded an income tax provision of $3.5 million and $2.2 million, respectively. For the six months ended June 30, 2026 and 2025, the Company recorded an income tax provision of $6.7 million and $4.6 million, respectively. The income tax provision is based on the estimated annual effective tax rate for the year applied to pre-tax income. The effective income tax rate for the three months ended June 30, 2026 was 27.4 percent compared to 33.7 percent in the same period of the prior year. The effective tax rate decreased by 6.3 percent for the three months ended June 30, 2026 when compared to the same period in 2025, primarily due to an increase in tax benefits from the vesting of restricted stock and the exercise of stock options. The effective income tax rate for the six months ended June 30, 2026 was 27.8 percent compared to 36.6 percent in the same period of the prior year. The effective tax rate decreased by 8.8 percent for the six months ended June 30, 2026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compared to the same period in 2025, primarily due to an increase in tax benefits from the vesting of restricted stock and the exercise of stock options, as well as tax benefits recognized on losses incurred by a newly established entity in India.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for the three and six months ended June 30, 2026 differs from the U.S. federal statutory rate of 21.0 percent due to various factors, including operating in multiple state and foreign jurisdictions partially offset by tax credits for which the Company qualifies.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unrecognized tax benefits totaling $3.2 million and $3.1 million as of June 30, 2026 and December 31, 2025,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83"/>
        <w:jc w:val="left"/>
        <w:rPr>
          <w:rFonts w:ascii="Times New Roman;serif" w:hAnsi="Times New Roman;serif"/>
          <w:b/>
          <w:color w:val="000000"/>
          <w:sz w:val="20"/>
        </w:rPr>
      </w:pPr>
      <w:r>
        <w:rPr>
          <w:rFonts w:ascii="Times New Roman;serif" w:hAnsi="Times New Roman;serif"/>
          <w:b/>
          <w:color w:val="000000"/>
          <w:sz w:val="20"/>
        </w:rPr>
        <w:t>Note 11 – Segment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are based on the internal reporting used by the Company’s CEO, who is the chief operating decision maker (CODM), to assess operating performance and make decisions about the allocation of resources. The CODM's primary profit measure for purposes of resource allocation and performance assessment is income (loss) from operations at the segment level. This measure is used to evaluate current-period performance, develop forecasts and budgets, and make decisions about capital and other resource allocations between segments. The Company’s reportable segments are based upon geographic region, consisting of the United States and Europe. The Corporate Unallocated category includes non-reportable segments, as well as research and development and general and administrative costs that the Company does not allocate directly to its operating segments.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Revenue in the United States and Europe is derived primarily from Injection Molding, CNC Machining, 3D Printing and Sheet Metal product lines. Injection Molding revenue consists of sales of custom injection molds and injection-molded parts. CNC Machining revenue consists of sales of CNC-machined and lathe-turned customer parts. 3D Printing revenue consists of sales of 3D-printed parts. Sheet Metal revenue consists of sales of fabricated sheet metal parts.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Intercompany transactions primarily relate to intercontinental activity and have been eliminated and are excluded from the reported amounts. The difference between income (loss) from operations and pre-tax income relates to foreign currency-related gains and losses and interest income on cash balances and investments, which are not allocated to business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selected financial information by reportable segments:</w:t>
      </w:r>
    </w:p>
    <w:tbl>
      <w:tblPr>
        <w:tblW w:w="9927" w:type="dxa"/>
        <w:jc w:val="left"/>
        <w:tblInd w:w="0" w:type="dxa"/>
        <w:tblLayout w:type="fixed"/>
        <w:tblCellMar>
          <w:top w:w="28" w:type="dxa"/>
          <w:left w:w="28" w:type="dxa"/>
          <w:bottom w:w="28" w:type="dxa"/>
          <w:right w:w="28" w:type="dxa"/>
        </w:tblCellMar>
      </w:tblPr>
      <w:tblGrid>
        <w:gridCol w:w="1302"/>
        <w:gridCol w:w="1147"/>
        <w:gridCol w:w="1151"/>
        <w:gridCol w:w="211"/>
        <w:gridCol w:w="826"/>
        <w:gridCol w:w="109"/>
        <w:gridCol w:w="109"/>
        <w:gridCol w:w="109"/>
        <w:gridCol w:w="109"/>
        <w:gridCol w:w="211"/>
        <w:gridCol w:w="721"/>
        <w:gridCol w:w="109"/>
        <w:gridCol w:w="109"/>
        <w:gridCol w:w="109"/>
        <w:gridCol w:w="109"/>
        <w:gridCol w:w="351"/>
        <w:gridCol w:w="1327"/>
        <w:gridCol w:w="181"/>
        <w:gridCol w:w="109"/>
        <w:gridCol w:w="109"/>
        <w:gridCol w:w="109"/>
        <w:gridCol w:w="211"/>
        <w:gridCol w:w="826"/>
        <w:gridCol w:w="109"/>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73"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Corporate Unallocated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19,736 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transformation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exit and disposal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(19,736)</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817" w:type="dxa"/>
        <w:jc w:val="left"/>
        <w:tblInd w:w="0" w:type="dxa"/>
        <w:tblLayout w:type="fixed"/>
        <w:tblCellMar>
          <w:top w:w="28" w:type="dxa"/>
          <w:left w:w="28" w:type="dxa"/>
          <w:bottom w:w="28" w:type="dxa"/>
          <w:right w:w="28" w:type="dxa"/>
        </w:tblCellMar>
      </w:tblPr>
      <w:tblGrid>
        <w:gridCol w:w="1301"/>
        <w:gridCol w:w="1147"/>
        <w:gridCol w:w="1151"/>
        <w:gridCol w:w="211"/>
        <w:gridCol w:w="826"/>
        <w:gridCol w:w="109"/>
        <w:gridCol w:w="109"/>
        <w:gridCol w:w="109"/>
        <w:gridCol w:w="109"/>
        <w:gridCol w:w="211"/>
        <w:gridCol w:w="721"/>
        <w:gridCol w:w="109"/>
        <w:gridCol w:w="109"/>
        <w:gridCol w:w="109"/>
        <w:gridCol w:w="109"/>
        <w:gridCol w:w="351"/>
        <w:gridCol w:w="1327"/>
        <w:gridCol w:w="181"/>
        <w:gridCol w:w="109"/>
        <w:gridCol w:w="109"/>
        <w:gridCol w:w="109"/>
        <w:gridCol w:w="211"/>
        <w:gridCol w:w="826"/>
        <w:gridCol w:w="154"/>
      </w:tblGrid>
      <w:tr>
        <w:trPr/>
        <w:tc>
          <w:tcPr>
            <w:tcW w:w="130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17"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3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Corporate Unallocated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exit and disposal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(17,750)</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9893" w:type="dxa"/>
        <w:jc w:val="left"/>
        <w:tblInd w:w="0" w:type="dxa"/>
        <w:tblLayout w:type="fixed"/>
        <w:tblCellMar>
          <w:top w:w="28" w:type="dxa"/>
          <w:left w:w="28" w:type="dxa"/>
          <w:bottom w:w="28" w:type="dxa"/>
          <w:right w:w="28" w:type="dxa"/>
        </w:tblCellMar>
      </w:tblPr>
      <w:tblGrid>
        <w:gridCol w:w="1302"/>
        <w:gridCol w:w="1147"/>
        <w:gridCol w:w="1151"/>
        <w:gridCol w:w="211"/>
        <w:gridCol w:w="826"/>
        <w:gridCol w:w="109"/>
        <w:gridCol w:w="109"/>
        <w:gridCol w:w="109"/>
        <w:gridCol w:w="109"/>
        <w:gridCol w:w="211"/>
        <w:gridCol w:w="796"/>
        <w:gridCol w:w="109"/>
        <w:gridCol w:w="109"/>
        <w:gridCol w:w="109"/>
        <w:gridCol w:w="109"/>
        <w:gridCol w:w="351"/>
        <w:gridCol w:w="1327"/>
        <w:gridCol w:w="181"/>
        <w:gridCol w:w="109"/>
        <w:gridCol w:w="109"/>
        <w:gridCol w:w="109"/>
        <w:gridCol w:w="211"/>
        <w:gridCol w:w="826"/>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3"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Corporate Unallocated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37,606 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transformation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exit and disposal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(37,937)</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9817" w:type="dxa"/>
        <w:jc w:val="left"/>
        <w:tblInd w:w="0" w:type="dxa"/>
        <w:tblLayout w:type="fixed"/>
        <w:tblCellMar>
          <w:top w:w="28" w:type="dxa"/>
          <w:left w:w="28" w:type="dxa"/>
          <w:bottom w:w="28" w:type="dxa"/>
          <w:right w:w="28" w:type="dxa"/>
        </w:tblCellMar>
      </w:tblPr>
      <w:tblGrid>
        <w:gridCol w:w="1301"/>
        <w:gridCol w:w="1147"/>
        <w:gridCol w:w="1151"/>
        <w:gridCol w:w="211"/>
        <w:gridCol w:w="826"/>
        <w:gridCol w:w="109"/>
        <w:gridCol w:w="109"/>
        <w:gridCol w:w="109"/>
        <w:gridCol w:w="109"/>
        <w:gridCol w:w="211"/>
        <w:gridCol w:w="721"/>
        <w:gridCol w:w="109"/>
        <w:gridCol w:w="109"/>
        <w:gridCol w:w="109"/>
        <w:gridCol w:w="109"/>
        <w:gridCol w:w="351"/>
        <w:gridCol w:w="1327"/>
        <w:gridCol w:w="181"/>
        <w:gridCol w:w="109"/>
        <w:gridCol w:w="109"/>
        <w:gridCol w:w="109"/>
        <w:gridCol w:w="211"/>
        <w:gridCol w:w="826"/>
        <w:gridCol w:w="154"/>
      </w:tblGrid>
      <w:tr>
        <w:trPr/>
        <w:tc>
          <w:tcPr>
            <w:tcW w:w="130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17"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Corporate Unallocated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exit and disposal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(34,893)</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18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Segment expenses consist primarily of raw materials, equipment depreciation, employee compensation including benefits, commissions and stock-based compensation, facilities costs and overhead allocations associated with the manufacturing process for molds and custom parts, marketing programs such as electronic, print and pay-per-click advertising and trade shows and other related costs for our United States and Europe reportable segments. Segment expenses for our Corporate Unallocated reportable segment consist primarily of personnel and outside service costs related to the development of new processes and product lines, enhancements of existing product lines, software developed for internal use, maintenance of internally developed software, quality assurance and testing,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compensation including benefits and stock-based compensation, severance, professional service fees related to accounting, tax and legal, and other related overhead costs.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 expenditures for additions to long-lived assets, and depreciation and amortization expense were as follows:</w:t>
      </w:r>
    </w:p>
    <w:tbl>
      <w:tblPr>
        <w:tblW w:w="4846" w:type="dxa"/>
        <w:jc w:val="left"/>
        <w:tblInd w:w="0" w:type="dxa"/>
        <w:tblLayout w:type="fixed"/>
        <w:tblCellMar>
          <w:top w:w="28" w:type="dxa"/>
          <w:left w:w="28" w:type="dxa"/>
          <w:bottom w:w="28" w:type="dxa"/>
          <w:right w:w="28" w:type="dxa"/>
        </w:tblCellMar>
      </w:tblPr>
      <w:tblGrid>
        <w:gridCol w:w="748"/>
        <w:gridCol w:w="659"/>
        <w:gridCol w:w="662"/>
        <w:gridCol w:w="211"/>
        <w:gridCol w:w="826"/>
        <w:gridCol w:w="109"/>
        <w:gridCol w:w="109"/>
        <w:gridCol w:w="109"/>
        <w:gridCol w:w="109"/>
        <w:gridCol w:w="231"/>
        <w:gridCol w:w="905"/>
        <w:gridCol w:w="168"/>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long-lived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215,261 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9120" w:type="dxa"/>
        <w:jc w:val="left"/>
        <w:tblInd w:w="0" w:type="dxa"/>
        <w:tblLayout w:type="fixed"/>
        <w:tblCellMar>
          <w:top w:w="28" w:type="dxa"/>
          <w:left w:w="28" w:type="dxa"/>
          <w:bottom w:w="28" w:type="dxa"/>
          <w:right w:w="28" w:type="dxa"/>
        </w:tblCellMar>
      </w:tblPr>
      <w:tblGrid>
        <w:gridCol w:w="1573"/>
        <w:gridCol w:w="1385"/>
        <w:gridCol w:w="139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73"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Expenditures for additions to long-lived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expenditures for additions to long-lived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8025" w:type="dxa"/>
        <w:jc w:val="left"/>
        <w:tblInd w:w="0" w:type="dxa"/>
        <w:tblLayout w:type="fixed"/>
        <w:tblCellMar>
          <w:top w:w="28" w:type="dxa"/>
          <w:left w:w="28" w:type="dxa"/>
          <w:bottom w:w="28" w:type="dxa"/>
          <w:right w:w="28" w:type="dxa"/>
        </w:tblCellMar>
      </w:tblPr>
      <w:tblGrid>
        <w:gridCol w:w="1101"/>
        <w:gridCol w:w="970"/>
        <w:gridCol w:w="974"/>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Unallocated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Revenue by product line for the three and six months ended June 30, 2026 and 2025 were as follows:</w:t>
      </w:r>
    </w:p>
    <w:tbl>
      <w:tblPr>
        <w:tblW w:w="7484" w:type="dxa"/>
        <w:jc w:val="left"/>
        <w:tblInd w:w="0" w:type="dxa"/>
        <w:tblLayout w:type="fixed"/>
        <w:tblCellMar>
          <w:top w:w="28" w:type="dxa"/>
          <w:left w:w="28" w:type="dxa"/>
          <w:bottom w:w="28" w:type="dxa"/>
          <w:right w:w="28" w:type="dxa"/>
        </w:tblCellMar>
      </w:tblPr>
      <w:tblGrid>
        <w:gridCol w:w="678"/>
        <w:gridCol w:w="596"/>
        <w:gridCol w:w="60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Injection Molding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CNC Machining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3D Printing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Sheet Metal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Private Securities Litigation Reform Act of 1995. Forward-looking statements include all statements that are not historical or current facts.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actual results to be materially different from those expressed or implied in such statements. Certain of these risk factors and others are described in Item 1A. “Risk Factors” of this Quarterly Report on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You should not place undue reliance on these forward-looking statements. We expressly disclaim any intent or obligation to update any forward-looking statements to reflect subsequent events or circumstances,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the world’s fastest manufacturing service enabling companies across every industry to streamline production of quality parts throughout the entire product life cycle. Our vision is accelerating innovation by revolutionizing manufacturing. Our mission is to shape the future by bringing customer ideas to life across every stage of their product cycle. We accomplish this by offering a variety of manufacturing capabilities fulfilled through a combination of owned manufacturing factories and a worldwide network of premium manufacturing partners. Our automated quoting and manufacturing systems are highly integrated with our manufacturing and fulfillment systems, which allow us to offer a vast array of manufacturing technologies in a variety of materials across a continuum of lead times and prices. Protolabs uses artificial intelligence (AI) in a number of different ways to improve our efficiency and the value we offer to customers, including: intelligent pricing and sourcing algorithms, automated quality inspection in injection molding, toolpath verification in CNC machining, software development, and various other AI end use cases. In the age of AI, we are well-positioned with our long history of leveraging technology to solve legacy manufacturing challenges and are deploying AI to power how we drive innovation to better serve our customers. AI is enabling us to move faster than ever before and continue to scale our business efficiently. Our technology-enabled digital engineering and manufacturing applications enable us to produce commercial-grade prototype and production plastic, metal, and liquid silicone rubber parts in as fast as one day.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customers conduct nearly all of their business with us over the Internet. We target our products to the millions of product developers and engineers who use three-dimensional computer-aided design (3D CAD) software to design products across a diverse range of end-markets, to the procurement and supply chain professionals seeking to easily and efficiently source custom parts on-demand, and to a wide variety of customers seeking to purchase custom parts. We believe our use of advanced technologies enables us to offer significant advantages at competitive prices to many customers and is the primary reason we have become a leading supplier of custom parts.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established our operations in the United States and Europe.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manufacturing product lines currently include Injection Molding, CNC Machining, 3D Printing and Sheet Metal. We continually seek to expand the range of sizes and geometric complexity of the parts we can make or source with these processes, to extend the variety of materials we are able to support, and to identify additional manufacturing processes to which we can apply our technology or incorporate into our manufacturing network in order to better serve the evolving preferences and needs of our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Key Financial Measures and Trends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operations are comprised of two geographic operating segments in the United States and Europe.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is derived from the sale of parts fulfilled through our owned manufacturing factories and worldwide network of premium manufacturing partners. Our product lines consist of Injection Molding, CNC Machining, 3D Printing and Sheet Metal.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Protolabs’ long-term strategy is to serve customers across the entire lifecycle of a part—from prototype through production. To support this long-term strategy, we have aligned the organization around four strategic pillars: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Elevate Customer Experience</w:t>
      </w:r>
      <w:r>
        <w:rPr>
          <w:color w:val="000000"/>
        </w:rPr>
        <w:t xml:space="preserve"> – </w:t>
      </w:r>
      <w:r>
        <w:rPr>
          <w:rFonts w:ascii="Times New Roman;serif" w:hAnsi="Times New Roman;serif"/>
          <w:b w:val="false"/>
          <w:color w:val="000000"/>
          <w:sz w:val="20"/>
        </w:rPr>
        <w:t>remove friction across the customer journey to deliver a best-in-class experience and increase revenue per customer. Enable employees to serve customers more efficiently, driving faster growth.</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Accelerate Innovation</w:t>
      </w:r>
      <w:r>
        <w:rPr>
          <w:color w:val="000000"/>
        </w:rPr>
        <w:t xml:space="preserve"> – </w:t>
      </w:r>
      <w:r>
        <w:rPr>
          <w:rFonts w:ascii="Times New Roman;serif" w:hAnsi="Times New Roman;serif"/>
          <w:b w:val="false"/>
          <w:color w:val="000000"/>
          <w:sz w:val="20"/>
        </w:rPr>
        <w:t>reaccelerate innovation across core manufacturing services to drive outsized growth and an accelerated pace of new releases. Leverage differentiated IP and deep manufacturing &amp; engineering talent.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Expand Production</w:t>
      </w:r>
      <w:r>
        <w:rPr>
          <w:color w:val="000000"/>
        </w:rPr>
        <w:t xml:space="preserve"> – </w:t>
      </w:r>
      <w:r>
        <w:rPr>
          <w:rFonts w:ascii="Times New Roman;serif" w:hAnsi="Times New Roman;serif"/>
          <w:b w:val="false"/>
          <w:color w:val="000000"/>
          <w:sz w:val="20"/>
        </w:rPr>
        <w:t>take a deliberate, customer-led approach—prioritizing the right customers, applications, and capabilities. Begin with most strategic customers and scale over time.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Drive Operational Efficiency</w:t>
      </w:r>
      <w:r>
        <w:rPr>
          <w:color w:val="000000"/>
        </w:rPr>
        <w:t xml:space="preserve"> – </w:t>
      </w:r>
      <w:r>
        <w:rPr>
          <w:rFonts w:ascii="Times New Roman;serif" w:hAnsi="Times New Roman;serif"/>
          <w:b w:val="false"/>
          <w:color w:val="000000"/>
          <w:sz w:val="20"/>
        </w:rPr>
        <w:t>expand our factory and Protolabs network gross margins and capture operating expense leverage via efficiencies and productivity. Reallocate resources and funds to invest in the highest-priority growth initiatives.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unique customer contacts and revenue per customer contact:</w:t>
      </w:r>
    </w:p>
    <w:tbl>
      <w:tblPr>
        <w:tblW w:w="8253" w:type="dxa"/>
        <w:jc w:val="left"/>
        <w:tblInd w:w="0" w:type="dxa"/>
        <w:tblLayout w:type="fixed"/>
        <w:tblCellMar>
          <w:top w:w="28" w:type="dxa"/>
          <w:left w:w="28" w:type="dxa"/>
          <w:bottom w:w="28" w:type="dxa"/>
          <w:right w:w="28" w:type="dxa"/>
        </w:tblCellMar>
      </w:tblPr>
      <w:tblGrid>
        <w:gridCol w:w="954"/>
        <w:gridCol w:w="840"/>
        <w:gridCol w:w="845"/>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thousands)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contacts</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33,136</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Revenue per customer contact</w:t>
            </w:r>
            <w:r>
              <w:rPr>
                <w:rFonts w:ascii="Times New Roman;serif" w:hAnsi="Times New Roman;serif"/>
                <w:b w:val="false"/>
                <w:color w:val="000000"/>
                <w:sz w:val="13"/>
              </w:rPr>
              <w:t>1</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$7,885</w:t>
            </w:r>
          </w:p>
        </w:tc>
      </w:tr>
      <w:tr>
        <w:trPr/>
        <w:tc>
          <w:tcPr>
            <w:tcW w:w="26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Revenue per customer contact is calculated using the revenue recognized during the respective period divided by the actual number of customer contacts served during the same period. Customer contacts are product developers, engineers, procurement and supply chain professionals and other individuals who place an order, and that order is shipped and invoiced during the period. The Company believes revenue per customer contact is useful to investors in evaluating the underlying business trends and ongoing operating performance of the Company.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Cost of Revenue, Gross Profit and Gross Margin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Cost of revenue consists primarily of raw materials, equipment depreciation, employee compensation (including benefits and stock-based compensation), facilities costs, overhead allocations associated with the manufacturing process for molds and custom parts, and costs to procure parts through our network of premium manufacturing partners. We expect our personnel-related costs to increase in order to retain and attract top talent and remain competitive in the market. Overall, we expect cost of revenue to increase in absolute dollars as our business grows.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define gross profit as our revenue less our cost of revenue, and gross margin as gross profit expressed as a percentage of revenue. Our gross profit and gross margin are affected by many factors, including the mix of revenue produced in our internal manufacturing operations and outsourced to our external manufacturing partners, pricing, sales volume, manufacturing costs, costs associated with increasing production capacity, the mix between domestic and foreign revenue sources, the mix of revenue by product line, and foreign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consist of marketing and sales, research and development and general and administrative expenses. Personnel-related costs are the most significant component in each of these categories.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business strategy is to continue to be a leading online and technology-enabled manufacturer of quick-turn, on-demand injection-molded, CNC-machined, 3D-printed and fabricated sheet metal custom parts for prototyping and low-volume production. In order to achieve our goals, we anticipate continued substantial investments in technology and personnel, resulting in increased operating expenses in the future.</w:t>
      </w:r>
    </w:p>
    <w:p>
      <w:pPr>
        <w:pStyle w:val="TextBody"/>
        <w:bidi w:val="0"/>
        <w:spacing w:lineRule="auto" w:line="288" w:before="200" w:after="283"/>
        <w:jc w:val="left"/>
        <w:rPr/>
      </w:pPr>
      <w:r>
        <w:rPr>
          <w:rFonts w:ascii="Times New Roman;serif" w:hAnsi="Times New Roman;serif"/>
          <w:b w:val="false"/>
          <w:i/>
          <w:color w:val="000000"/>
          <w:sz w:val="20"/>
        </w:rPr>
        <w:t xml:space="preserve">Marketing and sales. </w:t>
      </w:r>
      <w:r>
        <w:rPr>
          <w:rFonts w:ascii="Times New Roman;serif" w:hAnsi="Times New Roman;serif"/>
          <w:b w:val="false"/>
          <w:color w:val="000000"/>
          <w:sz w:val="20"/>
        </w:rPr>
        <w:t>Marketing and sales expense consists primarily of employee compensation, benefits, commissions, stock-based compensation, marketing demand generation costs such as electronic, print and pay-per-click advertising, trade shows and other related overhead. We expect sales and marketing expense to increase in the future as we increase the number of marketing and sales professionals and marketing demand generation costs targeted to increase our customer base and grow revenue.</w:t>
      </w:r>
    </w:p>
    <w:p>
      <w:pPr>
        <w:pStyle w:val="TextBody"/>
        <w:bidi w:val="0"/>
        <w:spacing w:lineRule="auto" w:line="288" w:before="200" w:after="283"/>
        <w:jc w:val="left"/>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 xml:space="preserve">Research and development expense consists primarily of personnel and outside service costs related to the development of new 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serif" w:hAnsi="Times New Roman;serif"/>
          <w:b w:val="false"/>
          <w:i/>
          <w:color w:val="000000"/>
          <w:sz w:val="20"/>
        </w:rPr>
        <w:t>Intangibles — Goodwill and Other, Internal-Use Software</w:t>
      </w:r>
      <w:r>
        <w:rPr>
          <w:rFonts w:ascii="Times New Roman;serif" w:hAnsi="Times New Roman;serif"/>
          <w:b w:val="false"/>
          <w:color w:val="000000"/>
          <w:sz w:val="20"/>
        </w:rPr>
        <w:t>. We expect research and development expense to increase in the future as we seek to enhance our e-commerce interface technology, internal software and supporting business systems, and continue to expand our product lines.</w:t>
      </w:r>
    </w:p>
    <w:p>
      <w:pPr>
        <w:pStyle w:val="TextBody"/>
        <w:bidi w:val="0"/>
        <w:spacing w:lineRule="auto" w:line="288" w:before="200" w:after="283"/>
        <w:jc w:val="left"/>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 consists primarily of employee compensation, benefits, stock-based compensation, professional service fees related to accounting, tax and legal, and other related overhead. We expect general and administrative expense to increase in the future as we continue to grow and expand as a global organization.</w:t>
      </w:r>
    </w:p>
    <w:p>
      <w:pPr>
        <w:pStyle w:val="TextBody"/>
        <w:bidi w:val="0"/>
        <w:spacing w:lineRule="auto" w:line="288" w:before="200" w:after="283"/>
        <w:jc w:val="left"/>
        <w:rPr/>
      </w:pPr>
      <w:r>
        <w:rPr>
          <w:rFonts w:ascii="Times New Roman;serif" w:hAnsi="Times New Roman;serif"/>
          <w:b w:val="false"/>
          <w:i/>
          <w:color w:val="000000"/>
          <w:sz w:val="20"/>
        </w:rPr>
        <w:t>Restructuring and transformation costs</w:t>
      </w:r>
      <w:r>
        <w:rPr>
          <w:rFonts w:ascii="Times New Roman;serif" w:hAnsi="Times New Roman;serif"/>
          <w:b w:val="false"/>
          <w:color w:val="000000"/>
          <w:sz w:val="20"/>
        </w:rPr>
        <w:t>. Restructuring and transformation costs consist of expenses related to actions taken to improve operational efficiency and streamline the organization. Such costs include employee severance and related benefits, professional fees, and other charges in connection with organizational realignments. Cost savings generated from these initiatives are being redeployed primarily into technology investments, including enhancements to core systems, automation, and digital capabilities, to support growth in our core business and further drive scale and efficiency.</w:t>
      </w:r>
    </w:p>
    <w:p>
      <w:pPr>
        <w:pStyle w:val="TextBody"/>
        <w:bidi w:val="0"/>
        <w:spacing w:lineRule="auto" w:line="288" w:before="200" w:after="283"/>
        <w:jc w:val="left"/>
        <w:rPr/>
      </w:pPr>
      <w:r>
        <w:rPr>
          <w:rFonts w:ascii="Times New Roman;serif" w:hAnsi="Times New Roman;serif"/>
          <w:b w:val="false"/>
          <w:i/>
          <w:color w:val="000000"/>
          <w:sz w:val="20"/>
        </w:rPr>
        <w:t>Costs related to disposal and exit activities.</w:t>
      </w:r>
      <w:r>
        <w:rPr>
          <w:color w:val="000000"/>
        </w:rPr>
        <w:t xml:space="preserve"> </w:t>
      </w:r>
      <w:r>
        <w:rPr>
          <w:rFonts w:ascii="Times New Roman;serif" w:hAnsi="Times New Roman;serif"/>
          <w:b w:val="false"/>
          <w:color w:val="000000"/>
          <w:sz w:val="20"/>
        </w:rPr>
        <w:t>Costs related to disposal and exit activities are driven by our decision to close certain manufacturing facilities in Germany. The expenses consist primarily of operating expenses, including write-down of property and equipment and facility-related charges, and employee severance. Benefits may result from adjustments to initial estimates regarding the nature and timing of disposal and exit activities.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Other income, net primarily consists of foreign currency-related gains and losses and interest income on cash balances and investments. Our foreign currency-related gains and losses will vary depending upon movements in underlying foreign currency exchange rates. Our interest income will vary each reporting period depending on our average cash balances during the period, composition of our marketable security portfolio and the current level of interest rates.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is comprised of federal, state, local and foreign taxes based on pre-tax income. Overall, our effective tax rate for 2026 and beyond may differ from historical effective tax rates due to increases in losses in foreign operations that are not eligible for tax benefits on account of valuation allowances, as well as any future tax law changes that may impact our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results of operations and the related changes for the periods indicated. The results below are not necessarily indicative of results for future periods. </w:t>
      </w:r>
    </w:p>
    <w:tbl>
      <w:tblPr>
        <w:tblW w:w="17083" w:type="dxa"/>
        <w:jc w:val="left"/>
        <w:tblInd w:w="0" w:type="dxa"/>
        <w:tblLayout w:type="fixed"/>
        <w:tblCellMar>
          <w:top w:w="28" w:type="dxa"/>
          <w:left w:w="28" w:type="dxa"/>
          <w:bottom w:w="28" w:type="dxa"/>
          <w:right w:w="28" w:type="dxa"/>
        </w:tblCellMar>
      </w:tblPr>
      <w:tblGrid>
        <w:gridCol w:w="702"/>
        <w:gridCol w:w="301"/>
        <w:gridCol w:w="303"/>
        <w:gridCol w:w="211"/>
        <w:gridCol w:w="826"/>
        <w:gridCol w:w="109"/>
        <w:gridCol w:w="109"/>
        <w:gridCol w:w="109"/>
        <w:gridCol w:w="109"/>
        <w:gridCol w:w="285"/>
        <w:gridCol w:w="286"/>
        <w:gridCol w:w="271"/>
        <w:gridCol w:w="109"/>
        <w:gridCol w:w="109"/>
        <w:gridCol w:w="109"/>
        <w:gridCol w:w="211"/>
        <w:gridCol w:w="826"/>
        <w:gridCol w:w="109"/>
        <w:gridCol w:w="109"/>
        <w:gridCol w:w="109"/>
        <w:gridCol w:w="109"/>
        <w:gridCol w:w="285"/>
        <w:gridCol w:w="286"/>
        <w:gridCol w:w="271"/>
        <w:gridCol w:w="109"/>
        <w:gridCol w:w="109"/>
        <w:gridCol w:w="109"/>
        <w:gridCol w:w="211"/>
        <w:gridCol w:w="721"/>
        <w:gridCol w:w="109"/>
        <w:gridCol w:w="109"/>
        <w:gridCol w:w="109"/>
        <w:gridCol w:w="109"/>
        <w:gridCol w:w="307"/>
        <w:gridCol w:w="309"/>
        <w:gridCol w:w="271"/>
        <w:gridCol w:w="109"/>
        <w:gridCol w:w="109"/>
        <w:gridCol w:w="109"/>
        <w:gridCol w:w="211"/>
        <w:gridCol w:w="826"/>
        <w:gridCol w:w="109"/>
        <w:gridCol w:w="109"/>
        <w:gridCol w:w="109"/>
        <w:gridCol w:w="109"/>
        <w:gridCol w:w="285"/>
        <w:gridCol w:w="286"/>
        <w:gridCol w:w="271"/>
        <w:gridCol w:w="109"/>
        <w:gridCol w:w="109"/>
        <w:gridCol w:w="109"/>
        <w:gridCol w:w="211"/>
        <w:gridCol w:w="826"/>
        <w:gridCol w:w="109"/>
        <w:gridCol w:w="109"/>
        <w:gridCol w:w="109"/>
        <w:gridCol w:w="109"/>
        <w:gridCol w:w="285"/>
        <w:gridCol w:w="286"/>
        <w:gridCol w:w="271"/>
        <w:gridCol w:w="109"/>
        <w:gridCol w:w="109"/>
        <w:gridCol w:w="109"/>
        <w:gridCol w:w="211"/>
        <w:gridCol w:w="721"/>
        <w:gridCol w:w="109"/>
        <w:gridCol w:w="327"/>
        <w:gridCol w:w="616"/>
        <w:gridCol w:w="271"/>
        <w:gridCol w:w="372"/>
      </w:tblGrid>
      <w:tr>
        <w:trPr/>
        <w:tc>
          <w:tcPr>
            <w:tcW w:w="70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thousands)</w:t>
            </w:r>
          </w:p>
        </w:tc>
        <w:tc>
          <w:tcPr>
            <w:tcW w:w="23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transformation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exit and disposal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 Percentage change not meaningful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Stock-based compensation expense included in the statements of operations data above for the three and six months ended June 30, 2026 and 2025 were as follows:</w:t>
      </w:r>
    </w:p>
    <w:tbl>
      <w:tblPr>
        <w:tblW w:w="8827" w:type="dxa"/>
        <w:jc w:val="left"/>
        <w:tblInd w:w="0" w:type="dxa"/>
        <w:tblLayout w:type="fixed"/>
        <w:tblCellMar>
          <w:top w:w="28" w:type="dxa"/>
          <w:left w:w="28" w:type="dxa"/>
          <w:bottom w:w="28" w:type="dxa"/>
          <w:right w:w="28" w:type="dxa"/>
        </w:tblCellMar>
      </w:tblPr>
      <w:tblGrid>
        <w:gridCol w:w="1248"/>
        <w:gridCol w:w="1097"/>
        <w:gridCol w:w="1105"/>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RSUs and PSUs</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Marketing and sales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development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General and administrative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4,088 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Comparison of Three Months Ended June 30, 2026 and 2025</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Revenue by reportable segment and the related changes for the three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535"/>
        <w:gridCol w:w="471"/>
        <w:gridCol w:w="474"/>
        <w:gridCol w:w="211"/>
        <w:gridCol w:w="826"/>
        <w:gridCol w:w="109"/>
        <w:gridCol w:w="109"/>
        <w:gridCol w:w="109"/>
        <w:gridCol w:w="109"/>
        <w:gridCol w:w="392"/>
        <w:gridCol w:w="306"/>
        <w:gridCol w:w="764"/>
        <w:gridCol w:w="109"/>
        <w:gridCol w:w="109"/>
        <w:gridCol w:w="109"/>
        <w:gridCol w:w="211"/>
        <w:gridCol w:w="826"/>
        <w:gridCol w:w="109"/>
        <w:gridCol w:w="109"/>
        <w:gridCol w:w="109"/>
        <w:gridCol w:w="109"/>
        <w:gridCol w:w="392"/>
        <w:gridCol w:w="306"/>
        <w:gridCol w:w="764"/>
        <w:gridCol w:w="109"/>
        <w:gridCol w:w="109"/>
        <w:gridCol w:w="109"/>
        <w:gridCol w:w="211"/>
        <w:gridCol w:w="721"/>
        <w:gridCol w:w="109"/>
        <w:gridCol w:w="109"/>
        <w:gridCol w:w="109"/>
        <w:gridCol w:w="109"/>
        <w:gridCol w:w="255"/>
        <w:gridCol w:w="256"/>
        <w:gridCol w:w="322"/>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7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7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7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7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revenue increased $14.3 million, or 10.6%, for the three months ended June 30, 2026 compared to the same period in 2025. The growth in revenue was primarily driven by an increase in CNC and Injection Molding revenue in the United States from key growth industries, primarily aerospace and defense, and market dynamics that have driven increases in price. By reportable segment, revenue in the United States increased $12.0 million, or 10.9%, for the three months ended June 30, 2026 compared to the same period in 2025. Revenue in Europe increased $2.2 million, or 9.2%, for the three months ended June 30, 2026 compared to the same period in 2025. International revenue was favorably impacted by $0.4 million during the three months ended June 30, 2026 compared to the same period in 2025 as a result of foreign currency movements, primarily due to the strengthening of the Euro relative to the United States Dollar.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served 20,630 unique customer contacts, which is a decrease of 5.3% from the same period in 2025. During the three months ended June 30, 2026, our customer contacts served decreased while our revenue grew. This was primarily due to our mix of customers served in the quarter as compared to the same period in 2025 and our focus on larger, more strategic customers as we strive to be their supplier of choice by serving their custom parts needs through our comprehensive offer. Our revenue per customer contact grew 16.7% for the three months ended June 30, 2026 compared to the same period in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Revenue by product line and the related changes for the three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559"/>
        <w:gridCol w:w="462"/>
        <w:gridCol w:w="465"/>
        <w:gridCol w:w="211"/>
        <w:gridCol w:w="826"/>
        <w:gridCol w:w="109"/>
        <w:gridCol w:w="109"/>
        <w:gridCol w:w="109"/>
        <w:gridCol w:w="109"/>
        <w:gridCol w:w="397"/>
        <w:gridCol w:w="316"/>
        <w:gridCol w:w="748"/>
        <w:gridCol w:w="109"/>
        <w:gridCol w:w="109"/>
        <w:gridCol w:w="109"/>
        <w:gridCol w:w="211"/>
        <w:gridCol w:w="826"/>
        <w:gridCol w:w="109"/>
        <w:gridCol w:w="109"/>
        <w:gridCol w:w="109"/>
        <w:gridCol w:w="109"/>
        <w:gridCol w:w="397"/>
        <w:gridCol w:w="316"/>
        <w:gridCol w:w="748"/>
        <w:gridCol w:w="109"/>
        <w:gridCol w:w="109"/>
        <w:gridCol w:w="109"/>
        <w:gridCol w:w="211"/>
        <w:gridCol w:w="721"/>
        <w:gridCol w:w="109"/>
        <w:gridCol w:w="109"/>
        <w:gridCol w:w="109"/>
        <w:gridCol w:w="109"/>
        <w:gridCol w:w="255"/>
        <w:gridCol w:w="256"/>
        <w:gridCol w:w="318"/>
      </w:tblGrid>
      <w:tr>
        <w:trPr/>
        <w:tc>
          <w:tcPr>
            <w:tcW w:w="5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Injection Molding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CNC Machining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3D Printing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Sheet Metal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149,341 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4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4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1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By product line, our revenue increase was driven by a 13.6% increase in CNC Machining revenue, a 13.1% increase in Injection Molding revenue, and a 3.7% increase in Sheet Metal revenue, partially offset by a 2.6% decrease in 3D Printing revenue for the three months ended June 30, 2026 compared to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Revenue, Gross Profit and Gross Margin </w:t>
      </w:r>
    </w:p>
    <w:p>
      <w:pPr>
        <w:pStyle w:val="TextBody"/>
        <w:bidi w:val="0"/>
        <w:spacing w:lineRule="auto" w:line="288" w:before="200" w:after="283"/>
        <w:jc w:val="left"/>
        <w:rPr/>
      </w:pPr>
      <w:r>
        <w:rPr>
          <w:rFonts w:ascii="Times New Roman;serif" w:hAnsi="Times New Roman;serif"/>
          <w:b w:val="false"/>
          <w:i/>
          <w:color w:val="000000"/>
          <w:sz w:val="20"/>
        </w:rPr>
        <w:t xml:space="preserve">Cost of Revenue. </w:t>
      </w:r>
      <w:r>
        <w:rPr>
          <w:rFonts w:ascii="Times New Roman;serif" w:hAnsi="Times New Roman;serif"/>
          <w:b w:val="false"/>
          <w:color w:val="000000"/>
          <w:sz w:val="20"/>
        </w:rPr>
        <w:t>Cost of revenue increased $4.7 million, or 6.3%, for the three months ended June 30, 2026 compared to the same period in 2025, while revenue increased 10.6% for the three months ended June 30, 2026 compared to the same period in 2025. The increase in the cost of revenue of $4.7 million was primarily driven by higher revenue volumes resulting in increases of $3.2 million in personnel and related costs, primarily due to increases in head count and overtime costs and contract labor to meet increased order volume, $1.2 million in raw material and production costs, and $0.3 million of equipment and facility related costs during the three months ended June 30, 2026 compared to the same period in 2025.</w:t>
      </w:r>
    </w:p>
    <w:p>
      <w:pPr>
        <w:pStyle w:val="TextBody"/>
        <w:bidi w:val="0"/>
        <w:spacing w:lineRule="auto" w:line="288" w:before="200" w:after="283"/>
        <w:jc w:val="left"/>
        <w:rPr/>
      </w:pPr>
      <w:r>
        <w:rPr>
          <w:rFonts w:ascii="Times New Roman;serif" w:hAnsi="Times New Roman;serif"/>
          <w:b w:val="false"/>
          <w:i/>
          <w:color w:val="000000"/>
          <w:sz w:val="20"/>
        </w:rPr>
        <w:t xml:space="preserve">Gross Profit and Gross Margin. </w:t>
      </w:r>
      <w:r>
        <w:rPr>
          <w:rFonts w:ascii="Times New Roman;serif" w:hAnsi="Times New Roman;serif"/>
          <w:b w:val="false"/>
          <w:color w:val="000000"/>
          <w:sz w:val="20"/>
        </w:rPr>
        <w:t>Gross profit increased $9.6 million, or 16.0%, for the three months ended June 30, 2026 compared to the same period in 2025. Gross margin increased to 46.4% in the three months ended June 30, 2026 from 44.3% in the same period in 2025.</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 Other Income, net and Provision for Income Taxes</w:t>
      </w:r>
    </w:p>
    <w:p>
      <w:pPr>
        <w:pStyle w:val="TextBody"/>
        <w:bidi w:val="0"/>
        <w:spacing w:lineRule="auto" w:line="288" w:before="200" w:after="283"/>
        <w:jc w:val="left"/>
        <w:rPr/>
      </w:pPr>
      <w:r>
        <w:rPr>
          <w:rFonts w:ascii="Times New Roman;serif" w:hAnsi="Times New Roman;serif"/>
          <w:b w:val="false"/>
          <w:i/>
          <w:color w:val="000000"/>
          <w:sz w:val="20"/>
        </w:rPr>
        <w:t xml:space="preserve">Marketing and Sales. </w:t>
      </w:r>
      <w:r>
        <w:rPr>
          <w:rFonts w:ascii="Times New Roman;serif" w:hAnsi="Times New Roman;serif"/>
          <w:b w:val="false"/>
          <w:color w:val="000000"/>
          <w:sz w:val="20"/>
        </w:rPr>
        <w:t>Our marketing and sales expenses increased $1.0 million during the three months ended June 30, 2026 compared to the same period in 2025 primarily due to increases in marketing program costs of $0.6 million and $0.3 million of personnel and related costs.</w:t>
      </w:r>
    </w:p>
    <w:p>
      <w:pPr>
        <w:pStyle w:val="TextBody"/>
        <w:bidi w:val="0"/>
        <w:spacing w:lineRule="auto" w:line="288" w:before="200" w:after="283"/>
        <w:jc w:val="left"/>
        <w:rPr/>
      </w:pPr>
      <w:r>
        <w:rPr>
          <w:rFonts w:ascii="Times New Roman;serif" w:hAnsi="Times New Roman;serif"/>
          <w:b w:val="false"/>
          <w:i/>
          <w:color w:val="000000"/>
          <w:sz w:val="20"/>
        </w:rPr>
        <w:t xml:space="preserve">Research and Development. </w:t>
      </w:r>
      <w:r>
        <w:rPr>
          <w:rFonts w:ascii="Times New Roman;serif" w:hAnsi="Times New Roman;serif"/>
          <w:b w:val="false"/>
          <w:color w:val="000000"/>
          <w:sz w:val="20"/>
        </w:rPr>
        <w:t>Our research and development expenses decreased $0.4 million, or 3.4%, during the three months ended June 30, 2026 compared to the same period in 2025 primarily due to decreases in personnel and related costs of $0.9 million, partially offset by increases of $0.3 million in professional services and $0.2 million in operating costs.</w:t>
      </w:r>
    </w:p>
    <w:p>
      <w:pPr>
        <w:pStyle w:val="TextBody"/>
        <w:bidi w:val="0"/>
        <w:spacing w:lineRule="auto" w:line="288" w:before="200" w:after="283"/>
        <w:jc w:val="left"/>
        <w:rPr/>
      </w:pP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 xml:space="preserve">Our general and administrative expenses increased $0.9 million, or 4.8%, during the three months ended June 30, 2026 compared to the same period in 2025 primarily due to increases in professional services of $0.7 million and $0.5 million of administrative costs, partially offset by decreases of $0.2 million in stock-based compensation and $0.1 million of personnel and related costs. </w:t>
      </w:r>
    </w:p>
    <w:p>
      <w:pPr>
        <w:pStyle w:val="TextBody"/>
        <w:bidi w:val="0"/>
        <w:spacing w:lineRule="auto" w:line="288" w:before="200" w:after="283"/>
        <w:jc w:val="left"/>
        <w:rPr/>
      </w:pPr>
      <w:r>
        <w:rPr>
          <w:rFonts w:ascii="Times New Roman;serif" w:hAnsi="Times New Roman;serif"/>
          <w:b w:val="false"/>
          <w:i/>
          <w:color w:val="000000"/>
          <w:sz w:val="20"/>
        </w:rPr>
        <w:t>Restructuring and transformation costs</w:t>
      </w:r>
      <w:r>
        <w:rPr>
          <w:rFonts w:ascii="Times New Roman;serif" w:hAnsi="Times New Roman;serif"/>
          <w:b w:val="false"/>
          <w:color w:val="000000"/>
          <w:sz w:val="20"/>
        </w:rPr>
        <w:t>. Restructuring and transformation costs include expenses related to actions taken to improve operational efficiency and streamline the organization and resulted in $0.9 million in operating expenses during 2026 primarily related to professional services and severance and related benefit costs. We had no restructuring and transformation costs for the same period in 2025.</w:t>
      </w:r>
    </w:p>
    <w:p>
      <w:pPr>
        <w:pStyle w:val="TextBody"/>
        <w:bidi w:val="0"/>
        <w:spacing w:lineRule="auto" w:line="288" w:before="200" w:after="283"/>
        <w:jc w:val="left"/>
        <w:rPr/>
      </w:pPr>
      <w:r>
        <w:rPr>
          <w:rFonts w:ascii="Times New Roman;serif" w:hAnsi="Times New Roman;serif"/>
          <w:b w:val="false"/>
          <w:i/>
          <w:color w:val="000000"/>
          <w:sz w:val="20"/>
        </w:rPr>
        <w:t>Costs related to exit and disposal.</w:t>
      </w:r>
      <w:r>
        <w:rPr>
          <w:color w:val="000000"/>
        </w:rPr>
        <w:t xml:space="preserve"> </w:t>
      </w:r>
      <w:r>
        <w:rPr>
          <w:rFonts w:ascii="Times New Roman;serif" w:hAnsi="Times New Roman;serif"/>
          <w:b w:val="false"/>
          <w:color w:val="000000"/>
          <w:sz w:val="20"/>
        </w:rPr>
        <w:t xml:space="preserve">Costs related to disposal and exit activities are primarily driven by our decision to close certain manufacturing facilities in Germany. Our costs related to exit and disposal increased $0.8 million primarily related to the write-down of the abandoned facility right-of-use asset of $0.9 million during the three months ended June 30, 2026. </w:t>
      </w:r>
    </w:p>
    <w:p>
      <w:pPr>
        <w:pStyle w:val="TextBody"/>
        <w:bidi w:val="0"/>
        <w:spacing w:lineRule="auto" w:line="288" w:before="200" w:after="283"/>
        <w:jc w:val="left"/>
        <w:rPr/>
      </w:pPr>
      <w:r>
        <w:rPr>
          <w:rFonts w:ascii="Times New Roman;serif" w:hAnsi="Times New Roman;serif"/>
          <w:b w:val="false"/>
          <w:i/>
          <w:color w:val="000000"/>
          <w:sz w:val="20"/>
        </w:rPr>
        <w:t xml:space="preserve">Other income, net. </w:t>
      </w:r>
      <w:r>
        <w:rPr>
          <w:rFonts w:ascii="Times New Roman;serif" w:hAnsi="Times New Roman;serif"/>
          <w:b w:val="false"/>
          <w:color w:val="000000"/>
          <w:sz w:val="20"/>
        </w:rPr>
        <w:t>We recognized other income, net of $1.2 million for the three months ended June 30, 2026, a decrease of $0.5 million compared to the same period in 2025. Other income, net for the current quarter primarily consisted of $1.3 million in interest income on investments, and $0.1 million of other income partially offset by $0.2 million of foreign currency losses. Other income, net for the three months ended June 30, 2025 primarily consisted of $1.1 million in interest income on investments, $0.5 million of foreign currency gains and $0.1 million of other income.</w:t>
      </w:r>
    </w:p>
    <w:p>
      <w:pPr>
        <w:pStyle w:val="TextBody"/>
        <w:bidi w:val="0"/>
        <w:spacing w:lineRule="auto" w:line="288" w:before="200" w:after="283"/>
        <w:jc w:val="left"/>
        <w:rPr/>
      </w:pPr>
      <w:r>
        <w:rPr>
          <w:rFonts w:ascii="Times New Roman;serif" w:hAnsi="Times New Roman;serif"/>
          <w:b w:val="false"/>
          <w:i/>
          <w:color w:val="000000"/>
          <w:sz w:val="20"/>
        </w:rPr>
        <w:t xml:space="preserve">Provision for Income Taxes. </w:t>
      </w:r>
      <w:r>
        <w:rPr>
          <w:rFonts w:ascii="Times New Roman;serif" w:hAnsi="Times New Roman;serif"/>
          <w:b w:val="false"/>
          <w:color w:val="000000"/>
          <w:sz w:val="20"/>
        </w:rPr>
        <w:t>Our effective tax rate of 27.4% for the three months ended June 30, 2026 decreased 6.3% compared to 33.7% for the same period in 2025. The decrease in the effective tax rate was primarily due to an increase in tax benefits from the vesting of restricted stock and the exercise of stock options. Our income tax provision of $3.5 million for the three months ended June 30, 2026 increased $1.2 million as compared to our income tax provision of $2.2 million for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Comparison of Six Months Ended June 30, 2026 and 2025</w:t>
      </w:r>
    </w:p>
    <w:p>
      <w:pPr>
        <w:pStyle w:val="TextBody"/>
        <w:bidi w:val="0"/>
        <w:spacing w:lineRule="auto" w:line="276"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Revenue by reportable segment and the related changes for the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535"/>
        <w:gridCol w:w="471"/>
        <w:gridCol w:w="474"/>
        <w:gridCol w:w="211"/>
        <w:gridCol w:w="826"/>
        <w:gridCol w:w="109"/>
        <w:gridCol w:w="109"/>
        <w:gridCol w:w="109"/>
        <w:gridCol w:w="109"/>
        <w:gridCol w:w="392"/>
        <w:gridCol w:w="306"/>
        <w:gridCol w:w="764"/>
        <w:gridCol w:w="109"/>
        <w:gridCol w:w="109"/>
        <w:gridCol w:w="109"/>
        <w:gridCol w:w="211"/>
        <w:gridCol w:w="826"/>
        <w:gridCol w:w="109"/>
        <w:gridCol w:w="109"/>
        <w:gridCol w:w="109"/>
        <w:gridCol w:w="109"/>
        <w:gridCol w:w="392"/>
        <w:gridCol w:w="306"/>
        <w:gridCol w:w="764"/>
        <w:gridCol w:w="109"/>
        <w:gridCol w:w="109"/>
        <w:gridCol w:w="109"/>
        <w:gridCol w:w="211"/>
        <w:gridCol w:w="721"/>
        <w:gridCol w:w="109"/>
        <w:gridCol w:w="109"/>
        <w:gridCol w:w="109"/>
        <w:gridCol w:w="109"/>
        <w:gridCol w:w="255"/>
        <w:gridCol w:w="256"/>
        <w:gridCol w:w="322"/>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7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7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283"/>
        <w:jc w:val="left"/>
        <w:rPr>
          <w:rFonts w:ascii="Times New Roman;serif" w:hAnsi="Times New Roman;serif"/>
          <w:b w:val="false"/>
          <w:color w:val="000000"/>
          <w:sz w:val="20"/>
        </w:rPr>
      </w:pPr>
      <w:r>
        <w:rPr>
          <w:rFonts w:ascii="Times New Roman;serif" w:hAnsi="Times New Roman;serif"/>
          <w:b w:val="false"/>
          <w:color w:val="000000"/>
          <w:sz w:val="20"/>
        </w:rPr>
        <w:t>Our revenue increased $27.4 million, or 10.5%, for the six months ended June 30, 2026 compared to the same period in 2025. By reportable segment, revenue in the United States increased $23.9 million, or 11.3%, for the six months ended June 30, 2026 compared to the same period in 2025. Revenue in Europe increased $3.5 million, or 7.0%, for the six months ended June 30, 2026 compared to the same period in 2025. International revenues were favorably impacted by $2.6 million during the six months ended June 30, 2026 compared to the same period in 2025 as a result of foreign currency movements, primarily due to the strengthening of the British Pound and Euro relative to the United States Dollar.</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served 31,069 unique customer contacts, a decrease of 6.2% from the same period in 2025. This was primarily due to our mix of customers served in the quarter as compared to the same period in 2025 and our focus on larger, more strategic customers as we strive to be their supplier of choice by serving their custom parts needs through our comprehensive offer. Our revenue per customer contact grew 17.8% for the six months ended June 30, 2026 compared to the same period in 2025.</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Revenue by product line and the related changes for the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559"/>
        <w:gridCol w:w="462"/>
        <w:gridCol w:w="465"/>
        <w:gridCol w:w="211"/>
        <w:gridCol w:w="826"/>
        <w:gridCol w:w="109"/>
        <w:gridCol w:w="109"/>
        <w:gridCol w:w="109"/>
        <w:gridCol w:w="109"/>
        <w:gridCol w:w="397"/>
        <w:gridCol w:w="316"/>
        <w:gridCol w:w="748"/>
        <w:gridCol w:w="109"/>
        <w:gridCol w:w="109"/>
        <w:gridCol w:w="109"/>
        <w:gridCol w:w="211"/>
        <w:gridCol w:w="826"/>
        <w:gridCol w:w="109"/>
        <w:gridCol w:w="109"/>
        <w:gridCol w:w="109"/>
        <w:gridCol w:w="109"/>
        <w:gridCol w:w="397"/>
        <w:gridCol w:w="316"/>
        <w:gridCol w:w="748"/>
        <w:gridCol w:w="109"/>
        <w:gridCol w:w="109"/>
        <w:gridCol w:w="109"/>
        <w:gridCol w:w="211"/>
        <w:gridCol w:w="721"/>
        <w:gridCol w:w="109"/>
        <w:gridCol w:w="109"/>
        <w:gridCol w:w="109"/>
        <w:gridCol w:w="109"/>
        <w:gridCol w:w="255"/>
        <w:gridCol w:w="256"/>
        <w:gridCol w:w="318"/>
      </w:tblGrid>
      <w:tr>
        <w:trPr/>
        <w:tc>
          <w:tcPr>
            <w:tcW w:w="5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Injection Molding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CNC Machining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3D Printing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Sheet Metal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283"/>
        <w:jc w:val="left"/>
        <w:rPr>
          <w:rFonts w:ascii="Times New Roman;serif" w:hAnsi="Times New Roman;serif"/>
          <w:b w:val="false"/>
          <w:color w:val="000000"/>
          <w:sz w:val="20"/>
        </w:rPr>
      </w:pPr>
      <w:r>
        <w:rPr>
          <w:rFonts w:ascii="Times New Roman;serif" w:hAnsi="Times New Roman;serif"/>
          <w:b w:val="false"/>
          <w:color w:val="000000"/>
          <w:sz w:val="20"/>
        </w:rPr>
        <w:t>By product line, our revenue increase was driven by a 16.4% increase in CNC Machining revenue, an 8.9% increase in Injection Molding revenue and a 3.5% increase in Sheet Metal revenue, partially offset by a 0.7% decrease in 3D Printing revenue in each case for the six months ended June 30, 2026 compared to the same period in 2025.</w:t>
      </w:r>
    </w:p>
    <w:p>
      <w:pPr>
        <w:pStyle w:val="TextBody"/>
        <w:bidi w:val="0"/>
        <w:spacing w:lineRule="auto" w:line="276"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Revenue, Gross Profit and Gross Margin </w:t>
      </w:r>
    </w:p>
    <w:p>
      <w:pPr>
        <w:pStyle w:val="TextBody"/>
        <w:bidi w:val="0"/>
        <w:spacing w:lineRule="auto" w:line="276" w:before="200" w:after="283"/>
        <w:jc w:val="left"/>
        <w:rPr/>
      </w:pPr>
      <w:r>
        <w:rPr>
          <w:rFonts w:ascii="Times New Roman;serif" w:hAnsi="Times New Roman;serif"/>
          <w:b w:val="false"/>
          <w:i/>
          <w:color w:val="000000"/>
          <w:sz w:val="20"/>
        </w:rPr>
        <w:t xml:space="preserve">Cost of Revenue. </w:t>
      </w:r>
      <w:r>
        <w:rPr>
          <w:rFonts w:ascii="Times New Roman;serif" w:hAnsi="Times New Roman;serif"/>
          <w:b w:val="false"/>
          <w:color w:val="000000"/>
          <w:sz w:val="20"/>
        </w:rPr>
        <w:t xml:space="preserve">Cost of revenue increased $9.9 million, or 6.8%, for the six months ended June 30, 2026 compared to the same period in 2025, which was lower than the rate of revenue increase of 10.5% for the six months ended June 30, 2026 compared to the same period in 2025. The increase in cost of revenue of $9.9 million was primarily driven by higher revenue volumes resulting in increases of $5.1 million in raw material and production costs, $5.0 million in personnel and related costs, primarily due to increases in head count and overtime costs and contract labor to meet increased order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pPr>
      <w:r>
        <w:rPr>
          <w:rFonts w:ascii="Times New Roman;serif" w:hAnsi="Times New Roman;serif"/>
          <w:b w:val="false"/>
          <w:color w:val="000000"/>
          <w:sz w:val="20"/>
        </w:rPr>
        <w:t>volume, partially offset by decreases of $0.2 million in equipment and facility related costs</w:t>
      </w:r>
      <w:r>
        <w:rPr>
          <w:color w:val="000000"/>
          <w:shd w:fill="FFFFFF" w:val="clear"/>
        </w:rPr>
        <w:t xml:space="preserve"> </w:t>
      </w:r>
      <w:r>
        <w:rPr>
          <w:rFonts w:ascii="Times New Roman;serif" w:hAnsi="Times New Roman;serif"/>
          <w:b w:val="false"/>
          <w:color w:val="000000"/>
          <w:sz w:val="20"/>
        </w:rPr>
        <w:t>during the six months ended June 30, 2026 compared to the same period in 2025.</w:t>
      </w:r>
    </w:p>
    <w:p>
      <w:pPr>
        <w:pStyle w:val="TextBody"/>
        <w:bidi w:val="0"/>
        <w:spacing w:lineRule="auto" w:line="276" w:before="200" w:after="283"/>
        <w:jc w:val="left"/>
        <w:rPr/>
      </w:pPr>
      <w:r>
        <w:rPr>
          <w:rFonts w:ascii="Times New Roman;serif" w:hAnsi="Times New Roman;serif"/>
          <w:b w:val="false"/>
          <w:i/>
          <w:color w:val="000000"/>
          <w:sz w:val="20"/>
        </w:rPr>
        <w:t xml:space="preserve">Gross Profit and Gross Margin. </w:t>
      </w:r>
      <w:r>
        <w:rPr>
          <w:rFonts w:ascii="Times New Roman;serif" w:hAnsi="Times New Roman;serif"/>
          <w:b w:val="false"/>
          <w:color w:val="000000"/>
          <w:sz w:val="20"/>
        </w:rPr>
        <w:t>Gross profit increased from $115.5 million in the six months ended June 30, 2025 to $132.9 million in the six months ended June 30, 2026. Gross margin increased from 44.2% in the six months ended June 30, 2025 to 46.0% in the six months ended June 30, 2026.</w:t>
      </w:r>
    </w:p>
    <w:p>
      <w:pPr>
        <w:pStyle w:val="TextBody"/>
        <w:bidi w:val="0"/>
        <w:spacing w:lineRule="auto" w:line="276"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 Other Income, net and Provision for Income Taxes</w:t>
      </w:r>
    </w:p>
    <w:p>
      <w:pPr>
        <w:pStyle w:val="TextBody"/>
        <w:bidi w:val="0"/>
        <w:spacing w:lineRule="auto" w:line="276" w:before="200" w:after="283"/>
        <w:jc w:val="left"/>
        <w:rPr/>
      </w:pPr>
      <w:r>
        <w:rPr>
          <w:rFonts w:ascii="Times New Roman;serif" w:hAnsi="Times New Roman;serif"/>
          <w:b w:val="false"/>
          <w:i/>
          <w:color w:val="000000"/>
          <w:sz w:val="20"/>
        </w:rPr>
        <w:t xml:space="preserve">Marketing and Sales. </w:t>
      </w:r>
      <w:r>
        <w:rPr>
          <w:rFonts w:ascii="Times New Roman;serif" w:hAnsi="Times New Roman;serif"/>
          <w:b w:val="false"/>
          <w:color w:val="000000"/>
          <w:sz w:val="20"/>
        </w:rPr>
        <w:t xml:space="preserve">Marketing and sales expenses increased $2.0 million, or 4.1%, during the six months ended June 30, 2026 compared to the same period in 2025. The increase was driven by increases in personnel and related </w:t>
      </w:r>
      <w:r>
        <w:rPr>
          <w:rFonts w:ascii="Times New Roman;serif" w:hAnsi="Times New Roman;serif"/>
          <w:b w:val="false"/>
          <w:color w:val="000000"/>
          <w:sz w:val="20"/>
          <w:shd w:fill="FFFFFF" w:val="clear"/>
        </w:rPr>
        <w:t>costs of $1.1 million and marketing program cost increases of $0.9 million dur</w:t>
      </w:r>
      <w:r>
        <w:rPr>
          <w:rFonts w:ascii="Times New Roman;serif" w:hAnsi="Times New Roman;serif"/>
          <w:b w:val="false"/>
          <w:color w:val="000000"/>
          <w:sz w:val="20"/>
        </w:rPr>
        <w:t>ing the six months ended June 30, 2026 when compared to the same period in 2025.</w:t>
      </w:r>
    </w:p>
    <w:p>
      <w:pPr>
        <w:pStyle w:val="TextBody"/>
        <w:bidi w:val="0"/>
        <w:spacing w:lineRule="auto" w:line="276" w:before="200" w:after="283"/>
        <w:jc w:val="left"/>
        <w:rPr/>
      </w:pPr>
      <w:r>
        <w:rPr>
          <w:rFonts w:ascii="Times New Roman;serif" w:hAnsi="Times New Roman;serif"/>
          <w:b w:val="false"/>
          <w:i/>
          <w:color w:val="000000"/>
          <w:sz w:val="20"/>
        </w:rPr>
        <w:t xml:space="preserve">Research and Development. </w:t>
      </w:r>
      <w:r>
        <w:rPr>
          <w:rFonts w:ascii="Times New Roman;serif" w:hAnsi="Times New Roman;serif"/>
          <w:b w:val="false"/>
          <w:color w:val="000000"/>
          <w:sz w:val="20"/>
        </w:rPr>
        <w:t>Our research and development expenses decreased $0.5 million, or 2.1%, during the six months ended June 30, 2026 compared to the same period in 2025 primarily due to personnel and related cost decreases</w:t>
      </w:r>
      <w:r>
        <w:rPr>
          <w:color w:val="000000"/>
          <w:shd w:fill="FFFFFF" w:val="clear"/>
        </w:rPr>
        <w:t xml:space="preserve"> </w:t>
      </w:r>
      <w:r>
        <w:rPr>
          <w:rFonts w:ascii="Times New Roman;serif" w:hAnsi="Times New Roman;serif"/>
          <w:b w:val="false"/>
          <w:color w:val="000000"/>
          <w:sz w:val="20"/>
          <w:shd w:fill="FFFFFF" w:val="clear"/>
        </w:rPr>
        <w:t>of $1.2 million, which were partially offset by increases in other operating costs of $0.5 million and professional services of $0.2 million.</w:t>
      </w:r>
    </w:p>
    <w:p>
      <w:pPr>
        <w:pStyle w:val="TextBody"/>
        <w:bidi w:val="0"/>
        <w:spacing w:lineRule="auto" w:line="276" w:before="200" w:after="283"/>
        <w:jc w:val="left"/>
        <w:rPr/>
      </w:pP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Our general and administrative expenses increased $1.1 million, or 3.0%, during the six months ended June 30, 2026 compared to the same period in 2025 primarily due to</w:t>
      </w:r>
      <w:r>
        <w:rPr>
          <w:color w:val="000000"/>
          <w:shd w:fill="FFFFFF" w:val="clear"/>
        </w:rPr>
        <w:t xml:space="preserve"> </w:t>
      </w:r>
      <w:r>
        <w:rPr>
          <w:rFonts w:ascii="Times New Roman;serif" w:hAnsi="Times New Roman;serif"/>
          <w:b w:val="false"/>
          <w:color w:val="000000"/>
          <w:sz w:val="20"/>
          <w:shd w:fill="FFFFFF" w:val="clear"/>
        </w:rPr>
        <w:t xml:space="preserve">increases in </w:t>
      </w:r>
      <w:r>
        <w:rPr>
          <w:rFonts w:ascii="Times New Roman;serif" w:hAnsi="Times New Roman;serif"/>
          <w:b w:val="false"/>
          <w:color w:val="000000"/>
          <w:sz w:val="20"/>
        </w:rPr>
        <w:t>$1.1 million of professional services, $0.4 million of personnel and related costs,</w:t>
      </w:r>
      <w:r>
        <w:rPr>
          <w:color w:val="000000"/>
          <w:shd w:fill="FFFFFF" w:val="clear"/>
        </w:rPr>
        <w:t xml:space="preserve"> </w:t>
      </w:r>
      <w:r>
        <w:rPr>
          <w:rFonts w:ascii="Times New Roman;serif" w:hAnsi="Times New Roman;serif"/>
          <w:b w:val="false"/>
          <w:color w:val="000000"/>
          <w:sz w:val="20"/>
        </w:rPr>
        <w:t xml:space="preserve">administrative costs of $0.2 million, partially offset by decreases of $0.6 million in stock-based compensation. </w:t>
      </w:r>
    </w:p>
    <w:p>
      <w:pPr>
        <w:pStyle w:val="TextBody"/>
        <w:bidi w:val="0"/>
        <w:spacing w:lineRule="auto" w:line="288" w:before="200" w:after="283"/>
        <w:jc w:val="left"/>
        <w:rPr/>
      </w:pPr>
      <w:r>
        <w:rPr>
          <w:rFonts w:ascii="Times New Roman;serif" w:hAnsi="Times New Roman;serif"/>
          <w:b w:val="false"/>
          <w:i/>
          <w:color w:val="000000"/>
          <w:sz w:val="20"/>
        </w:rPr>
        <w:t>Restructuring and transformation costs</w:t>
      </w:r>
      <w:r>
        <w:rPr>
          <w:rFonts w:ascii="Times New Roman;serif" w:hAnsi="Times New Roman;serif"/>
          <w:b w:val="false"/>
          <w:color w:val="000000"/>
          <w:sz w:val="20"/>
        </w:rPr>
        <w:t>. Restructuring and transformation costs include expenses related to actions taken to improve operational efficiency and streamline the organization and resulted in $2.3 million in operating expenses during 2026 primarily related to severance and related benefit costs, and professional services. We had no restructuring and transformation costs for the same period in 2025.</w:t>
      </w:r>
    </w:p>
    <w:p>
      <w:pPr>
        <w:pStyle w:val="TextBody"/>
        <w:bidi w:val="0"/>
        <w:spacing w:lineRule="auto" w:line="288" w:before="200" w:after="283"/>
        <w:jc w:val="left"/>
        <w:rPr/>
      </w:pPr>
      <w:r>
        <w:rPr>
          <w:rFonts w:ascii="Times New Roman;serif" w:hAnsi="Times New Roman;serif"/>
          <w:b w:val="false"/>
          <w:i/>
          <w:color w:val="000000"/>
          <w:sz w:val="20"/>
        </w:rPr>
        <w:t>Costs related to exit and disposal.</w:t>
      </w:r>
      <w:r>
        <w:rPr>
          <w:color w:val="000000"/>
        </w:rPr>
        <w:t xml:space="preserve"> </w:t>
      </w:r>
      <w:r>
        <w:rPr>
          <w:rFonts w:ascii="Times New Roman;serif" w:hAnsi="Times New Roman;serif"/>
          <w:b w:val="false"/>
          <w:color w:val="000000"/>
          <w:sz w:val="20"/>
        </w:rPr>
        <w:t xml:space="preserve">Costs related to disposal and exit activities are primarily driven by our decision to close certain manufacturing facilities in Germany. Our costs related to exit and disposal activities increased $0.8 million during the six months ended June 30, 2026 compared to the same period in 2025 primarily due to the write-down of the abandoned facility right-of-use asset of $0.9 million. Costs related to exit and disposal activities for the six months ended June 30, 2025 consisted of $0.2 million expense related to the write-down of fixed assets and $0.1 million in personnel and related cost benefits. </w:t>
      </w:r>
    </w:p>
    <w:p>
      <w:pPr>
        <w:pStyle w:val="TextBody"/>
        <w:bidi w:val="0"/>
        <w:spacing w:lineRule="auto" w:line="276" w:before="200" w:after="283"/>
        <w:jc w:val="left"/>
        <w:rPr/>
      </w:pPr>
      <w:r>
        <w:rPr>
          <w:rFonts w:ascii="Times New Roman;serif" w:hAnsi="Times New Roman;serif"/>
          <w:b w:val="false"/>
          <w:i/>
          <w:color w:val="000000"/>
          <w:sz w:val="20"/>
        </w:rPr>
        <w:t xml:space="preserve">Other income, net. </w:t>
      </w:r>
      <w:r>
        <w:rPr>
          <w:rFonts w:ascii="Times New Roman;serif" w:hAnsi="Times New Roman;serif"/>
          <w:b w:val="false"/>
          <w:color w:val="000000"/>
          <w:sz w:val="20"/>
        </w:rPr>
        <w:t>We recognized other income, net of $2.7 million for the six months ended June 30, 2026, a decrease of $0.4 million compared to other income, net of $3.2 million for the same period in 2025. Other income, net for the six months ended June 30, 2026 primarily consisted of $2.5 million in interest income on investments, and $0.5 million of other income partially offset by $0.2 million of foreign currency losses. Other income, net for the six months ended June 30, 2025 primarily consisted of $2.2 million in interest income on investments, $0.5 million of foreign currency gains and $0.4 million of other income.</w:t>
      </w:r>
    </w:p>
    <w:p>
      <w:pPr>
        <w:pStyle w:val="TextBody"/>
        <w:bidi w:val="0"/>
        <w:spacing w:lineRule="auto" w:line="288" w:before="200" w:after="283"/>
        <w:jc w:val="left"/>
        <w:rPr/>
      </w:pPr>
      <w:r>
        <w:rPr>
          <w:rFonts w:ascii="Times New Roman;serif" w:hAnsi="Times New Roman;serif"/>
          <w:b w:val="false"/>
          <w:i/>
          <w:color w:val="000000"/>
          <w:sz w:val="20"/>
        </w:rPr>
        <w:t xml:space="preserve">Provision for Income Taxes. </w:t>
      </w:r>
      <w:r>
        <w:rPr>
          <w:rFonts w:ascii="Times New Roman;serif" w:hAnsi="Times New Roman;serif"/>
          <w:b w:val="false"/>
          <w:color w:val="000000"/>
          <w:sz w:val="20"/>
        </w:rPr>
        <w:t>Our effective tax rate of 27.8% for the six months ended June 30, 2026 decreased 8.8% compared to 36.6% for the same period in 2025. The decrease in the effective tax rate was primarily due to an increase in tax benefits from the vesting of restricted stock and the exercise of stock options, as well as tax benefits recognized on losses incurred by a newly established entity in India. Our income tax provision of $6.7 million for the six months ended June 30, 2026 increased $2.0 million compared to our income tax provision of $4.6 million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during the six months ended June 30, 2026 and 2025:</w:t>
      </w:r>
    </w:p>
    <w:tbl>
      <w:tblPr>
        <w:tblW w:w="7539" w:type="dxa"/>
        <w:jc w:val="left"/>
        <w:tblInd w:w="0" w:type="dxa"/>
        <w:tblLayout w:type="fixed"/>
        <w:tblCellMar>
          <w:top w:w="28" w:type="dxa"/>
          <w:left w:w="28" w:type="dxa"/>
          <w:bottom w:w="28" w:type="dxa"/>
          <w:right w:w="28" w:type="dxa"/>
        </w:tblCellMar>
      </w:tblPr>
      <w:tblGrid>
        <w:gridCol w:w="1839"/>
        <w:gridCol w:w="1618"/>
        <w:gridCol w:w="1628"/>
        <w:gridCol w:w="211"/>
        <w:gridCol w:w="721"/>
        <w:gridCol w:w="109"/>
        <w:gridCol w:w="109"/>
        <w:gridCol w:w="109"/>
        <w:gridCol w:w="109"/>
        <w:gridCol w:w="211"/>
        <w:gridCol w:w="721"/>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Sources of Liquidity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Historically, we have primarily financed our operations and capital expenditures through cash flow from operations. We had cash and cash equivalents of $127.9 million as of June 30, 2026, an increase of $17.1 million from December 31, 2025. The increase in our cash was primarily due to cash provided by operating activities of $33.0 million and $7.3 million of proceeds from issuance of common stock related to equity plans, which were partially offset by net purchases of property, equipment and other capital assets of $8.5 million, $6.0 million in purchases of shares withheld for tax obligations associated with equity transactions, $5.0 million in repurchases of common stock and net purchases of marketable securities of $3.5 million.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together with cash generated from operations will be sufficient to meet our working capital and capital expenditure requirements for at least the next 12 months.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 were $33.0 million during the six months ended June 30, 2026 and primarily consisted of net income of $17.3 million, adjusted for certain non-cash items, including depreciation and amortization of $16.2 million, stock-based compensation expense of $7.3 million, increases in deferred taxes of $4.1 million and impairment on a leased facility of $0.9 million, which were partially offset by changes in operating assets and liabilities and other items totaling $12.8 million. Cash flows from operating activities were $29.0 million during the six months ended June 30, 2025 and primarily consisted of net income of $8.0 million, adjusted for certain non-cash items, including depreciation and amortization of $17.3 million, stock-based compensation expense of $8.3 million and an impairment on a leased facility and fixed asset of $0.4 million, which were partially offset by deferred taxes of $4.0 million and changes in operating assets and liabilities and other items totaling $1.0 million.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 increased $4.0 million during the six months ended June 30, 2026 compared to the same period in 2025, primarily due to increases in net income of $9.2 million, increases in deferred taxes of $8.0 million and an increase of $0.5 million in leased facility impairment charges, which were partially offset by changes in operating assets and liabilities and other items totaling $11.7 million, decreases in depreciation and amortization of $1.1 million and decreases in stock-based compensation of $0.9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was $12.0 million during the six months ended June 30, 2026, consisting of $8.5 million for net purchases of property, equipment and other capital assets and $3.5 million of net purchases of marketable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was $3.6 million during the six months ended June 30, 2025, consisting of $2.7 million for net purchases of property, equipment and other capital assets and $0.8 million of purchases of marketable securities, net of proceeds from call redemptions and maturities.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 was $3.9 million during the six months ended June 30, 2026, consisting of $6.0 million in purchases of shares withheld for tax obligations associated with equity transactions, $5.0 million in repurchases of common stock and $0.2 million for repayments of finance lease obligations, partially offset by $7.3 million in proceeds related to equity plans.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 was $25.2 million during the six months ended June 30, 2025, consisting of $24.0 million in repurchases of common stock, $3.1 million in purchases of shares withheld for tax obligations associated with equity transactions and $0.2 million for repayments of finance lease obligations, which were partially offset by $2.1 million in proceeds related to equity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adopted various accounting policies to prepare the Consolidated Financial Statements in accordance with accounting principles generally accepted in the United States of America (U.S. GAAP). The preparation of these financial statements requires us to make estimates, judgments and assumptions. Our significant accounting policies and estimates are disclosed in Note 2 to the Consolidated Financial Statements included Part II, Item 8 in our Annual Report on Form 10-K for the year ended December 31, 2025. There were no material changes to our critical accounting policies and estimates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information on recent accounting pronouncements, see Note 2 to the Consolidated Financial Statements appearing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 result of our foreign operations, we have revenue, expenses, assets and liabilities that are denominated in foreign currencies. We generate revenue and incur production and sourcing costs and operating expenses in British Pounds and Euros.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losses of $0.2 million and foreign currency gains of $0.5 million for the three months ended June 30, 2026 and 2025, respectively. We recognized foreign currency losses of $0.2 million and foreign currency gains of $0.5 million for the six months ended June 30, 2026 and 2025, respectively. The changes in foreign exchange rates had a favorable impact on consolidated revenue of $0.4 million for the three months ended June 30, 2026 and a favorable impact on consolidated revenue of $2.6 million for the six months ended June 30, 2026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has evaluated the effectiveness of the design and operation of our disclosure controls and procedures (as defined in Rule 13a-15(e) under the Securities Exchange Act of 1934, as amended (the Exchange Act)) as of the end of the period covered by this report. Based upon that evaluation, the Chief Executive Officer and Chief Financial Officer have concluded that, as of the end of the period covered by this Quarterly Report on Form 10-Q,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SEC’s rules and forms and accumulated and communicated to our management, including our Chief Executive Officer and Chief Financial Officer, as appropriate to allow timely decisions regarding required disclosure.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Part I, Item 1A. “Risk Factors” in our Annual Report on Form 10-K for the year ended December 31, 2025 includes a discussion of our risk factors. There have been no material changes from the risk factors described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4, 2025, our board of directors authorized a share repurchase program (the February 2025 Program). The February 2025 Program is open-ended and authorizes repurchases of shares of our common stock from time to time on the open market or in privately negotiated purchases, with a total stock repurchase authorized of up to $100 million. We have $52.0 million remaining under this authorization. The February 2025 Program does not obligate us to acquire any particular amount of shares of our common stock and remains in effect until the total authorized amount is expended or until further action by our board of directors. The actual timing, manner, number and value of shares repurchased under the February 2025 Program will be determined by our management in its discretion and will depend on several factors, including the market price of the Company's common stock, general market and economic conditions, applicable requirements, and other considerations.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repurchased 68,553 shares of our common stock at a total purchase price of $5.0 million under this program. Common stock repurchase activity through June 30, 2026 was as follows:</w:t>
      </w:r>
    </w:p>
    <w:tbl>
      <w:tblPr>
        <w:tblW w:w="10205" w:type="dxa"/>
        <w:jc w:val="left"/>
        <w:tblInd w:w="0" w:type="dxa"/>
        <w:tblLayout w:type="fixed"/>
        <w:tblCellMar>
          <w:top w:w="28" w:type="dxa"/>
          <w:left w:w="28" w:type="dxa"/>
          <w:bottom w:w="28" w:type="dxa"/>
          <w:right w:w="28" w:type="dxa"/>
        </w:tblCellMar>
      </w:tblPr>
      <w:tblGrid>
        <w:gridCol w:w="597"/>
        <w:gridCol w:w="524"/>
        <w:gridCol w:w="530"/>
        <w:gridCol w:w="109"/>
        <w:gridCol w:w="109"/>
        <w:gridCol w:w="109"/>
        <w:gridCol w:w="589"/>
        <w:gridCol w:w="589"/>
        <w:gridCol w:w="591"/>
        <w:gridCol w:w="109"/>
        <w:gridCol w:w="109"/>
        <w:gridCol w:w="109"/>
        <w:gridCol w:w="354"/>
        <w:gridCol w:w="1034"/>
        <w:gridCol w:w="182"/>
        <w:gridCol w:w="109"/>
        <w:gridCol w:w="109"/>
        <w:gridCol w:w="109"/>
        <w:gridCol w:w="635"/>
        <w:gridCol w:w="635"/>
        <w:gridCol w:w="637"/>
        <w:gridCol w:w="109"/>
        <w:gridCol w:w="109"/>
        <w:gridCol w:w="109"/>
        <w:gridCol w:w="387"/>
        <w:gridCol w:w="1323"/>
        <w:gridCol w:w="290"/>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Number of Shares Purchased as </w:t>
              <w:br/>
              <w:t xml:space="preserve">Part of Publicly Announced Plans or </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Maximum Dollar Value of Shares that </w:t>
              <w:br/>
              <w:t xml:space="preserve">May Yet Be Purchased Under the Plans </w:t>
              <w:br/>
              <w:t>or Programs (in thousands)</w:t>
            </w:r>
          </w:p>
        </w:tc>
      </w:tr>
      <w:tr>
        <w:trPr/>
        <w:tc>
          <w:tcPr>
            <w:tcW w:w="16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57,066 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through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53,887 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52,032 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52,032 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 matters to disclose.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 matters to disclose.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On June 6, 2026, Daniel Schumacher, Chief Financial Officer of the Company, entered into a 10b5-1 sales plan intended to satisfy the affirmative defense of Rule 10b5-1(c) under the Exchange Act. This 10b5-1 sales plan provides for the sale of up to 10,000 shares of the Company's common stock related to vested restricted stock units granted to Mr. Schumacher. This 10b5-1 sales plan will become effective on September 4, 2026 and expire on June 3, 2027, or upon the earlier completion of all authorized transactions under the plan.</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other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or furnished, as applicable, as part of this Quarterly Report on Form 10-Q:</w:t>
      </w:r>
    </w:p>
    <w:tbl>
      <w:tblPr>
        <w:tblW w:w="10205" w:type="dxa"/>
        <w:jc w:val="left"/>
        <w:tblInd w:w="0" w:type="dxa"/>
        <w:tblLayout w:type="fixed"/>
        <w:tblCellMar>
          <w:top w:w="28" w:type="dxa"/>
          <w:left w:w="28" w:type="dxa"/>
          <w:bottom w:w="28" w:type="dxa"/>
          <w:right w:w="28" w:type="dxa"/>
        </w:tblCellMar>
      </w:tblPr>
      <w:tblGrid>
        <w:gridCol w:w="361"/>
        <w:gridCol w:w="319"/>
        <w:gridCol w:w="320"/>
        <w:gridCol w:w="109"/>
        <w:gridCol w:w="109"/>
        <w:gridCol w:w="109"/>
        <w:gridCol w:w="2917"/>
        <w:gridCol w:w="2788"/>
        <w:gridCol w:w="2798"/>
        <w:gridCol w:w="109"/>
        <w:gridCol w:w="109"/>
        <w:gridCol w:w="157"/>
      </w:tblGrid>
      <w:tr>
        <w:trPr/>
        <w:tc>
          <w:tcPr>
            <w:tcW w:w="36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EE"/>
                  <w:sz w:val="16"/>
                  <w:u w:val="single"/>
                </w:rPr>
                <w:t>Third Amended and Restated Articles of Incorporation of Proto Labs, Inc. (incorporated by reference to Exhibit 3.2 to the Company’s Registration Statement on Form S-1/A, filed on February 13, 2012).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80"/>
                  <w:sz w:val="16"/>
                  <w:u w:val="single"/>
                </w:rPr>
                <w:t>Articles of Amendment to Third Amended and Restated Articles of Incorporation of Proto Labs, Inc. dated May 20, 2015 (incorporated by reference to Exhibit 3.1 to the Company's Form 8-K, filed</w:t>
              </w:r>
            </w:hyperlink>
            <w:hyperlink r:id="rId4">
              <w:r>
                <w:rPr>
                  <w:rStyle w:val="InternetLink"/>
                  <w:rFonts w:ascii="Times New Roman;serif" w:hAnsi="Times New Roman;serif"/>
                  <w:b w:val="false"/>
                  <w:color w:val="000080"/>
                  <w:sz w:val="16"/>
                  <w:u w:val="single"/>
                </w:rPr>
                <w:t xml:space="preserve"> </w:t>
              </w:r>
            </w:hyperlink>
            <w:hyperlink r:id="rId5">
              <w:r>
                <w:rPr>
                  <w:rStyle w:val="InternetLink"/>
                  <w:rFonts w:ascii="Times New Roman;serif" w:hAnsi="Times New Roman;serif"/>
                  <w:b w:val="false"/>
                  <w:color w:val="000080"/>
                  <w:sz w:val="16"/>
                  <w:u w:val="single"/>
                </w:rPr>
                <w:t>on May 21, 2015).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EE"/>
                  <w:sz w:val="16"/>
                  <w:u w:val="single"/>
                </w:rPr>
                <w:t>Third Amended and Restated By-Laws of Proto Labs, Inc., as amended through November 15, 2022 (incorporated by reference to Exhibit 3.2 to the Company's Form 8-K, filed on November 15,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erif" w:hAnsi="Times New Roman;serif"/>
                  <w:b w:val="false"/>
                  <w:color w:val="0000FF"/>
                  <w:sz w:val="16"/>
                  <w:u w:val="single"/>
                </w:rPr>
                <w:t>Amended and Restated Proto Labs, Inc. 2022 Long-Term Incentive Plan, as amended May 19, 2026 (incorporated by reference to Exhibit 10.1 to the Company's Form 8-K, filed on May 20, 2026).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prlb-20260630xexx311.htm">
              <w:r>
                <w:rPr>
                  <w:rStyle w:val="InternetLink"/>
                  <w:rFonts w:ascii="Times New Roman;serif" w:hAnsi="Times New Roman;serif"/>
                  <w:b w:val="false"/>
                  <w:color w:val="0000EE"/>
                  <w:sz w:val="16"/>
                  <w:u w:val="single"/>
                </w:rPr>
                <w:t>Certification of the Chief Executive Officer pursuant to Section 302 of the Sarbanes-Oxley Act*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prlb-20260630xexx312.htm">
              <w:r>
                <w:rPr>
                  <w:rStyle w:val="InternetLink"/>
                  <w:rFonts w:ascii="Times New Roman;serif" w:hAnsi="Times New Roman;serif"/>
                  <w:b w:val="false"/>
                  <w:color w:val="0000EE"/>
                  <w:sz w:val="16"/>
                  <w:u w:val="single"/>
                </w:rPr>
                <w:t>Certification of the Chief Financial Officer pursuant to Section 302 of the Sarbanes-Oxley Act*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prlb-20260630xexx321.htm">
              <w:r>
                <w:rPr>
                  <w:rStyle w:val="InternetLink"/>
                  <w:rFonts w:ascii="Times New Roman;serif" w:hAnsi="Times New Roman;serif"/>
                  <w:b w:val="false"/>
                  <w:color w:val="0000EE"/>
                  <w:sz w:val="16"/>
                  <w:u w:val="single"/>
                </w:rPr>
                <w:t>Certification of the Chief Executive Officer and the Chief Financial Officer pursuant to Section 906 of the Sarbanes-Oxley Act*</w:t>
              </w:r>
            </w:hyperlink>
            <w:r>
              <w:rPr>
                <w:rFonts w:ascii="Times New Roman;serif" w:hAnsi="Times New Roman;serif"/>
                <w:b w:val="false"/>
                <w:color w:val="0000EE"/>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prlb-20260630xexx311.htm">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235" w:type="dxa"/>
        <w:jc w:val="left"/>
        <w:tblInd w:w="0" w:type="dxa"/>
        <w:tblLayout w:type="fixed"/>
        <w:tblCellMar>
          <w:top w:w="28" w:type="dxa"/>
          <w:left w:w="28" w:type="dxa"/>
          <w:bottom w:w="28" w:type="dxa"/>
          <w:right w:w="28" w:type="dxa"/>
        </w:tblCellMar>
      </w:tblPr>
      <w:tblGrid>
        <w:gridCol w:w="618"/>
        <w:gridCol w:w="544"/>
        <w:gridCol w:w="547"/>
        <w:gridCol w:w="2380"/>
        <w:gridCol w:w="2380"/>
        <w:gridCol w:w="2394"/>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Proto Labs,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7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Suresh Krishna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Suresh Krishna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7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Schumacher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Daniel Schumacher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(Duly Authorized Officer, 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Suresh Krishna, certify that: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Proto Labs, Inc.;</w:t>
      </w:r>
    </w:p>
    <w:p>
      <w:pPr>
        <w:pStyle w:val="TextBody"/>
        <w:bidi w:val="0"/>
        <w:spacing w:lineRule="auto" w:line="288" w:before="240" w:after="283"/>
        <w:ind w:left="0" w:right="0" w:firstLine="54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54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2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936"/>
        <w:gridCol w:w="936"/>
        <w:gridCol w:w="133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Suresh Krishna</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Suresh Krishna</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w:t>
      </w:r>
    </w:p>
    <w:p>
      <w:pPr>
        <w:pStyle w:val="TextBody"/>
        <w:bidi w:val="0"/>
        <w:spacing w:lineRule="auto" w:line="288" w:before="0" w:after="0"/>
        <w:jc w:val="center"/>
        <w:rPr/>
      </w:pPr>
      <w:r>
        <w:rPr>
          <w:rFonts w:ascii="Times New Roman;serif" w:hAnsi="Times New Roman;serif"/>
          <w:b/>
          <w:color w:val="000000"/>
          <w:sz w:val="20"/>
        </w:rPr>
        <w:t>THE SARBANES-OXLEY ACT OF 2002</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Daniel Schumacher, certify that: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Proto Labs, Inc.;</w:t>
      </w:r>
    </w:p>
    <w:p>
      <w:pPr>
        <w:pStyle w:val="TextBody"/>
        <w:bidi w:val="0"/>
        <w:spacing w:lineRule="auto" w:line="288" w:before="240" w:after="283"/>
        <w:ind w:left="0" w:right="0" w:firstLine="54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54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27"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706"/>
        <w:gridCol w:w="706"/>
        <w:gridCol w:w="100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Schumacher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Daniel Schumacher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Suresh Krishna, certify, pursuant to 18 U.S.C. Section 1350, as adopted pursuant to Section 906 of the Sarbanes-Oxley Act of 2002, that the Quarterly Report of Proto Labs, Inc. on Form 10-Q for the fiscal quarter ended June 30, 2026 fully complies with the requirements of Section 13(a) or 15(d) of the Securities Exchange Act of 1934 and that the information contained in such Quarterly Report on Form 10-Q fairly presents in all material respects the financial condition and results of operations of Proto Labs, Inc.</w:t>
      </w:r>
    </w:p>
    <w:tbl>
      <w:tblPr>
        <w:tblW w:w="5547" w:type="dxa"/>
        <w:jc w:val="left"/>
        <w:tblInd w:w="0" w:type="dxa"/>
        <w:tblLayout w:type="fixed"/>
        <w:tblCellMar>
          <w:top w:w="28" w:type="dxa"/>
          <w:left w:w="28" w:type="dxa"/>
          <w:bottom w:w="28" w:type="dxa"/>
          <w:right w:w="28" w:type="dxa"/>
        </w:tblCellMar>
      </w:tblPr>
      <w:tblGrid>
        <w:gridCol w:w="618"/>
        <w:gridCol w:w="544"/>
        <w:gridCol w:w="547"/>
        <w:gridCol w:w="208"/>
        <w:gridCol w:w="208"/>
        <w:gridCol w:w="213"/>
        <w:gridCol w:w="936"/>
        <w:gridCol w:w="936"/>
        <w:gridCol w:w="133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Suresh Krishna</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Suresh Krishna</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Daniel Schumacher, certify, pursuant to 18 U.S.C. Section 1350, as adopted pursuant to Section 906 of the Sarbanes-Oxley Act of 2002, that the Quarterly Report of Proto Labs, Inc. on Form 10-Q for the fiscal quarter ended June 30, 2026 fully complies with the requirements of Section 13(a) or 15(d) of the Securities Exchange Act of 1934 and that the information contained in such Quarterly Report on Form 10-Q fairly presents in all material respects the financial condition and results of operations of Proto Labs, Inc.</w:t>
      </w:r>
    </w:p>
    <w:tbl>
      <w:tblPr>
        <w:tblW w:w="4348" w:type="dxa"/>
        <w:jc w:val="left"/>
        <w:tblInd w:w="0" w:type="dxa"/>
        <w:tblLayout w:type="fixed"/>
        <w:tblCellMar>
          <w:top w:w="28" w:type="dxa"/>
          <w:left w:w="28" w:type="dxa"/>
          <w:bottom w:w="28" w:type="dxa"/>
          <w:right w:w="28" w:type="dxa"/>
        </w:tblCellMar>
      </w:tblPr>
      <w:tblGrid>
        <w:gridCol w:w="618"/>
        <w:gridCol w:w="544"/>
        <w:gridCol w:w="547"/>
        <w:gridCol w:w="208"/>
        <w:gridCol w:w="208"/>
        <w:gridCol w:w="213"/>
        <w:gridCol w:w="588"/>
        <w:gridCol w:w="588"/>
        <w:gridCol w:w="83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Schumacher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Daniel Schumacher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43669/000119312512054357/d199869dex32.htm" TargetMode="External"/><Relationship Id="rId3" Type="http://schemas.openxmlformats.org/officeDocument/2006/relationships/hyperlink" Target="https://www.sec.gov/Archives/edgar/data/1443669/000143774915010824/ex3-1.htm" TargetMode="External"/><Relationship Id="rId4" Type="http://schemas.openxmlformats.org/officeDocument/2006/relationships/hyperlink" Target="https://www.sec.gov/Archives/edgar/data/1443669/000143774915010824/ex3-1.htm" TargetMode="External"/><Relationship Id="rId5" Type="http://schemas.openxmlformats.org/officeDocument/2006/relationships/hyperlink" Target="https://www.sec.gov/Archives/edgar/data/1443669/000143774915010824/ex3-1.htm" TargetMode="External"/><Relationship Id="rId6" Type="http://schemas.openxmlformats.org/officeDocument/2006/relationships/hyperlink" Target="https://www.sec.gov/Archives/edgar/data/1443669/000143774922027471/ex_445136.htm" TargetMode="External"/><Relationship Id="rId7" Type="http://schemas.openxmlformats.org/officeDocument/2006/relationships/hyperlink" Target="https://www.sec.gov/Archives/edgar/data/1443669/000144366926000028/prlb-2026519xex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14281</Words>
  <Characters>77834</Characters>
  <CharactersWithSpaces>90722</CharactersWithSpaces>
  <Paragraphs>2399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