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380" w:right="1540" w:hanging="372"/>
        <w:spacing w:after="0" w:line="282"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162"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380" w:type="dxa"/>
        <w:tblCellMar>
          <w:top w:w="0" w:type="dxa"/>
          <w:left w:w="0" w:type="dxa"/>
          <w:bottom w:w="0" w:type="dxa"/>
          <w:right w:w="0" w:type="dxa"/>
        </w:tblCellMar>
      </w:tblPr>
      <w:tr>
        <w:trPr>
          <w:trHeight w:val="203"/>
        </w:trPr>
        <w:tc>
          <w:tcPr>
            <w:tcW w:w="2340" w:type="dxa"/>
            <w:vAlign w:val="bottom"/>
          </w:tcPr>
          <w:p>
            <w:pPr>
              <w:spacing w:after="0" w:line="203" w:lineRule="exact"/>
              <w:rPr>
                <w:sz w:val="20"/>
                <w:szCs w:val="20"/>
                <w:color w:val="auto"/>
              </w:rPr>
            </w:pPr>
            <w:r>
              <w:rPr>
                <w:rFonts w:ascii="Arial" w:cs="Arial" w:eastAsia="Arial" w:hAnsi="Arial"/>
                <w:sz w:val="18"/>
                <w:szCs w:val="18"/>
                <w:b w:val="1"/>
                <w:bCs w:val="1"/>
                <w:color w:val="auto"/>
                <w:w w:val="91"/>
              </w:rPr>
              <w:t>For the transition period from</w:t>
            </w:r>
          </w:p>
        </w:tc>
        <w:tc>
          <w:tcPr>
            <w:tcW w:w="940" w:type="dxa"/>
            <w:vAlign w:val="bottom"/>
            <w:tcBorders>
              <w:bottom w:val="single" w:sz="8" w:color="auto"/>
            </w:tcBorders>
          </w:tcPr>
          <w:p>
            <w:pPr>
              <w:spacing w:after="0"/>
              <w:rPr>
                <w:sz w:val="17"/>
                <w:szCs w:val="17"/>
                <w:color w:val="auto"/>
              </w:rPr>
            </w:pPr>
          </w:p>
        </w:tc>
        <w:tc>
          <w:tcPr>
            <w:tcW w:w="200" w:type="dxa"/>
            <w:vAlign w:val="bottom"/>
          </w:tcPr>
          <w:p>
            <w:pPr>
              <w:ind w:left="40"/>
              <w:spacing w:after="0" w:line="203" w:lineRule="exact"/>
              <w:rPr>
                <w:sz w:val="20"/>
                <w:szCs w:val="20"/>
                <w:color w:val="auto"/>
              </w:rPr>
            </w:pPr>
            <w:r>
              <w:rPr>
                <w:rFonts w:ascii="Arial" w:cs="Arial" w:eastAsia="Arial" w:hAnsi="Arial"/>
                <w:sz w:val="18"/>
                <w:szCs w:val="18"/>
                <w:b w:val="1"/>
                <w:bCs w:val="1"/>
                <w:color w:val="auto"/>
                <w:w w:val="82"/>
              </w:rPr>
              <w:t>to</w:t>
            </w:r>
          </w:p>
        </w:tc>
        <w:tc>
          <w:tcPr>
            <w:tcW w:w="94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2"/>
          </w:tcPr>
          <w:p>
            <w:pPr>
              <w:ind w:left="340"/>
              <w:spacing w:after="0"/>
              <w:rPr>
                <w:sz w:val="20"/>
                <w:szCs w:val="20"/>
                <w:color w:val="auto"/>
              </w:rPr>
            </w:pPr>
            <w:r>
              <w:rPr>
                <w:rFonts w:ascii="Arial" w:cs="Arial" w:eastAsia="Arial" w:hAnsi="Arial"/>
                <w:sz w:val="18"/>
                <w:szCs w:val="18"/>
                <w:b w:val="1"/>
                <w:bCs w:val="1"/>
                <w:color w:val="auto"/>
                <w:w w:val="90"/>
              </w:rPr>
              <w:t>Commission File Number: 001-35435</w:t>
            </w:r>
          </w:p>
        </w:tc>
      </w:tr>
    </w:tbl>
    <w:p>
      <w:pPr>
        <w:spacing w:after="0" w:line="17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Proto Labs, Inc.</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9"/>
              </w:rPr>
              <w:t>Minnesota</w:t>
            </w:r>
          </w:p>
        </w:tc>
        <w:tc>
          <w:tcPr>
            <w:tcW w:w="4720" w:type="dxa"/>
            <w:vAlign w:val="bottom"/>
          </w:tcPr>
          <w:p>
            <w:pPr>
              <w:jc w:val="right"/>
              <w:ind w:right="790"/>
              <w:spacing w:after="0"/>
              <w:rPr>
                <w:sz w:val="20"/>
                <w:szCs w:val="20"/>
                <w:color w:val="auto"/>
              </w:rPr>
            </w:pPr>
            <w:r>
              <w:rPr>
                <w:rFonts w:ascii="Arial" w:cs="Arial" w:eastAsia="Arial" w:hAnsi="Arial"/>
                <w:sz w:val="18"/>
                <w:szCs w:val="18"/>
                <w:b w:val="1"/>
                <w:bCs w:val="1"/>
                <w:color w:val="auto"/>
              </w:rPr>
              <w:t>41-1939628</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5540 Pioneer Creek Drive</w:t>
            </w:r>
          </w:p>
        </w:tc>
        <w:tc>
          <w:tcPr>
            <w:tcW w:w="4720" w:type="dxa"/>
            <w:vAlign w:val="bottom"/>
          </w:tcPr>
          <w:p>
            <w:pPr>
              <w:spacing w:after="0"/>
              <w:rPr>
                <w:sz w:val="24"/>
                <w:szCs w:val="24"/>
                <w:color w:val="auto"/>
              </w:rPr>
            </w:pPr>
          </w:p>
        </w:tc>
      </w:tr>
      <w:tr>
        <w:trPr>
          <w:trHeight w:val="22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2"/>
              </w:rPr>
              <w:t>Maple Plain, Minnesota</w:t>
            </w:r>
          </w:p>
        </w:tc>
        <w:tc>
          <w:tcPr>
            <w:tcW w:w="4720" w:type="dxa"/>
            <w:vAlign w:val="bottom"/>
          </w:tcPr>
          <w:p>
            <w:pPr>
              <w:jc w:val="right"/>
              <w:ind w:right="990"/>
              <w:spacing w:after="0"/>
              <w:rPr>
                <w:sz w:val="20"/>
                <w:szCs w:val="20"/>
                <w:color w:val="auto"/>
              </w:rPr>
            </w:pPr>
            <w:r>
              <w:rPr>
                <w:rFonts w:ascii="Arial" w:cs="Arial" w:eastAsia="Arial" w:hAnsi="Arial"/>
                <w:sz w:val="18"/>
                <w:szCs w:val="18"/>
                <w:b w:val="1"/>
                <w:bCs w:val="1"/>
                <w:color w:val="auto"/>
              </w:rPr>
              <w:t>55359</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20" w:type="dxa"/>
            <w:vAlign w:val="bottom"/>
          </w:tcPr>
          <w:p>
            <w:pPr>
              <w:jc w:val="center"/>
              <w:ind w:left="2010"/>
              <w:spacing w:after="0"/>
              <w:rPr>
                <w:sz w:val="20"/>
                <w:szCs w:val="20"/>
                <w:color w:val="auto"/>
              </w:rPr>
            </w:pPr>
            <w:r>
              <w:rPr>
                <w:rFonts w:ascii="Arial" w:cs="Arial" w:eastAsia="Arial" w:hAnsi="Arial"/>
                <w:sz w:val="18"/>
                <w:szCs w:val="18"/>
                <w:color w:val="auto"/>
                <w:w w:val="91"/>
              </w:rPr>
              <w:t>(Zip Code)</w:t>
            </w:r>
          </w:p>
        </w:tc>
      </w:tr>
      <w:tr>
        <w:trPr>
          <w:trHeight w:val="432"/>
        </w:trPr>
        <w:tc>
          <w:tcPr>
            <w:tcW w:w="4360" w:type="dxa"/>
            <w:vAlign w:val="bottom"/>
          </w:tcPr>
          <w:p>
            <w:pPr>
              <w:spacing w:after="0"/>
              <w:rPr>
                <w:sz w:val="24"/>
                <w:szCs w:val="24"/>
                <w:color w:val="auto"/>
              </w:rPr>
            </w:pPr>
          </w:p>
        </w:tc>
        <w:tc>
          <w:tcPr>
            <w:tcW w:w="4720" w:type="dxa"/>
            <w:vAlign w:val="bottom"/>
          </w:tcPr>
          <w:p>
            <w:pPr>
              <w:jc w:val="right"/>
              <w:ind w:right="3470"/>
              <w:spacing w:after="0"/>
              <w:rPr>
                <w:sz w:val="20"/>
                <w:szCs w:val="20"/>
                <w:color w:val="auto"/>
              </w:rPr>
            </w:pPr>
            <w:r>
              <w:rPr>
                <w:rFonts w:ascii="Arial" w:cs="Arial" w:eastAsia="Arial" w:hAnsi="Arial"/>
                <w:sz w:val="18"/>
                <w:szCs w:val="18"/>
                <w:b w:val="1"/>
                <w:bCs w:val="1"/>
                <w:color w:val="auto"/>
                <w:w w:val="92"/>
              </w:rPr>
              <w:t>(763) 479-3680</w:t>
            </w:r>
          </w:p>
        </w:tc>
      </w:tr>
    </w:tbl>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ectPr>
          <w:pgSz w:w="11900" w:h="16838" w:orient="portrait"/>
          <w:cols w:equalWidth="0" w:num="1">
            <w:col w:w="11080"/>
          </w:cols>
          <w:pgMar w:left="320" w:top="692" w:right="499" w:bottom="1440" w:gutter="0" w:footer="0" w:header="0"/>
        </w:sectPr>
      </w:pPr>
    </w:p>
    <w:p>
      <w:pPr>
        <w:spacing w:after="0" w:line="211" w:lineRule="exact"/>
        <w:rPr>
          <w:sz w:val="24"/>
          <w:szCs w:val="24"/>
          <w:color w:val="auto"/>
        </w:rPr>
      </w:pPr>
    </w:p>
    <w:p>
      <w:pPr>
        <w:ind w:left="1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4225" cy="302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r>
      <w:tr>
        <w:trPr>
          <w:trHeight w:val="206"/>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PRLB</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22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170" w:lineRule="exact"/>
        <w:rPr>
          <w:sz w:val="24"/>
          <w:szCs w:val="24"/>
          <w:color w:val="auto"/>
        </w:rPr>
      </w:pPr>
    </w:p>
    <w:p>
      <w:pPr>
        <w:sectPr>
          <w:pgSz w:w="11900" w:h="16838" w:orient="portrait"/>
          <w:cols w:equalWidth="0" w:num="2">
            <w:col w:w="7320" w:space="360"/>
            <w:col w:w="3400"/>
          </w:cols>
          <w:pgMar w:left="320" w:top="692" w:right="499" w:bottom="1440" w:gutter="0" w:footer="0" w:header="0"/>
          <w:type w:val="continuous"/>
        </w:sectPr>
      </w:pPr>
    </w:p>
    <w:p>
      <w:pPr>
        <w:ind w:left="1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84" w:lineRule="exact"/>
        <w:rPr>
          <w:sz w:val="24"/>
          <w:szCs w:val="24"/>
          <w:color w:val="auto"/>
        </w:rPr>
      </w:pPr>
    </w:p>
    <w:p>
      <w:pPr>
        <w:ind w:left="140" w:right="100" w:firstLine="486"/>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182" w:lineRule="exact"/>
        <w:rPr>
          <w:sz w:val="24"/>
          <w:szCs w:val="24"/>
          <w:color w:val="auto"/>
        </w:rPr>
      </w:pPr>
    </w:p>
    <w:p>
      <w:pPr>
        <w:ind w:left="140" w:right="80" w:firstLine="486"/>
        <w:spacing w:after="0" w:line="28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spacing w:after="0"/>
              <w:rPr>
                <w:sz w:val="18"/>
                <w:szCs w:val="18"/>
                <w:color w:val="auto"/>
              </w:rPr>
            </w:pP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w w:val="97"/>
              </w:rPr>
              <w:t>Smaller reporting company</w:t>
            </w:r>
          </w:p>
        </w:tc>
        <w:tc>
          <w:tcPr>
            <w:tcW w:w="2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216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40" w:right="4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58" w:lineRule="exact"/>
        <w:rPr>
          <w:sz w:val="24"/>
          <w:szCs w:val="24"/>
          <w:color w:val="auto"/>
        </w:rPr>
      </w:pPr>
    </w:p>
    <w:p>
      <w:pPr>
        <w:ind w:left="140" w:right="80" w:firstLine="48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26,706,556 shares of Common Stock, par value $0.001 per share, were outstanding at July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92" w:right="499" w:bottom="144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spacing w:after="0"/>
              <w:rPr>
                <w:rFonts w:ascii="Arial" w:cs="Arial" w:eastAsia="Arial" w:hAnsi="Arial"/>
                <w:sz w:val="18"/>
                <w:szCs w:val="18"/>
                <w:u w:val="single" w:color="auto"/>
                <w:color w:val="0000EE"/>
                <w:w w:val="90"/>
              </w:rPr>
            </w:pPr>
            <w:hyperlink w:anchor="page2">
              <w:r>
                <w:rPr>
                  <w:rFonts w:ascii="Arial" w:cs="Arial" w:eastAsia="Arial" w:hAnsi="Arial"/>
                  <w:sz w:val="18"/>
                  <w:szCs w:val="18"/>
                  <w:u w:val="single" w:color="auto"/>
                  <w:color w:val="0000EE"/>
                  <w:w w:val="90"/>
                </w:rPr>
                <w:t>Table of Contents</w:t>
              </w:r>
            </w:hyperlink>
          </w:p>
        </w:tc>
        <w:tc>
          <w:tcPr>
            <w:tcW w:w="6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7"/>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ind w:left="3580"/>
              <w:spacing w:after="0"/>
              <w:rPr>
                <w:sz w:val="20"/>
                <w:szCs w:val="20"/>
                <w:color w:val="auto"/>
              </w:rPr>
            </w:pPr>
            <w:r>
              <w:rPr>
                <w:rFonts w:ascii="Arial" w:cs="Arial" w:eastAsia="Arial" w:hAnsi="Arial"/>
                <w:sz w:val="18"/>
                <w:szCs w:val="18"/>
                <w:b w:val="1"/>
                <w:bCs w:val="1"/>
                <w:color w:val="auto"/>
              </w:rPr>
              <w:t>Proto Labs,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67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411"/>
        </w:trPr>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Borders>
              <w:top w:val="single" w:sz="8" w:color="auto"/>
            </w:tcBorders>
          </w:tcPr>
          <w:p>
            <w:pPr>
              <w:jc w:val="center"/>
              <w:ind w:left="1870"/>
              <w:spacing w:after="0"/>
              <w:rPr>
                <w:rFonts w:ascii="Arial" w:cs="Arial" w:eastAsia="Arial" w:hAnsi="Arial"/>
                <w:sz w:val="18"/>
                <w:szCs w:val="18"/>
                <w:u w:val="single" w:color="auto"/>
                <w:color w:val="0000EE"/>
                <w:w w:val="92"/>
              </w:rPr>
            </w:pPr>
            <w:hyperlink w:anchor="page2">
              <w:r>
                <w:rPr>
                  <w:rFonts w:ascii="Arial" w:cs="Arial" w:eastAsia="Arial" w:hAnsi="Arial"/>
                  <w:sz w:val="18"/>
                  <w:szCs w:val="18"/>
                  <w:u w:val="single" w:color="auto"/>
                  <w:color w:val="0000EE"/>
                  <w:w w:val="92"/>
                </w:rPr>
                <w:t>PART I</w:t>
              </w:r>
            </w:hyperlink>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Financial Statements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w w:val="94"/>
              </w:rPr>
            </w:pPr>
            <w:hyperlink w:anchor="page13">
              <w:r>
                <w:rPr>
                  <w:rFonts w:ascii="Arial" w:cs="Arial" w:eastAsia="Arial" w:hAnsi="Arial"/>
                  <w:sz w:val="18"/>
                  <w:szCs w:val="18"/>
                  <w:u w:val="single" w:color="auto"/>
                  <w:color w:val="0000EE"/>
                  <w:w w:val="94"/>
                </w:rPr>
                <w:t>Management's Discussion and Analysis of Financial Condition and Results of Operations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Quantitative and Qualitative Disclosures about Market Risk</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Controls and Procedures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jc w:val="center"/>
              <w:ind w:left="1850"/>
              <w:spacing w:after="0"/>
              <w:rPr>
                <w:rFonts w:ascii="Arial" w:cs="Arial" w:eastAsia="Arial" w:hAnsi="Arial"/>
                <w:sz w:val="18"/>
                <w:szCs w:val="18"/>
                <w:u w:val="single" w:color="auto"/>
                <w:color w:val="0000EE"/>
                <w:w w:val="95"/>
              </w:rPr>
            </w:pPr>
            <w:hyperlink w:anchor="page21">
              <w:r>
                <w:rPr>
                  <w:rFonts w:ascii="Arial" w:cs="Arial" w:eastAsia="Arial" w:hAnsi="Arial"/>
                  <w:sz w:val="18"/>
                  <w:szCs w:val="18"/>
                  <w:u w:val="single" w:color="auto"/>
                  <w:color w:val="0000EE"/>
                  <w:w w:val="95"/>
                </w:rPr>
                <w:t>PART II</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r>
      <w:tr>
        <w:trPr>
          <w:trHeight w:val="216"/>
        </w:trPr>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1A.</w:t>
            </w:r>
          </w:p>
        </w:tc>
        <w:tc>
          <w:tcPr>
            <w:tcW w:w="67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Unregistered Sales of Equity Securities and Use of Proceeds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Defaults Upon Senior Securities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Disclosures</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40" w:type="dxa"/>
            <w:vAlign w:val="bottom"/>
          </w:tcPr>
          <w:p>
            <w:pPr>
              <w:spacing w:after="0"/>
              <w:rPr>
                <w:sz w:val="18"/>
                <w:szCs w:val="18"/>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r>
      <w:tr>
        <w:trPr>
          <w:trHeight w:val="230"/>
        </w:trPr>
        <w:tc>
          <w:tcPr>
            <w:tcW w:w="10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240" w:type="dxa"/>
            <w:vAlign w:val="bottom"/>
          </w:tcPr>
          <w:p>
            <w:pPr>
              <w:spacing w:after="0"/>
              <w:rPr>
                <w:sz w:val="20"/>
                <w:szCs w:val="20"/>
                <w:color w:val="auto"/>
              </w:rPr>
            </w:pPr>
          </w:p>
        </w:tc>
        <w:tc>
          <w:tcPr>
            <w:tcW w:w="67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20"/>
                <w:szCs w:val="20"/>
                <w:color w:val="auto"/>
              </w:rPr>
            </w:pPr>
          </w:p>
        </w:tc>
      </w:tr>
      <w:tr>
        <w:trPr>
          <w:trHeight w:val="675"/>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300" w:type="dxa"/>
            <w:vAlign w:val="bottom"/>
            <w:tcBorders>
              <w:bottom w:val="single" w:sz="8" w:color="9A9A9A"/>
            </w:tcBorders>
            <w:gridSpan w:val="2"/>
          </w:tcPr>
          <w:p>
            <w:pPr>
              <w:spacing w:after="0"/>
              <w:rPr>
                <w:sz w:val="10"/>
                <w:szCs w:val="10"/>
                <w:color w:val="auto"/>
              </w:rPr>
            </w:pPr>
          </w:p>
        </w:tc>
        <w:tc>
          <w:tcPr>
            <w:tcW w:w="6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r>
        <w:trPr>
          <w:trHeight w:val="324"/>
        </w:trPr>
        <w:tc>
          <w:tcPr>
            <w:tcW w:w="1300" w:type="dxa"/>
            <w:vAlign w:val="bottom"/>
            <w:gridSpan w:val="2"/>
          </w:tcPr>
          <w:p>
            <w:pPr>
              <w:spacing w:after="0"/>
              <w:rPr>
                <w:rFonts w:ascii="Arial" w:cs="Arial" w:eastAsia="Arial" w:hAnsi="Arial"/>
                <w:sz w:val="18"/>
                <w:szCs w:val="18"/>
                <w:u w:val="single" w:color="auto"/>
                <w:color w:val="0000EE"/>
                <w:w w:val="90"/>
              </w:rPr>
            </w:pPr>
            <w:hyperlink w:anchor="page2">
              <w:r>
                <w:rPr>
                  <w:rFonts w:ascii="Arial" w:cs="Arial" w:eastAsia="Arial" w:hAnsi="Arial"/>
                  <w:sz w:val="18"/>
                  <w:szCs w:val="18"/>
                  <w:u w:val="single" w:color="auto"/>
                  <w:color w:val="0000EE"/>
                  <w:w w:val="90"/>
                </w:rPr>
                <w:t>Table of Contents</w:t>
              </w:r>
            </w:hyperlink>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7"/>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Proto Labs,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jc w:val="center"/>
              <w:ind w:left="18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1"/>
        </w:trPr>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gridSpan w:val="3"/>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r>
        <w:trPr>
          <w:trHeight w:val="522"/>
        </w:trPr>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r>
      <w:tr>
        <w:trPr>
          <w:trHeight w:val="209"/>
        </w:trPr>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125,225</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35,437</w:t>
            </w:r>
          </w:p>
        </w:tc>
      </w:tr>
      <w:tr>
        <w:trPr>
          <w:trHeight w:val="202"/>
        </w:trPr>
        <w:tc>
          <w:tcPr>
            <w:tcW w:w="80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Accounts receivable, net of allowance for doubtful accounts of $1,836 and $952 as of June 30, 2020 and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December 31, 2019, respectively</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57,450</w:t>
            </w:r>
          </w:p>
        </w:tc>
      </w:tr>
      <w:tr>
        <w:trPr>
          <w:trHeight w:val="216"/>
        </w:trPr>
        <w:tc>
          <w:tcPr>
            <w:tcW w:w="1300" w:type="dxa"/>
            <w:vAlign w:val="bottom"/>
            <w:gridSpan w:val="2"/>
          </w:tcPr>
          <w:p>
            <w:pPr>
              <w:ind w:left="340"/>
              <w:spacing w:after="0"/>
              <w:rPr>
                <w:sz w:val="20"/>
                <w:szCs w:val="20"/>
                <w:color w:val="auto"/>
              </w:rPr>
            </w:pPr>
            <w:r>
              <w:rPr>
                <w:rFonts w:ascii="Arial" w:cs="Arial" w:eastAsia="Arial" w:hAnsi="Arial"/>
                <w:sz w:val="18"/>
                <w:szCs w:val="18"/>
                <w:color w:val="auto"/>
              </w:rPr>
              <w:t>Inventory</w:t>
            </w:r>
          </w:p>
        </w:tc>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10,075</w:t>
            </w: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18"/>
                <w:szCs w:val="18"/>
                <w:color w:val="auto"/>
              </w:rPr>
            </w:pPr>
          </w:p>
        </w:tc>
      </w:tr>
      <w:tr>
        <w:trPr>
          <w:trHeight w:val="209"/>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236,419</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281,129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263,712</w:t>
            </w:r>
          </w:p>
        </w:tc>
      </w:tr>
      <w:tr>
        <w:trPr>
          <w:trHeight w:val="216"/>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6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128,752</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15,861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17,369</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12,960</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Operating lease assets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11,049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11,425</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r>
      <w:tr>
        <w:trPr>
          <w:trHeight w:val="209"/>
        </w:trPr>
        <w:tc>
          <w:tcPr>
            <w:tcW w:w="8000" w:type="dxa"/>
            <w:vAlign w:val="bottom"/>
            <w:gridSpan w:val="3"/>
          </w:tcPr>
          <w:p>
            <w:pPr>
              <w:ind w:left="6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698,445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673,667</w:t>
            </w:r>
          </w:p>
        </w:tc>
      </w:tr>
      <w:tr>
        <w:trPr>
          <w:trHeight w:val="20"/>
        </w:trPr>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3"/>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Current liabilities</w:t>
            </w:r>
          </w:p>
        </w:tc>
        <w:tc>
          <w:tcPr>
            <w:tcW w:w="6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17,556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16,804</w:t>
            </w: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15,058</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Accrued liabilities and other</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15,041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11,057</w:t>
            </w:r>
          </w:p>
        </w:tc>
      </w:tr>
      <w:tr>
        <w:trPr>
          <w:trHeight w:val="216"/>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3,340</w:t>
            </w:r>
          </w:p>
        </w:tc>
      </w:tr>
      <w:tr>
        <w:trPr>
          <w:trHeight w:val="216"/>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1,322</w:t>
            </w:r>
          </w:p>
        </w:tc>
      </w:tr>
      <w:tr>
        <w:trPr>
          <w:trHeight w:val="209"/>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47,581</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8,565</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tax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26,283</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5,807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5,448</w:t>
            </w:r>
          </w:p>
        </w:tc>
      </w:tr>
      <w:tr>
        <w:trPr>
          <w:trHeight w:val="209"/>
        </w:trPr>
        <w:tc>
          <w:tcPr>
            <w:tcW w:w="80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87,877</w:t>
            </w:r>
          </w:p>
        </w:tc>
      </w:tr>
      <w:tr>
        <w:trPr>
          <w:trHeight w:val="216"/>
        </w:trPr>
        <w:tc>
          <w:tcPr>
            <w:tcW w:w="800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2"/>
              </w:rPr>
              <w:t>Preferred stock, $0.001 par value, authorized 10,000,000 shares; issued and outstanding 0 shares as of</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each of June 30, 2020 and December 31, 2019</w:t>
            </w: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r>
      <w:tr>
        <w:trPr>
          <w:trHeight w:val="103"/>
        </w:trPr>
        <w:tc>
          <w:tcPr>
            <w:tcW w:w="10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-7103110</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-7111365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-5422900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-5431155</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Common stock, $0.001 par value, authorized 150,000,000 shares; issued and outstanding 26,706,556</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26,786,459 shares as of June 30, 2020 and December 31, 2019, respectively</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272,231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268,059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338,625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324,722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w:t>
            </w: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601,249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585,790</w:t>
            </w: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698,445</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673,667</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8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106,575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115,932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221,683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229,384</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54,119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111,127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110,288</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52,456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110,556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119,096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16,936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19,285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35,116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37,862</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16,182</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13,209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26,629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26,031</w:t>
            </w:r>
          </w:p>
        </w:tc>
      </w:tr>
      <w:tr>
        <w:trPr>
          <w:trHeight w:val="210"/>
        </w:trPr>
        <w:tc>
          <w:tcPr>
            <w:tcW w:w="5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38,105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40,663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79,380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80,075</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14,351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19,573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39,021</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15,118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20,698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40,359</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8,682</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12,607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16,166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26,591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31,677</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per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598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0.47</w:t>
            </w:r>
          </w:p>
        </w:tc>
        <w:tc>
          <w:tcPr>
            <w:tcW w:w="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0.60</w:t>
            </w:r>
          </w:p>
        </w:tc>
        <w:tc>
          <w:tcPr>
            <w:tcW w:w="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0.99</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1.17</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used to compute net income per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26,660,498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26,875,153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26,718,652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26,919,016</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9"/>
              </w:rPr>
              <w:t>26,760,866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27,041,422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26,837,938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w w:val="93"/>
              </w:rPr>
              <w:t>27,113,328</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Comprehensive Income (net of tax)</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12,971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15,688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31,675</w:t>
            </w:r>
          </w:p>
        </w:tc>
      </w:tr>
      <w:tr>
        <w:trPr>
          <w:trHeight w:val="311"/>
        </w:trPr>
        <w:tc>
          <w:tcPr>
            <w:tcW w:w="598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12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19"/>
                <w:szCs w:val="19"/>
                <w:color w:val="auto"/>
              </w:rPr>
            </w:pPr>
          </w:p>
        </w:tc>
        <w:tc>
          <w:tcPr>
            <w:tcW w:w="2120" w:type="dxa"/>
            <w:vAlign w:val="bottom"/>
            <w:tcBorders>
              <w:bottom w:val="single" w:sz="8" w:color="auto"/>
            </w:tcBorders>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6"/>
                <w:szCs w:val="16"/>
                <w:color w:val="auto"/>
              </w:rPr>
            </w:pPr>
          </w:p>
        </w:tc>
        <w:tc>
          <w:tcPr>
            <w:tcW w:w="100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6"/>
                <w:szCs w:val="16"/>
                <w:color w:val="auto"/>
              </w:rPr>
            </w:pPr>
          </w:p>
        </w:tc>
        <w:tc>
          <w:tcPr>
            <w:tcW w:w="13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44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34"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26,786,459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324,722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585,790</w:t>
            </w:r>
          </w:p>
        </w:tc>
        <w:tc>
          <w:tcPr>
            <w:tcW w:w="0" w:type="dxa"/>
            <w:vAlign w:val="bottom"/>
          </w:tcPr>
          <w:p>
            <w:pPr>
              <w:spacing w:after="0"/>
              <w:rPr>
                <w:sz w:val="1"/>
                <w:szCs w:val="1"/>
                <w:color w:val="auto"/>
              </w:rPr>
            </w:pPr>
          </w:p>
        </w:tc>
      </w:tr>
      <w:tr>
        <w:trPr>
          <w:trHeight w:val="202"/>
        </w:trPr>
        <w:tc>
          <w:tcPr>
            <w:tcW w:w="440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(161,460)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9"/>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11,004</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26,648,524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268,574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329,137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587,740</w:t>
            </w:r>
          </w:p>
        </w:tc>
        <w:tc>
          <w:tcPr>
            <w:tcW w:w="0" w:type="dxa"/>
            <w:vAlign w:val="bottom"/>
          </w:tcPr>
          <w:p>
            <w:pPr>
              <w:spacing w:after="0"/>
              <w:rPr>
                <w:sz w:val="1"/>
                <w:szCs w:val="1"/>
                <w:color w:val="auto"/>
              </w:rPr>
            </w:pPr>
          </w:p>
        </w:tc>
      </w:tr>
      <w:tr>
        <w:trPr>
          <w:trHeight w:val="182"/>
        </w:trPr>
        <w:tc>
          <w:tcPr>
            <w:tcW w:w="440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w w:val="96"/>
              </w:rPr>
              <w:t>Common shares issued on exercise of options and other,</w:t>
            </w: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96,186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(38,154)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26,706,556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272,231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338,625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601,249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400" w:type="dxa"/>
            <w:vAlign w:val="bottom"/>
          </w:tcPr>
          <w:p>
            <w:pPr>
              <w:spacing w:after="0"/>
              <w:rPr>
                <w:sz w:val="24"/>
                <w:szCs w:val="24"/>
                <w:color w:val="auto"/>
              </w:rPr>
            </w:pPr>
          </w:p>
        </w:tc>
        <w:tc>
          <w:tcPr>
            <w:tcW w:w="2120" w:type="dxa"/>
            <w:vAlign w:val="bottom"/>
            <w:gridSpan w:val="4"/>
            <w:vMerge w:val="restart"/>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0" w:type="dxa"/>
            <w:vAlign w:val="bottom"/>
          </w:tcPr>
          <w:p>
            <w:pPr>
              <w:spacing w:after="0"/>
              <w:rPr>
                <w:sz w:val="19"/>
                <w:szCs w:val="19"/>
                <w:color w:val="auto"/>
              </w:rPr>
            </w:pPr>
          </w:p>
        </w:tc>
        <w:tc>
          <w:tcPr>
            <w:tcW w:w="212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16"/>
                <w:szCs w:val="16"/>
                <w:color w:val="auto"/>
              </w:rPr>
            </w:pP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0"/>
              </w:rPr>
              <w:t>Loss</w:t>
            </w: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26,984,747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258,502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291,460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541,497</w:t>
            </w:r>
          </w:p>
        </w:tc>
        <w:tc>
          <w:tcPr>
            <w:tcW w:w="0" w:type="dxa"/>
            <w:vAlign w:val="bottom"/>
          </w:tcPr>
          <w:p>
            <w:pPr>
              <w:spacing w:after="0"/>
              <w:rPr>
                <w:sz w:val="1"/>
                <w:szCs w:val="1"/>
                <w:color w:val="auto"/>
              </w:rPr>
            </w:pPr>
          </w:p>
        </w:tc>
      </w:tr>
      <w:tr>
        <w:trPr>
          <w:trHeight w:val="202"/>
        </w:trPr>
        <w:tc>
          <w:tcPr>
            <w:tcW w:w="440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shares issued on exercise of options and other,</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19,950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(157,716)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15,511</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15,987</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26,846,981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259,611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291,173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542,795</w:t>
            </w:r>
          </w:p>
        </w:tc>
        <w:tc>
          <w:tcPr>
            <w:tcW w:w="0" w:type="dxa"/>
            <w:vAlign w:val="bottom"/>
          </w:tcPr>
          <w:p>
            <w:pPr>
              <w:spacing w:after="0"/>
              <w:rPr>
                <w:sz w:val="1"/>
                <w:szCs w:val="1"/>
                <w:color w:val="auto"/>
              </w:rPr>
            </w:pPr>
          </w:p>
        </w:tc>
      </w:tr>
      <w:tr>
        <w:trPr>
          <w:trHeight w:val="182"/>
        </w:trPr>
        <w:tc>
          <w:tcPr>
            <w:tcW w:w="440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w w:val="96"/>
              </w:rPr>
              <w:t>Common shares issued on exercise of options and other,</w:t>
            </w: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of shares withheld for tax obligations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75,785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(40,669)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16,166</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i w:val="1"/>
                <w:iCs w:val="1"/>
                <w:color w:val="auto"/>
              </w:rPr>
              <w:t>Other comprehensive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15,688</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26,882,097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262,952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303,628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558,113</w:t>
            </w:r>
          </w:p>
        </w:tc>
        <w:tc>
          <w:tcPr>
            <w:tcW w:w="0" w:type="dxa"/>
            <w:vAlign w:val="bottom"/>
          </w:tcPr>
          <w:p>
            <w:pPr>
              <w:spacing w:after="0"/>
              <w:rPr>
                <w:sz w:val="1"/>
                <w:szCs w:val="1"/>
                <w:color w:val="auto"/>
              </w:rPr>
            </w:pPr>
          </w:p>
        </w:tc>
      </w:tr>
      <w:tr>
        <w:trPr>
          <w:trHeight w:val="311"/>
        </w:trPr>
        <w:tc>
          <w:tcPr>
            <w:tcW w:w="440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Proto Labs,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Six Months Ended</w:t>
            </w:r>
          </w:p>
        </w:tc>
        <w:tc>
          <w:tcPr>
            <w:tcW w:w="62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62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26,591</w:t>
            </w:r>
          </w:p>
        </w:tc>
        <w:tc>
          <w:tcPr>
            <w:tcW w:w="10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31,677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15,855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14,981</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6,526</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taxes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5,651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1,585</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held-to-maturity securities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140"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1580" w:type="dxa"/>
            <w:vAlign w:val="bottom"/>
          </w:tcPr>
          <w:p>
            <w:pPr>
              <w:jc w:val="right"/>
              <w:spacing w:after="0"/>
              <w:rPr>
                <w:sz w:val="20"/>
                <w:szCs w:val="20"/>
                <w:color w:val="auto"/>
              </w:rPr>
            </w:pPr>
            <w:r>
              <w:rPr>
                <w:rFonts w:ascii="Arial" w:cs="Arial" w:eastAsia="Arial" w:hAnsi="Arial"/>
                <w:sz w:val="18"/>
                <w:szCs w:val="18"/>
                <w:color w:val="auto"/>
              </w:rPr>
              <w:t>(4,292)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(3,461)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1580" w:type="dxa"/>
            <w:vAlign w:val="bottom"/>
          </w:tcPr>
          <w:p>
            <w:pPr>
              <w:jc w:val="right"/>
              <w:spacing w:after="0"/>
              <w:rPr>
                <w:sz w:val="20"/>
                <w:szCs w:val="20"/>
                <w:color w:val="auto"/>
              </w:rPr>
            </w:pPr>
            <w:r>
              <w:rPr>
                <w:rFonts w:ascii="Arial" w:cs="Arial" w:eastAsia="Arial" w:hAnsi="Arial"/>
                <w:sz w:val="18"/>
                <w:szCs w:val="18"/>
                <w:color w:val="auto"/>
              </w:rPr>
              <w:t>(1,068)</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4,833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1,082</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3,848</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liabilities and other</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5,793</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w:t>
            </w: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53,417</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54,888</w:t>
            </w:r>
          </w:p>
        </w:tc>
      </w:tr>
      <w:tr>
        <w:trPr>
          <w:trHeight w:val="209"/>
        </w:trPr>
        <w:tc>
          <w:tcPr>
            <w:tcW w:w="80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equipment and other capital assets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other assets and investments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(3,000)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maturities of marketable securities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28,225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29,170</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(65,292)</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(17,949)</w:t>
            </w:r>
          </w:p>
        </w:tc>
      </w:tr>
    </w:tbl>
    <w:p>
      <w:pPr>
        <w:spacing w:after="0" w:line="198" w:lineRule="exact"/>
        <w:rPr>
          <w:sz w:val="20"/>
          <w:szCs w:val="20"/>
          <w:color w:val="auto"/>
        </w:rPr>
      </w:pPr>
    </w:p>
    <w:p>
      <w:pPr>
        <w:sectPr>
          <w:pgSz w:w="11900" w:h="16838" w:orient="portrait"/>
          <w:cols w:equalWidth="0" w:num="1">
            <w:col w:w="11240"/>
          </w:cols>
          <w:pgMar w:left="320" w:top="125" w:right="339" w:bottom="1081" w:gutter="0" w:footer="0" w:header="0"/>
        </w:sect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Proceeds from exercises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Purchases of shares withheld for tax obligations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(decrease) increase in cash and cash equivalents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2,243</w:t>
            </w:r>
          </w:p>
        </w:tc>
      </w:tr>
      <w:tr>
        <w:trPr>
          <w:trHeight w:val="216"/>
        </w:trPr>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(2,418)</w:t>
            </w:r>
          </w:p>
        </w:tc>
      </w:tr>
      <w:tr>
        <w:trPr>
          <w:trHeight w:val="230"/>
        </w:trPr>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(21,410)</w:t>
            </w:r>
          </w:p>
        </w:tc>
      </w:tr>
      <w:tr>
        <w:trPr>
          <w:trHeight w:val="209"/>
        </w:trPr>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(15,198)</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(21,585)</w:t>
            </w:r>
          </w:p>
        </w:tc>
      </w:tr>
      <w:tr>
        <w:trPr>
          <w:trHeight w:val="195"/>
        </w:trPr>
        <w:tc>
          <w:tcPr>
            <w:tcW w:w="48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(149)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135</w:t>
            </w:r>
          </w:p>
        </w:tc>
      </w:tr>
      <w:tr>
        <w:trPr>
          <w:trHeight w:val="216"/>
        </w:trPr>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15,489</w:t>
            </w:r>
          </w:p>
        </w:tc>
      </w:tr>
      <w:tr>
        <w:trPr>
          <w:trHeight w:val="216"/>
        </w:trPr>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125,225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85,046</w:t>
            </w:r>
          </w:p>
        </w:tc>
      </w:tr>
      <w:tr>
        <w:trPr>
          <w:trHeight w:val="230"/>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98,003</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100,535</w:t>
            </w: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5" w:right="339" w:bottom="1081"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2019 as filed with the Securities and Exchange Commission (SEC) on February 26, 2020.</w:t>
      </w:r>
    </w:p>
    <w:p>
      <w:pPr>
        <w:spacing w:after="0" w:line="188"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The accompanying Consolidated Balance Sheet as of December 31, 2019 was derived from the audited Consolidated Financial Statements but does not include all disclosures required by U.S. GAAP for a full set of financial statements. This Form 10-Q should be read in conjunction with the Company’s Consolidated Financial Statements and Notes included in the Annual Report on Form 10-K filed on February 26, 2020 as referenced above.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During the first quarter of 2020, the Company adopted the Financial Accounting Standards Board (FASB) Accounting Standards Update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is intended to provide financial statement users with more decision-useful information about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on financial instruments held by a reporting entity at each reporting date. The adoption of this guidance had no material impact on our consolidated financial statements.</w:t>
      </w:r>
    </w:p>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During the fourth quarter of 2019, the Company early adopted the FASB ASU 2017-04, Intangibles – Goodwill and Other, which is intended to simplify the subsequent measurement of goodwill. The adoption of this guidance had no material impact on our consolidated financial statements.</w:t>
      </w:r>
    </w:p>
    <w:p>
      <w:pPr>
        <w:sectPr>
          <w:pgSz w:w="11900" w:h="16838" w:orient="portrait"/>
          <w:cols w:equalWidth="0" w:num="1">
            <w:col w:w="11240"/>
          </w:cols>
          <w:pgMar w:left="320" w:top="125" w:right="339" w:bottom="1081" w:gutter="0" w:footer="0" w:header="0"/>
          <w:type w:val="continuous"/>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081"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Net Income per Common Share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restricted stock units and restricted stock awards granted under stock-based compensation plans and shares committed to be purchased under the employee stock purchase plan. Performance stock units are excluded from the calculation of dilutive potential common shares until the performance conditions have been satisfied.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(in thousands, except share and per share amounts)</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26,591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weighted-average shares outstanding:</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26,660,498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26,875,153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26,718,652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26,919,016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Employee stock options and other</w:t>
            </w:r>
          </w:p>
        </w:tc>
        <w:tc>
          <w:tcPr>
            <w:tcW w:w="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100,368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166,269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119,286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194,312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ind w:left="280"/>
              <w:spacing w:after="0"/>
              <w:rPr>
                <w:sz w:val="20"/>
                <w:szCs w:val="20"/>
                <w:color w:val="auto"/>
              </w:rPr>
            </w:pPr>
            <w:r>
              <w:rPr>
                <w:rFonts w:ascii="Arial" w:cs="Arial" w:eastAsia="Arial" w:hAnsi="Arial"/>
                <w:sz w:val="18"/>
                <w:szCs w:val="18"/>
                <w:color w:val="auto"/>
              </w:rPr>
              <w:t>Diluted - weighted-average shares outstanding:</w:t>
            </w: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26,760,866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27,041,422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26,837,938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27,113,328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44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0.60</w:t>
            </w:r>
          </w:p>
        </w:tc>
        <w:tc>
          <w:tcPr>
            <w:tcW w:w="3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0.99</w:t>
            </w:r>
          </w:p>
        </w:tc>
        <w:tc>
          <w:tcPr>
            <w:tcW w:w="3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444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carrying amount of Goodwill during the three and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at June 30, 2020 and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220345</wp:posOffset>
            </wp:positionV>
            <wp:extent cx="67722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3"/>
              </w:rPr>
              <w:t>June 30, 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December 31, 2019</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Useful</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191"/>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Useful Life</w:t>
            </w: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Life (in</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(in</w:t>
            </w:r>
          </w:p>
        </w:tc>
      </w:tr>
      <w:tr>
        <w:trPr>
          <w:trHeight w:val="234"/>
        </w:trPr>
        <w:tc>
          <w:tcPr>
            <w:tcW w:w="2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7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Gross</w:t>
            </w: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Gross</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finite lives: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Marketing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930</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3.8</w:t>
            </w: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2.0 - 5.0</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2.5</w:t>
            </w: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Software technology</w:t>
            </w: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13,229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13,229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10,954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7.5</w:t>
            </w:r>
          </w:p>
        </w:tc>
      </w:tr>
      <w:tr>
        <w:trPr>
          <w:trHeight w:val="216"/>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10,070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5,964</w:t>
            </w:r>
          </w:p>
        </w:tc>
        <w:tc>
          <w:tcPr>
            <w:tcW w:w="8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6.0 - 9.0</w:t>
            </w:r>
          </w:p>
        </w:tc>
        <w:tc>
          <w:tcPr>
            <w:tcW w:w="16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3.3</w:t>
            </w:r>
          </w:p>
        </w:tc>
      </w:tr>
      <w:tr>
        <w:trPr>
          <w:trHeight w:val="209"/>
        </w:trPr>
        <w:tc>
          <w:tcPr>
            <w:tcW w:w="266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24,499</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(8,638)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15,861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24,499</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17,369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bl>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for intangible assets was $0.8 million and $0.9 million for the three months ended June 30, 2020 and 2019, respectively, and $1.5 million and $1.7 million for the six months ended June 30,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Estimated aggregated amortization expense based on the current carrying value of the amortizable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220345</wp:posOffset>
            </wp:positionV>
            <wp:extent cx="64122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Expense</w:t>
            </w: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3,016</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2,813</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4,108</w:t>
            </w:r>
          </w:p>
        </w:tc>
      </w:tr>
      <w:tr>
        <w:trPr>
          <w:trHeight w:val="249"/>
        </w:trPr>
        <w:tc>
          <w:tcPr>
            <w:tcW w:w="2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3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15,861</w:t>
            </w: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bottom w:val="single" w:sz="8" w:color="auto"/>
            </w:tcBorders>
          </w:tcPr>
          <w:p>
            <w:pPr>
              <w:spacing w:after="0"/>
              <w:rPr>
                <w:sz w:val="17"/>
                <w:szCs w:val="17"/>
                <w:color w:val="auto"/>
              </w:rPr>
            </w:pPr>
          </w:p>
        </w:tc>
        <w:tc>
          <w:tcPr>
            <w:tcW w:w="290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spacing w:after="0"/>
              <w:rPr>
                <w:sz w:val="17"/>
                <w:szCs w:val="17"/>
                <w:color w:val="auto"/>
              </w:rPr>
            </w:pPr>
          </w:p>
        </w:tc>
      </w:tr>
    </w:tbl>
    <w:p>
      <w:pPr>
        <w:sectPr>
          <w:pgSz w:w="11900" w:h="16838" w:orient="portrait"/>
          <w:cols w:equalWidth="0" w:num="1">
            <w:col w:w="11240"/>
          </w:cols>
          <w:pgMar w:left="320" w:top="125" w:right="3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Accounting Standards Codification (ASC 820), </w:t>
      </w:r>
      <w:r>
        <w:rPr>
          <w:rFonts w:ascii="Arial" w:cs="Arial" w:eastAsia="Arial" w:hAnsi="Arial"/>
          <w:sz w:val="17"/>
          <w:szCs w:val="17"/>
          <w:i w:val="1"/>
          <w:iCs w:val="1"/>
          <w:color w:val="auto"/>
        </w:rPr>
        <w:t>Fair Value Measuremen</w:t>
      </w:r>
      <w:r>
        <w:rPr>
          <w:rFonts w:ascii="Arial" w:cs="Arial" w:eastAsia="Arial" w:hAnsi="Arial"/>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1—Quoted prices in active markets for identical assets or liabilities.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Level </w:t>
      </w:r>
      <w:r>
        <w:rPr>
          <w:rFonts w:ascii="Arial" w:cs="Arial" w:eastAsia="Arial" w:hAnsi="Arial"/>
          <w:sz w:val="16"/>
          <w:szCs w:val="16"/>
          <w:color w:val="auto"/>
        </w:rPr>
        <w:t>2—Observable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w:t>
      </w:r>
      <w:r>
        <w:rPr>
          <w:rFonts w:ascii="Arial" w:cs="Arial" w:eastAsia="Arial" w:hAnsi="Arial"/>
          <w:sz w:val="17"/>
          <w:szCs w:val="17"/>
          <w:color w:val="auto"/>
        </w:rPr>
        <w:t>3—Unobservable inputs that are supported by little or no market activity and that are significant to the fair value of the assets or liabilities.</w:t>
      </w:r>
    </w:p>
    <w:p>
      <w:pPr>
        <w:spacing w:after="0" w:line="2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Company’s cash consists of bank deposits. The Company’s cash equivalents measured at fair value consist of money market mutual funds. The Company determines the fair value of these investments using Level 1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assets as of June 30, 2020 and December 31, 2019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June 30, 2020</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December 31, 2019</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Level 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Level 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Level 3</w:t>
            </w:r>
          </w:p>
        </w:tc>
        <w:tc>
          <w:tcPr>
            <w:tcW w:w="28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mutual fund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26,088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68,962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46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26,088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68,962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Marketable Securities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invests in short-term and long-term agency, municipal, corporate and other debt securities. The securities are categorized as held-to-maturity and are recorded at amortized cost, net of an allowance for credit losses. Categorization as held-to-maturity is based on the Company’s ability and intent to hold these securities to maturity. The following table summarizes information regarding the Company’s short-term and long-term marketable securities as of June 30,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June 30, 2020</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4380" w:type="dxa"/>
            <w:vAlign w:val="bottom"/>
            <w:gridSpan w:val="2"/>
          </w:tcPr>
          <w:p>
            <w:pPr>
              <w:ind w:left="560"/>
              <w:spacing w:after="0"/>
              <w:rPr>
                <w:sz w:val="20"/>
                <w:szCs w:val="20"/>
                <w:color w:val="auto"/>
              </w:rPr>
            </w:pPr>
            <w:r>
              <w:rPr>
                <w:rFonts w:ascii="Arial" w:cs="Arial" w:eastAsia="Arial" w:hAnsi="Arial"/>
                <w:sz w:val="18"/>
                <w:szCs w:val="18"/>
                <w:color w:val="auto"/>
              </w:rPr>
              <w:t>(in thousands)</w:t>
            </w:r>
          </w:p>
        </w:tc>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Losses</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8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8,911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34,968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35,321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25,290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5,301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2,999</w:t>
            </w:r>
          </w:p>
        </w:tc>
        <w:tc>
          <w:tcPr>
            <w:tcW w:w="560" w:type="dxa"/>
            <w:vAlign w:val="bottom"/>
          </w:tcPr>
          <w:p>
            <w:pPr>
              <w:spacing w:after="0"/>
              <w:rPr>
                <w:sz w:val="18"/>
                <w:szCs w:val="18"/>
                <w:color w:val="auto"/>
              </w:rPr>
            </w:pPr>
          </w:p>
        </w:tc>
      </w:tr>
      <w:tr>
        <w:trPr>
          <w:trHeight w:val="210"/>
        </w:trPr>
        <w:tc>
          <w:tcPr>
            <w:tcW w:w="4380" w:type="dxa"/>
            <w:vAlign w:val="bottom"/>
            <w:gridSpan w:val="2"/>
          </w:tcPr>
          <w:p>
            <w:pPr>
              <w:ind w:left="560"/>
              <w:spacing w:after="0"/>
              <w:rPr>
                <w:sz w:val="20"/>
                <w:szCs w:val="20"/>
                <w:color w:val="auto"/>
              </w:rPr>
            </w:pPr>
            <w:r>
              <w:rPr>
                <w:rFonts w:ascii="Arial" w:cs="Arial" w:eastAsia="Arial" w:hAnsi="Arial"/>
                <w:sz w:val="18"/>
                <w:szCs w:val="18"/>
                <w:color w:val="auto"/>
              </w:rPr>
              <w:t>Total marketable securities</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77,255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574</w:t>
            </w: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77,822</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1"/>
        </w:trPr>
        <w:tc>
          <w:tcPr>
            <w:tcW w:w="5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r>
        <w:trPr>
          <w:trHeight w:val="540"/>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960" w:type="dxa"/>
            <w:vAlign w:val="bottom"/>
          </w:tcPr>
          <w:p>
            <w:pPr>
              <w:jc w:val="right"/>
              <w:ind w:right="59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380" w:type="dxa"/>
            <w:vAlign w:val="bottom"/>
            <w:tcBorders>
              <w:bottom w:val="single" w:sz="8" w:color="9A9A9A"/>
            </w:tcBorders>
            <w:gridSpan w:val="2"/>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r>
        <w:trPr>
          <w:trHeight w:val="324"/>
        </w:trPr>
        <w:tc>
          <w:tcPr>
            <w:tcW w:w="43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-641985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-213995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3"/>
              </w:rPr>
              <w:t>December 31, 2019</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10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6340" w:type="dxa"/>
            <w:vAlign w:val="bottom"/>
            <w:gridSpan w:val="2"/>
          </w:tcPr>
          <w:p>
            <w:pPr>
              <w:ind w:left="56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6"/>
              </w:rPr>
              <w:t>Losses</w:t>
            </w:r>
          </w:p>
        </w:tc>
        <w:tc>
          <w:tcPr>
            <w:tcW w:w="8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Fair Value</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10,210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26,944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27,012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Certificates of deposit/time deposits</w:t>
            </w: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c>
          <w:tcPr>
            <w:tcW w:w="560" w:type="dxa"/>
            <w:vAlign w:val="bottom"/>
          </w:tcPr>
          <w:p>
            <w:pPr>
              <w:spacing w:after="0"/>
              <w:rPr>
                <w:sz w:val="18"/>
                <w:szCs w:val="18"/>
                <w:color w:val="auto"/>
              </w:rPr>
            </w:pPr>
          </w:p>
        </w:tc>
      </w:tr>
      <w:tr>
        <w:trPr>
          <w:trHeight w:val="209"/>
        </w:trPr>
        <w:tc>
          <w:tcPr>
            <w:tcW w:w="6340" w:type="dxa"/>
            <w:vAlign w:val="bottom"/>
            <w:gridSpan w:val="2"/>
          </w:tcPr>
          <w:p>
            <w:pPr>
              <w:ind w:left="560"/>
              <w:spacing w:after="0"/>
              <w:rPr>
                <w:sz w:val="20"/>
                <w:szCs w:val="20"/>
                <w:color w:val="auto"/>
              </w:rPr>
            </w:pPr>
            <w:r>
              <w:rPr>
                <w:rFonts w:ascii="Arial" w:cs="Arial" w:eastAsia="Arial" w:hAnsi="Arial"/>
                <w:sz w:val="18"/>
                <w:szCs w:val="18"/>
                <w:color w:val="auto"/>
              </w:rPr>
              <w:t>Total marketable securities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48,397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48,487</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2"/>
        </w:trPr>
        <w:tc>
          <w:tcPr>
            <w:tcW w:w="58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50" w:gutter="0" w:footer="0" w:header="0"/>
        </w:sectPr>
      </w:pPr>
    </w:p>
    <w:bookmarkStart w:id="8" w:name="page9"/>
    <w:bookmarkEnd w:id="8"/>
    <w:p>
      <w:pPr>
        <w:jc w:val="both"/>
        <w:ind w:right="40"/>
        <w:spacing w:after="0" w:line="263" w:lineRule="auto"/>
        <w:rPr>
          <w:sz w:val="20"/>
          <w:szCs w:val="20"/>
          <w:color w:val="auto"/>
        </w:rPr>
      </w:pPr>
      <w:r>
        <w:rPr>
          <w:rFonts w:ascii="Arial" w:cs="Arial" w:eastAsia="Arial" w:hAnsi="Arial"/>
          <w:sz w:val="18"/>
          <w:szCs w:val="18"/>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During the first quarter of 2020, the Company adopted the FASB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The Company calculated the expected credit loss for each security in its portfolio using the probability-of-default method. The Company concluded the adoption of the guidance had no material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Classification of marketable securities as current or non-current is based upon the security’s maturity date as of the date of these financial statements.</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June 30, 2020 balance of held-to-maturity debt securities by contractual maturity is shown in the following table at amortized cost, net of an allowance for credit losses.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74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44,127</w:t>
            </w:r>
          </w:p>
        </w:tc>
        <w:tc>
          <w:tcPr>
            <w:tcW w:w="114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77,255</w:t>
            </w:r>
          </w:p>
        </w:tc>
        <w:tc>
          <w:tcPr>
            <w:tcW w:w="1140" w:type="dxa"/>
            <w:vAlign w:val="bottom"/>
          </w:tcPr>
          <w:p>
            <w:pPr>
              <w:spacing w:after="0"/>
              <w:rPr>
                <w:sz w:val="21"/>
                <w:szCs w:val="21"/>
                <w:color w:val="auto"/>
              </w:rPr>
            </w:pPr>
          </w:p>
        </w:tc>
      </w:tr>
      <w:tr>
        <w:trPr>
          <w:trHeight w:val="312"/>
        </w:trPr>
        <w:tc>
          <w:tcPr>
            <w:tcW w:w="11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Inventory</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Inventory consists primarily of raw materials, which are recorded at the lower of cost or market using the average-cost method, which approximates first-in, first-out (FIFO) cost. The Company periodically reviews its inventory for slow-moving, damaged and discontinued items and provides allowances to reduce such items identified to their recoverable amounts.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14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Allowance for obsolescence</w:t>
            </w:r>
          </w:p>
        </w:tc>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14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net of allowance</w:t>
            </w:r>
          </w:p>
        </w:tc>
        <w:tc>
          <w:tcPr>
            <w:tcW w:w="3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1140" w:type="dxa"/>
            <w:vAlign w:val="bottom"/>
          </w:tcPr>
          <w:p>
            <w:pPr>
              <w:spacing w:after="0"/>
              <w:rPr>
                <w:sz w:val="21"/>
                <w:szCs w:val="21"/>
                <w:color w:val="auto"/>
              </w:rPr>
            </w:pPr>
          </w:p>
        </w:tc>
      </w:tr>
      <w:tr>
        <w:trPr>
          <w:trHeight w:val="311"/>
        </w:trPr>
        <w:tc>
          <w:tcPr>
            <w:tcW w:w="1120" w:type="dxa"/>
            <w:vAlign w:val="bottom"/>
            <w:tcBorders>
              <w:bottom w:val="single" w:sz="8" w:color="9A9A9A"/>
            </w:tcBorders>
          </w:tcPr>
          <w:p>
            <w:pPr>
              <w:spacing w:after="0"/>
              <w:rPr>
                <w:sz w:val="24"/>
                <w:szCs w:val="24"/>
                <w:color w:val="auto"/>
              </w:rPr>
            </w:pPr>
          </w:p>
        </w:tc>
        <w:tc>
          <w:tcPr>
            <w:tcW w:w="3220" w:type="dxa"/>
            <w:vAlign w:val="bottom"/>
            <w:tcBorders>
              <w:top w:val="single" w:sz="8" w:color="CCEEFF"/>
              <w:bottom w:val="single" w:sz="8" w:color="9A9A9A"/>
            </w:tcBorders>
          </w:tcPr>
          <w:p>
            <w:pPr>
              <w:spacing w:after="0"/>
              <w:rPr>
                <w:sz w:val="24"/>
                <w:szCs w:val="24"/>
                <w:color w:val="auto"/>
              </w:rPr>
            </w:pPr>
          </w:p>
        </w:tc>
        <w:tc>
          <w:tcPr>
            <w:tcW w:w="32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r>
        <w:trPr>
          <w:trHeight w:val="540"/>
        </w:trPr>
        <w:tc>
          <w:tcPr>
            <w:tcW w:w="1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0" w:type="dxa"/>
            <w:vAlign w:val="bottom"/>
          </w:tcPr>
          <w:p>
            <w:pPr>
              <w:jc w:val="right"/>
              <w:ind w:right="173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-350520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Company’s 2012 Long-Term Incentive Plan, as amended (the 2012 Plan), the Company has the ability to grant stock options, stock appreciation rights (SARs), restricted stock, restricted stock units, other stock-based awards and cash incentive awards. Awards under the 2012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2012 Plan generally may not be less than the fair market value of a share of our common stock on the date of the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Stock-based compensation expense was $3.6 million and $3.5 million for the three months ended June 30, 2020 and 2019, respectively, and $6.7 million and $6.5 million for the six months ended June 20,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ectPr>
          <w:pgSz w:w="11900" w:h="16838" w:orient="portrait"/>
          <w:cols w:equalWidth="0" w:num="1">
            <w:col w:w="11240"/>
          </w:cols>
          <w:pgMar w:left="320" w:top="125" w:right="3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stock option activity during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Exercise Price</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276,266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72.38</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105.79</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49.68</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66.97</w:t>
            </w:r>
          </w:p>
        </w:tc>
        <w:tc>
          <w:tcPr>
            <w:tcW w:w="28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2020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281,438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81.67</w:t>
            </w:r>
          </w:p>
        </w:tc>
        <w:tc>
          <w:tcPr>
            <w:tcW w:w="280" w:type="dxa"/>
            <w:vAlign w:val="bottom"/>
          </w:tcPr>
          <w:p>
            <w:pPr>
              <w:spacing w:after="0"/>
              <w:rPr>
                <w:sz w:val="21"/>
                <w:szCs w:val="21"/>
                <w:color w:val="auto"/>
              </w:rPr>
            </w:pPr>
          </w:p>
        </w:tc>
      </w:tr>
      <w:tr>
        <w:trPr>
          <w:trHeight w:val="196"/>
        </w:trPr>
        <w:tc>
          <w:tcPr>
            <w:tcW w:w="766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56"/>
        </w:trPr>
        <w:tc>
          <w:tcPr>
            <w:tcW w:w="300" w:type="dxa"/>
            <w:vAlign w:val="bottom"/>
          </w:tcPr>
          <w:p>
            <w:pPr>
              <w:spacing w:after="0"/>
              <w:rPr>
                <w:sz w:val="22"/>
                <w:szCs w:val="22"/>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2020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144,822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w:t>
            </w:r>
          </w:p>
        </w:tc>
        <w:tc>
          <w:tcPr>
            <w:tcW w:w="280" w:type="dxa"/>
            <w:vAlign w:val="bottom"/>
          </w:tcPr>
          <w:p>
            <w:pPr>
              <w:spacing w:after="0"/>
              <w:rPr>
                <w:sz w:val="22"/>
                <w:szCs w:val="22"/>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outstanding options generally have a term of ten years. For employees, options granted become exercisable ratably over the vesting period, which is generally a period from four to five years, beginning on the first anniversary of the grant date, subject to the employee’s continuing service to the Company. For directors, options generally become exercisable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 date fair value of options that were granted during the six months ended June 30, 2020 was $45.32.</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the assumptions used in the Black-Scholes pricing model valuation of options during the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2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0.50 - 1.47%</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2.35 - 2.58%</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42.40 - 43.83%</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42.52 - 42.74%</w:t>
            </w: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June 30, 2020, there was $5.3 million of unrecognized compensation expense related to unvested stock options, which is expected to be recognized over a weighted-average period of 3.0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Restricted stock awards are share-settled awards and restrictions lapse ratably over the vesting period, which is generally a period from four to five years, beginning on the first anniversary of the grant date, subject to the employee's continuing service to the Company. For directors, restrictions generally lapse in full on the first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jc w:val="right"/>
              <w:ind w:right="370"/>
              <w:spacing w:after="0"/>
              <w:rPr>
                <w:sz w:val="20"/>
                <w:szCs w:val="20"/>
                <w:color w:val="auto"/>
              </w:rPr>
            </w:pPr>
            <w:r>
              <w:rPr>
                <w:rFonts w:ascii="Arial" w:cs="Arial" w:eastAsia="Arial" w:hAnsi="Arial"/>
                <w:sz w:val="18"/>
                <w:szCs w:val="18"/>
                <w:b w:val="1"/>
                <w:bCs w:val="1"/>
                <w:color w:val="auto"/>
              </w:rPr>
              <w:t>Restricted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c>
          <w:tcPr>
            <w:tcW w:w="28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at December 31, 2019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107,988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111.72</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91.25</w:t>
            </w:r>
          </w:p>
        </w:tc>
        <w:tc>
          <w:tcPr>
            <w:tcW w:w="28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at June 30, 2020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313,112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98.75</w:t>
            </w:r>
          </w:p>
        </w:tc>
        <w:tc>
          <w:tcPr>
            <w:tcW w:w="280" w:type="dxa"/>
            <w:vAlign w:val="bottom"/>
          </w:tcPr>
          <w:p>
            <w:pPr>
              <w:spacing w:after="0"/>
              <w:rPr>
                <w:sz w:val="21"/>
                <w:szCs w:val="2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June 30, 2020, there was $27.4 million of unrecognized compensation expense related to non-vested restricted stock, which is expected to be recognized over a weighted-average period of 2.8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03" w:gutter="0" w:footer="0" w:header="0"/>
        </w:sectPr>
      </w:pPr>
    </w:p>
    <w:bookmarkStart w:id="10" w:name="page11"/>
    <w:bookmarkEnd w:id="10"/>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Performance Stock</w:t>
      </w:r>
    </w:p>
    <w:p>
      <w:pPr>
        <w:spacing w:after="0" w:line="229" w:lineRule="exact"/>
        <w:rPr>
          <w:sz w:val="20"/>
          <w:szCs w:val="20"/>
          <w:color w:val="auto"/>
        </w:rPr>
      </w:pPr>
    </w:p>
    <w:p>
      <w:pPr>
        <w:ind w:left="20" w:right="20"/>
        <w:spacing w:after="0" w:line="255" w:lineRule="auto"/>
        <w:rPr>
          <w:sz w:val="20"/>
          <w:szCs w:val="20"/>
          <w:color w:val="auto"/>
        </w:rPr>
      </w:pPr>
      <w:r>
        <w:rPr>
          <w:rFonts w:ascii="Arial" w:cs="Arial" w:eastAsia="Arial" w:hAnsi="Arial"/>
          <w:sz w:val="18"/>
          <w:szCs w:val="18"/>
          <w:color w:val="auto"/>
        </w:rPr>
        <w:t>Performance stock units (PSUs) are expressed in terms of a target number of PSUs, with anywhere between 0 percent and 150 percent of that target number capable of being earned and vesting at the end of a three-year performance period depending on the Company’s performance in the final year of the performance period and the award recipient’s continued employment. The Company’s PSUs granted from 2017 to 2019 are based on performance conditions and the related compensation cost is based on the probability that the performance conditions will be achieved. The Company’s PSUs granted in 2020 are based on market conditions and the related compensation cost is based on the fair value at grant date calculated using a Monte Carlo pricing model.</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performance stock activity during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220345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c>
          <w:tcPr>
            <w:tcW w:w="280" w:type="dxa"/>
            <w:vAlign w:val="bottom"/>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b w:val="1"/>
                <w:bCs w:val="1"/>
                <w:color w:val="auto"/>
              </w:rPr>
              <w:t>Performance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9"/>
                <w:szCs w:val="19"/>
                <w:color w:val="auto"/>
              </w:rPr>
            </w:pPr>
          </w:p>
        </w:tc>
      </w:tr>
      <w:tr>
        <w:trPr>
          <w:trHeight w:val="234"/>
        </w:trPr>
        <w:tc>
          <w:tcPr>
            <w:tcW w:w="3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Per Share</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Performance stock at December 31, 2019</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19,956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118.66</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Restrictions lapsed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Performance change</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58.35</w:t>
            </w:r>
          </w:p>
        </w:tc>
        <w:tc>
          <w:tcPr>
            <w:tcW w:w="280" w:type="dxa"/>
            <w:vAlign w:val="bottom"/>
          </w:tcPr>
          <w:p>
            <w:pPr>
              <w:spacing w:after="0"/>
              <w:rPr>
                <w:sz w:val="18"/>
                <w:szCs w:val="18"/>
                <w:color w:val="auto"/>
              </w:rPr>
            </w:pPr>
          </w:p>
        </w:tc>
      </w:tr>
      <w:tr>
        <w:trPr>
          <w:trHeight w:val="210"/>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Performance stock at June 30, 2020</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19,956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118.66</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assumptions used in the Monte Carlo pricing model valuation of PSUs during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227965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7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Expected life (years)</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2.88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38.70%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196850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right="500"/>
        <w:spacing w:after="0" w:line="277" w:lineRule="auto"/>
        <w:rPr>
          <w:sz w:val="20"/>
          <w:szCs w:val="20"/>
          <w:color w:val="auto"/>
        </w:rPr>
      </w:pPr>
      <w:r>
        <w:rPr>
          <w:rFonts w:ascii="Arial" w:cs="Arial" w:eastAsia="Arial" w:hAnsi="Arial"/>
          <w:sz w:val="18"/>
          <w:szCs w:val="18"/>
          <w:color w:val="auto"/>
        </w:rPr>
        <w:t>As of June 30, 2020, there was $2.1 million of unrecognized compensation expense related to non-vested performance stock, which is expected to be recognized over a weighted-average period of 2.6 years.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presents the assumptions used to estimate the fair value of the ESPP during the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227965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9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Six Months Ended June 30,</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60" w:type="dxa"/>
            <w:vAlign w:val="bottom"/>
            <w:gridSpan w:val="2"/>
            <w:shd w:val="clear" w:color="auto" w:fill="CCEEFF"/>
          </w:tcPr>
          <w:p>
            <w:pPr>
              <w:jc w:val="center"/>
              <w:ind w:left="4150"/>
              <w:spacing w:after="0"/>
              <w:rPr>
                <w:sz w:val="20"/>
                <w:szCs w:val="20"/>
                <w:color w:val="auto"/>
              </w:rPr>
            </w:pPr>
            <w:r>
              <w:rPr>
                <w:rFonts w:ascii="Arial" w:cs="Arial" w:eastAsia="Arial" w:hAnsi="Arial"/>
                <w:sz w:val="18"/>
                <w:szCs w:val="18"/>
                <w:color w:val="auto"/>
                <w:w w:val="92"/>
              </w:rPr>
              <w:t>0.17 - 1.59%</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2.33 - 2.35%</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life (months)</w:t>
            </w:r>
          </w:p>
        </w:tc>
        <w:tc>
          <w:tcPr>
            <w:tcW w:w="5660" w:type="dxa"/>
            <w:vAlign w:val="bottom"/>
            <w:gridSpan w:val="2"/>
          </w:tcPr>
          <w:p>
            <w:pPr>
              <w:jc w:val="center"/>
              <w:ind w:left="4130"/>
              <w:spacing w:after="0"/>
              <w:rPr>
                <w:sz w:val="20"/>
                <w:szCs w:val="20"/>
                <w:color w:val="auto"/>
              </w:rPr>
            </w:pPr>
            <w:r>
              <w:rPr>
                <w:rFonts w:ascii="Arial" w:cs="Arial" w:eastAsia="Arial" w:hAnsi="Arial"/>
                <w:sz w:val="18"/>
                <w:szCs w:val="18"/>
                <w:color w:val="auto"/>
                <w:w w:val="91"/>
              </w:rPr>
              <w:t>6.00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1"/>
              </w:rPr>
              <w:t>6.00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60" w:type="dxa"/>
            <w:vAlign w:val="bottom"/>
            <w:gridSpan w:val="2"/>
            <w:shd w:val="clear" w:color="auto" w:fill="CCEEFF"/>
          </w:tcPr>
          <w:p>
            <w:pPr>
              <w:jc w:val="center"/>
              <w:ind w:left="4150"/>
              <w:spacing w:after="0"/>
              <w:rPr>
                <w:sz w:val="20"/>
                <w:szCs w:val="20"/>
                <w:color w:val="auto"/>
              </w:rPr>
            </w:pPr>
            <w:r>
              <w:rPr>
                <w:rFonts w:ascii="Arial" w:cs="Arial" w:eastAsia="Arial" w:hAnsi="Arial"/>
                <w:sz w:val="18"/>
                <w:szCs w:val="18"/>
                <w:color w:val="auto"/>
                <w:w w:val="90"/>
              </w:rPr>
              <w:t>42.63 - 59.99%</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37.36 - 53.57%</w:t>
            </w: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660" w:type="dxa"/>
            <w:vAlign w:val="bottom"/>
            <w:gridSpan w:val="2"/>
          </w:tcPr>
          <w:p>
            <w:pPr>
              <w:jc w:val="center"/>
              <w:ind w:left="4130"/>
              <w:spacing w:after="0"/>
              <w:rPr>
                <w:sz w:val="20"/>
                <w:szCs w:val="20"/>
                <w:color w:val="auto"/>
              </w:rPr>
            </w:pPr>
            <w:r>
              <w:rPr>
                <w:rFonts w:ascii="Arial" w:cs="Arial" w:eastAsia="Arial" w:hAnsi="Arial"/>
                <w:sz w:val="18"/>
                <w:szCs w:val="18"/>
                <w:color w:val="auto"/>
                <w:w w:val="92"/>
              </w:rPr>
              <w:t>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r>
      <w:tr>
        <w:trPr>
          <w:trHeight w:val="317"/>
        </w:trPr>
        <w:tc>
          <w:tcPr>
            <w:tcW w:w="3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r>
        <w:trPr>
          <w:trHeight w:val="540"/>
        </w:trPr>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40" w:type="dxa"/>
            <w:vAlign w:val="bottom"/>
          </w:tcPr>
          <w:p>
            <w:pPr>
              <w:jc w:val="right"/>
              <w:ind w:right="2210"/>
              <w:spacing w:after="0"/>
              <w:rPr>
                <w:sz w:val="20"/>
                <w:szCs w:val="20"/>
                <w:color w:val="auto"/>
              </w:rPr>
            </w:pPr>
            <w:r>
              <w:rPr>
                <w:rFonts w:ascii="Arial" w:cs="Arial" w:eastAsia="Arial" w:hAnsi="Arial"/>
                <w:sz w:val="18"/>
                <w:szCs w:val="18"/>
                <w:color w:val="auto"/>
              </w:rPr>
              <w:t>13</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-436245</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-445135</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7141210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 9 – Accumulated Other Comprehensive Loss</w:t>
      </w:r>
    </w:p>
    <w:p>
      <w:pPr>
        <w:spacing w:after="0" w:line="229" w:lineRule="exact"/>
        <w:rPr>
          <w:sz w:val="20"/>
          <w:szCs w:val="20"/>
          <w:color w:val="auto"/>
        </w:rPr>
      </w:pPr>
    </w:p>
    <w:p>
      <w:pPr>
        <w:ind w:left="20" w:right="760"/>
        <w:spacing w:after="0" w:line="308" w:lineRule="auto"/>
        <w:rPr>
          <w:sz w:val="20"/>
          <w:szCs w:val="20"/>
          <w:color w:val="auto"/>
        </w:rPr>
      </w:pPr>
      <w:r>
        <w:rPr>
          <w:rFonts w:ascii="Arial" w:cs="Arial" w:eastAsia="Arial" w:hAnsi="Arial"/>
          <w:sz w:val="17"/>
          <w:szCs w:val="17"/>
          <w:color w:val="auto"/>
        </w:rPr>
        <w:t>Other comprehensive income (loss) is comprised entirely of foreign currency translation adjustments. The following table presents the changes in accumulated other comprehensive income (loss) balances during the three and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170815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8"/>
                <w:szCs w:val="18"/>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94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920"/>
              <w:spacing w:after="0"/>
              <w:rPr>
                <w:sz w:val="20"/>
                <w:szCs w:val="20"/>
                <w:color w:val="auto"/>
              </w:rPr>
            </w:pPr>
            <w:r>
              <w:rPr>
                <w:rFonts w:ascii="Arial" w:cs="Arial" w:eastAsia="Arial" w:hAnsi="Arial"/>
                <w:sz w:val="18"/>
                <w:szCs w:val="18"/>
                <w:b w:val="1"/>
                <w:bCs w:val="1"/>
                <w:color w:val="auto"/>
                <w:w w:val="88"/>
              </w:rPr>
              <w:t>June 30,</w:t>
            </w: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7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2019</w:t>
            </w:r>
          </w:p>
        </w:tc>
      </w:tr>
      <w:tr>
        <w:trPr>
          <w:trHeight w:val="110"/>
        </w:trPr>
        <w:tc>
          <w:tcPr>
            <w:tcW w:w="5980" w:type="dxa"/>
            <w:vAlign w:val="bottom"/>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spacing w:after="0"/>
              <w:rPr>
                <w:sz w:val="9"/>
                <w:szCs w:val="9"/>
                <w:color w:val="auto"/>
              </w:rPr>
            </w:pPr>
          </w:p>
        </w:tc>
      </w:tr>
    </w:tbl>
    <w:p>
      <w:pPr>
        <w:sectPr>
          <w:pgSz w:w="11900" w:h="16900" w:orient="portrait"/>
          <w:cols w:equalWidth="0" w:num="1">
            <w:col w:w="11260"/>
          </w:cols>
          <w:pgMar w:left="300" w:top="121"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(9,998)</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(8,016)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(7,018)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(8,492)</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Amounts reclassified from accumulated other comprehensive loss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(9,634)</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(8,494)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(9,634)</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(8,494)</w:t>
            </w: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5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Company is subject to income tax in multiple jurisdictions and the use of estimates is required to determine the provision for income taxes. For the three months ended June 30, 2020 and 2019, the Company recorded an income tax provision of $2.5 million and $4.5 million, respectively. For the</w:t>
      </w:r>
    </w:p>
    <w:p>
      <w:pPr>
        <w:spacing w:after="0" w:line="268" w:lineRule="auto"/>
        <w:rPr>
          <w:sz w:val="20"/>
          <w:szCs w:val="20"/>
          <w:color w:val="auto"/>
        </w:rPr>
      </w:pPr>
      <w:r>
        <w:rPr>
          <w:rFonts w:ascii="Arial" w:cs="Arial" w:eastAsia="Arial" w:hAnsi="Arial"/>
          <w:sz w:val="17"/>
          <w:szCs w:val="17"/>
          <w:color w:val="auto"/>
        </w:rPr>
        <w:t>six months ended June 30, 2020 and 2019, the Company recorded an income tax provision of $6.4 million and $8.7 million, respectively. The income tax provision is based on the estimated annual effective tax rate for the year applied to pre-tax income. The effective income tax rate for the three months ended June 30, 2020 was 16.6 percent compared to 21.9 percent in the same period of the prior year. The effective tax rate decreased by 5.3 percent for the three months ended June 30, 2020 when compared to the same period in 2019 primarily due to an increase in tax benefits from the vesting of restricted stock and the exercise of stock options and an increase in the research and development tax credit. The effective income tax rate for the six months ended June 30, 2020 was 19.4 percent compared to 21.5 percent in the same period of the prior year. The effective tax rate decreased by 2.1 percent for the six months ended June 30, 2020 when compared to the same period in 2019 primarily due to an increase in tax benefits from the vesting of restricted stock and the exercise of stock options and an increase in the research and development tax credit.</w:t>
      </w:r>
    </w:p>
    <w:p>
      <w:pPr>
        <w:spacing w:after="0" w:line="1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effective income tax rate for the six months ended June 30, 2020 differs from the U.S. federal statutory rate of 21.0 percent due to various factors, including operating in multiple state and foreign jurisdictions and tax credits for which the Company qualifies.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had unrecognized tax benefits totaling $4.7 million as of June 30, 2020 and $4.6 million as of December 31, 2019, respectively, all of which, if recognized, would affect the Company’s effective tax rate. The Company recognizes interest and penalties related to income tax matters in income tax expense, and reports the liability in current or long-term income taxes payable as appropriate.</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CARES Act is meant to infuse companies with various income and payroll tax cash benefits to ease the impact of the pandemic. A technical correction to the Tax Cuts and Jobs Act of 2017 was included in the CARES Act allowing qualified improvement property to claim bonus depreciation for respective assets placed in service in 2018 and 2019. The impact of the CARES Act to the Company was a $2.6 million reduction in our income taxes payable and a corresponding increase to our deferred tax liability. In addition, the Company has elected to defer deposits of the employer portion of the Social Security tax for the quarter ended June 30, 2020 through the quarter ended December 31, 2020. The Social Security taxes are being accrued for and will be paid beginning in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11 – Segment Reporting</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reportable segments are based on the internal reporting used by the Company’s Chief Executive Officer, who is the chief operating decision maker (CODM), to assess operating performance and make decisions about the allocation of resources. The Corporate Unallocated and Japan category includes non-reportable segments, as well as research and development and general and administrative costs that the Company does not allocate directly to its operating segments.</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 and income from operations by reportable segment for the three and six months ended June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86,823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91,149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176,899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178,960</w:t>
            </w: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42,194</w:t>
            </w: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Japan</w:t>
            </w: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7,268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8,230</w:t>
            </w:r>
          </w:p>
        </w:tc>
      </w:tr>
      <w:tr>
        <w:trPr>
          <w:trHeight w:val="249"/>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106,575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115,932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221,683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229,384</w:t>
            </w:r>
          </w:p>
        </w:tc>
      </w:tr>
      <w:tr>
        <w:trPr>
          <w:trHeight w:val="338"/>
        </w:trPr>
        <w:tc>
          <w:tcPr>
            <w:tcW w:w="59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r>
      <w:tr>
        <w:trPr>
          <w:trHeight w:val="439"/>
        </w:trPr>
        <w:tc>
          <w:tcPr>
            <w:tcW w:w="5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-299720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5"/>
              </w:rPr>
              <w:t>Three Months Ended June 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0"/>
              </w:rPr>
              <w:t>Six Months Ended June 30,</w:t>
            </w:r>
          </w:p>
        </w:tc>
        <w:tc>
          <w:tcPr>
            <w:tcW w:w="280" w:type="dxa"/>
            <w:vAlign w:val="bottom"/>
          </w:tcPr>
          <w:p>
            <w:pPr>
              <w:spacing w:after="0"/>
              <w:rPr>
                <w:sz w:val="20"/>
                <w:szCs w:val="20"/>
                <w:color w:val="auto"/>
              </w:rPr>
            </w:pPr>
          </w:p>
        </w:tc>
      </w:tr>
      <w:tr>
        <w:trPr>
          <w:trHeight w:val="210"/>
        </w:trPr>
        <w:tc>
          <w:tcPr>
            <w:tcW w:w="5920" w:type="dxa"/>
            <w:vAlign w:val="bottom"/>
            <w:gridSpan w:val="3"/>
          </w:tcPr>
          <w:p>
            <w:pPr>
              <w:ind w:left="28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28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20" w:type="dxa"/>
            <w:vAlign w:val="bottom"/>
            <w:gridSpan w:val="2"/>
          </w:tcPr>
          <w:p>
            <w:pPr>
              <w:ind w:left="480"/>
              <w:spacing w:after="0"/>
              <w:rPr>
                <w:sz w:val="20"/>
                <w:szCs w:val="20"/>
                <w:color w:val="auto"/>
              </w:rPr>
            </w:pPr>
            <w:r>
              <w:rPr>
                <w:rFonts w:ascii="Arial" w:cs="Arial" w:eastAsia="Arial" w:hAnsi="Arial"/>
                <w:sz w:val="18"/>
                <w:szCs w:val="18"/>
                <w:color w:val="auto"/>
              </w:rPr>
              <w:t>United States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24,349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27,948</w:t>
            </w:r>
          </w:p>
        </w:tc>
        <w:tc>
          <w:tcPr>
            <w:tcW w:w="2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49,438</w:t>
            </w: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54,258</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20" w:type="dxa"/>
            <w:vAlign w:val="bottom"/>
            <w:gridSpan w:val="2"/>
          </w:tcPr>
          <w:p>
            <w:pPr>
              <w:ind w:left="480"/>
              <w:spacing w:after="0"/>
              <w:rPr>
                <w:sz w:val="20"/>
                <w:szCs w:val="20"/>
                <w:color w:val="auto"/>
              </w:rPr>
            </w:pPr>
            <w:r>
              <w:rPr>
                <w:rFonts w:ascii="Arial" w:cs="Arial" w:eastAsia="Arial" w:hAnsi="Arial"/>
                <w:sz w:val="18"/>
                <w:szCs w:val="18"/>
                <w:color w:val="auto"/>
              </w:rPr>
              <w:t>Corporate Unallocated and Japan</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(12,259)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(12,131)</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(24,887)</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28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5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Income from Operations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19,573</w:t>
            </w:r>
          </w:p>
        </w:tc>
        <w:tc>
          <w:tcPr>
            <w:tcW w:w="2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31,176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39,021</w:t>
            </w:r>
          </w:p>
        </w:tc>
        <w:tc>
          <w:tcPr>
            <w:tcW w:w="280" w:type="dxa"/>
            <w:vAlign w:val="bottom"/>
          </w:tcPr>
          <w:p>
            <w:pPr>
              <w:spacing w:after="0"/>
              <w:rPr>
                <w:sz w:val="21"/>
                <w:szCs w:val="21"/>
                <w:color w:val="auto"/>
              </w:rPr>
            </w:pPr>
          </w:p>
        </w:tc>
      </w:tr>
      <w:tr>
        <w:trPr>
          <w:trHeight w:val="339"/>
        </w:trPr>
        <w:tc>
          <w:tcPr>
            <w:tcW w:w="300" w:type="dxa"/>
            <w:vAlign w:val="bottom"/>
            <w:tcBorders>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48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r>
        <w:trPr>
          <w:trHeight w:val="540"/>
        </w:trPr>
        <w:tc>
          <w:tcPr>
            <w:tcW w:w="5920" w:type="dxa"/>
            <w:vAlign w:val="bottom"/>
            <w:gridSpan w:val="3"/>
          </w:tcPr>
          <w:p>
            <w:pPr>
              <w:spacing w:after="0"/>
              <w:rPr>
                <w:sz w:val="20"/>
                <w:szCs w:val="20"/>
                <w:color w:val="auto"/>
              </w:rPr>
            </w:pPr>
            <w:r>
              <w:rPr>
                <w:rFonts w:ascii="Arial" w:cs="Arial" w:eastAsia="Arial" w:hAnsi="Arial"/>
                <w:sz w:val="18"/>
                <w:szCs w:val="18"/>
                <w:color w:val="auto"/>
                <w:w w:val="90"/>
              </w:rPr>
              <w:t>Total long-lived assets at June 30, 2020 and December 31, 2019 were as follows: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1"/>
        </w:trPr>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gridSpan w:val="2"/>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gridSpan w:val="2"/>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r>
        <w:trPr>
          <w:trHeight w:val="522"/>
        </w:trPr>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220,183</w:t>
            </w:r>
          </w:p>
        </w:tc>
        <w:tc>
          <w:tcPr>
            <w:tcW w:w="2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210,171</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0" w:type="dxa"/>
            <w:vAlign w:val="bottom"/>
          </w:tcPr>
          <w:p>
            <w:pPr>
              <w:ind w:left="50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8,522</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281,129</w:t>
            </w:r>
          </w:p>
        </w:tc>
        <w:tc>
          <w:tcPr>
            <w:tcW w:w="2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263,712</w:t>
            </w: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8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-2005330</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-2013585</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-1439545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for the three and six months ended June 30, 2020 and 2019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(in thousands)</w:t>
            </w:r>
          </w:p>
        </w:tc>
        <w:tc>
          <w:tcPr>
            <w:tcW w:w="2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Injection Molding</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57,894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55,457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112,670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110,768</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CNC Machining</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28,760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66,645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76,760</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3D Printing</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14,236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15,266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30,184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29,746</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Sheet Metal</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10,497</w:t>
            </w: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1,613</w:t>
            </w:r>
          </w:p>
        </w:tc>
      </w:tr>
      <w:tr>
        <w:trPr>
          <w:trHeight w:val="29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106,575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115,932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221,683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229,384</w:t>
            </w:r>
          </w:p>
        </w:tc>
      </w:tr>
      <w:tr>
        <w:trPr>
          <w:trHeight w:val="413"/>
        </w:trPr>
        <w:tc>
          <w:tcPr>
            <w:tcW w:w="350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ectPr>
          <w:pgSz w:w="11900" w:h="16838" w:orient="portrait"/>
          <w:cols w:equalWidth="0" w:num="1">
            <w:col w:w="11240"/>
          </w:cols>
          <w:pgMar w:left="320" w:top="850" w:right="339" w:bottom="0" w:gutter="0" w:footer="0" w:header="0"/>
        </w:sectPr>
      </w:pPr>
    </w:p>
    <w:bookmarkStart w:id="13" w:name="page14"/>
    <w:bookmarkEnd w:id="13"/>
    <w:p>
      <w:pPr>
        <w:ind w:right="200"/>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Form 10-Q, as well as our most recent Annual Report on Form 10-K as filed with the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the world’s largest and fastest digital manufacturer of custom prototypes and on-demand production parts. We manufacture prototypes and low-volume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Our customers conduct nearly all of their business with us over the Internet. We target our products to the millions of product developers and engineers who use three-dimensional computer-aided design (3D CAD) software to design products across a diverse range of end-markets.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engineers.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Injection Molding</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aluminum molds and quick turnaround times help reduce design risk and limit overall production costs for product developers and engineers. Prototype quantities typically range from 25 to 100 parts. Because we retain possession of the molds, customers who need short-run production often come back to Protolabs’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product offering. This product offering utilizes our existing processes, but is designed to fulfill the needs of customers with on-going production needs, typically in annual volumes of less than 10,000 parts.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CNC Machining</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CNC Machining product line uses commercially available CNC machines to offer milling and turning. CNC milling is a manufacturing process that cuts plastic and metal blocks into one or more custom parts based on the 3D CAD model uploaded by the product developer or engineer. CNC turning with live tooling combines both lathe and mill capabilities to machine parts with cylindrical features from metal rod stock. Our efficiencies derive from the automation of the programming of these machines and a proprietary fixturing process.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Quick-turn CNC machining works best for prototyping, form and fit testing, jigs and fixtures and functional components for end-use applications. The CNC Machining product line is well suited to produce small quantities, typically in the range of one to 1,000 parts.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3D Printing</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3D Printing product line includes stereolithography, selective laser sintering, direct metal laser sintering, Multi Jet Fusion, PolyJet and digital light synthesis processes, which offer customers a wide-variety of high-quality, precision rapid prototyping and low-volume production. These processes create parts with a high level of accuracy, detail, strength and durability. Industrial 3D Printing is best suited for functional prototypes, complex designs and end-use applications produced in small quantities, typically in the range of one to several hundred parts.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Sheet Metal</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Sheet Metal product line includes quick-turn and e-commerce-enabled custom sheet metal parts, which provides customers with prototype and low-volume production parts. The rapid prototype sheet metal process is most often used when form, fit and function are all a priority. Our manufacturing process uses customer 3D CAD models uploaded by the product developer or engineer to fabricate quick-turn prototype sheet metal or short-run production parts. The Sheet Metal product line is well suited to produce quantities in the range of one to 500 parts.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 and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ectPr>
          <w:pgSz w:w="11900" w:h="16838" w:orient="portrait"/>
          <w:cols w:equalWidth="0" w:num="1">
            <w:col w:w="11240"/>
          </w:cols>
          <w:pgMar w:left="320" w:top="125" w:right="339" w:bottom="146" w:gutter="0" w:footer="0" w:header="0"/>
        </w:sectPr>
      </w:pPr>
    </w:p>
    <w:bookmarkStart w:id="14" w:name="page15"/>
    <w:bookmarkEnd w:id="14"/>
    <w:p>
      <w:pPr>
        <w:ind w:right="20"/>
        <w:spacing w:after="0" w:line="255" w:lineRule="auto"/>
        <w:rPr>
          <w:sz w:val="20"/>
          <w:szCs w:val="20"/>
          <w:color w:val="auto"/>
        </w:rPr>
      </w:pPr>
      <w:r>
        <w:rPr>
          <w:rFonts w:ascii="Arial" w:cs="Arial" w:eastAsia="Arial" w:hAnsi="Arial"/>
          <w:sz w:val="18"/>
          <w:szCs w:val="18"/>
          <w:color w:val="auto"/>
        </w:rPr>
        <w:t>Our operations are comprised of three geographic operating segments in the United States, Europe and Japan.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historical and current efforts to increase revenue have been directed at expanding the breadth of our product offerings, gaining new customers and selling to our existing customer base by increasing marketing and selling activities, including:</w:t>
      </w:r>
    </w:p>
    <w:p>
      <w:pPr>
        <w:spacing w:after="0" w:line="192" w:lineRule="exact"/>
        <w:rPr>
          <w:sz w:val="20"/>
          <w:szCs w:val="20"/>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the breadth and scope of each of our product lines by adding more sizes and materials to our offerings;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our 3D Printing product line through our acquisition of FineLine in 2014;</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3D Printing to Europe through our acquisition of Alphaform in October 2015;</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our Sheet Metal product line through our acquisition of Rapid Manufacturing Group, LLC (RAPID) in 2017; and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continuously improving the usability of our product lines such as our web-centric applications.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three months ended June 30, 2020, we served 17,037 unique product developers and engineers who purchase our products through our web-based customer interface, a decrease of 18.2% over the same period in 2019. During the six months ended June 30, 2020, we served 29,703 unique product developers and engineers who purchase our products through our web-based customer interface, a decrease of 5.9% over the same period in 2019.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Cost of revenue consists primarily of raw materials, equipment depreciation, employee compensation, benefits, stock-based compensation, facilities costs and overhead allocations associated with the manufacturing process for molds and custom parts. We expect our personnel-related costs to increase in order to retain and attract top talent and remain competitive in the market. Overall, we expect cost of revenue to increase in absolute dollars, but remain relatively constant as a percentage of total revenue.</w:t>
      </w:r>
    </w:p>
    <w:p>
      <w:pPr>
        <w:spacing w:after="0" w:line="18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and foreign exchange rates.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expenses consist of marketing and sales, research and development and general and administrative expenses. Personnel-related costs are the most significant component in each of these categories.</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Our recent decrease in operating expenses is mainly due to cost saving measures implemented as a result of the COVID-19 pandemic. However, our long-term business strategy is to continue to be a leading online and technology-enabled manufacturer of quick-turn, on-demand injection-molded, CNC-machined, CNC-turned, 3D-printed and sheet metal custom parts for prototyping and low-volume production. In order to achieve our long-term goals and support our revenue growth, we anticipate continued substantial investments in technology and personnel, resulting in increased operating expenses.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Marketing and sales expense consists primarily of employee compensation, benefits, commissions,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programs such as electronic, print and pay-per-click advertising, trade shows and other related overhead. We expect sales and marketing expense to increase in the future as we increase the number of marketing and sales professionals and marketing programs targeted to increase our customer base and grow revenue.</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and outside service costs related to the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Arial" w:cs="Arial" w:eastAsia="Arial" w:hAnsi="Arial"/>
          <w:sz w:val="16"/>
          <w:szCs w:val="16"/>
          <w:i w:val="1"/>
          <w:iCs w:val="1"/>
          <w:color w:val="auto"/>
        </w:rPr>
        <w:t>Intangibles — Goodwill and Other, Internal-Use Software</w:t>
      </w:r>
      <w:r>
        <w:rPr>
          <w:rFonts w:ascii="Arial" w:cs="Arial" w:eastAsia="Arial" w:hAnsi="Arial"/>
          <w:sz w:val="16"/>
          <w:szCs w:val="16"/>
          <w:color w:val="auto"/>
        </w:rPr>
        <w:t>. We expect research and development expense to increase in the future as we seek to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interface technology, internal software and supporting business systems, and continue to expand our product lines.</w:t>
      </w:r>
    </w:p>
    <w:p>
      <w:pPr>
        <w:spacing w:after="0" w:line="16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employee compensation,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 fees related to accounting, tax and legal and other related overhead. We expect general and administrative expense to increase in the future as we continue to grow and expand as a global organization.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ectPr>
          <w:pgSz w:w="11900" w:h="16838" w:orient="portrait"/>
          <w:cols w:equalWidth="0" w:num="1">
            <w:col w:w="11240"/>
          </w:cols>
          <w:pgMar w:left="320" w:top="125" w:right="339" w:bottom="146" w:gutter="0" w:footer="0" w:header="0"/>
        </w:sectPr>
      </w:pPr>
    </w:p>
    <w:bookmarkStart w:id="15" w:name="page16"/>
    <w:bookmarkEnd w:id="15"/>
    <w:p>
      <w:pPr>
        <w:spacing w:after="0" w:line="62"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Provision for income taxes is comprised of federal, state, local and foreign taxes based on pre-tax income. Overall, we expect our effective tax rate for 2020 and beyond will remain consistent based on the current tax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March 11, 2020, the World Health Organization declared the outbreak of the novel coronavirus (COVID-19) a pandemic. The full financial impact of COVID-19 is unknown at this time and will depend on the duration of government restrictions, including travel restrictions, quarantines, shelter in place orders and shutdowns and duration of the economic slowdown and nature and timing of a recovery. The Company has been deemed an essential business and all of our global manufacturing operations have remained open. The Company has activated a global, cross-functional response team, which is closely monitoring the situation and implementing additional safety measures to help ensure the well-being of our employees, customers and suppliers, to minimize disruptions and provide for the safe and reliable supply of products to our customers. In accordance with the guidance provided by both the World Health Organization and the U.S. Centers for Disease Control and Prevention, the Company has implemented safe work practices, including social distancing and work from home guidelines.</w:t>
      </w:r>
    </w:p>
    <w:p>
      <w:pPr>
        <w:spacing w:after="0" w:line="178"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color w:val="auto"/>
        </w:rPr>
        <w:t>We are actively monitoring key product availability and continue to stay connected with our customers to understand impacts on their operations. All of these efforts will help us better plan and prepare, so we can continue to be a leading supplier of custom parts. In anticipation of exposure due to an economic slowdown driven by COVID-19, the Company increased its bad debt reserve by $0.9 million as of June 30, 2020.</w:t>
      </w:r>
    </w:p>
    <w:p>
      <w:pPr>
        <w:spacing w:after="0" w:line="14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CARES Act is meant to infuse companies with various income and payroll tax cash benefits to ease the impact of the pandemic. A technical correction to the Tax Cuts and Jobs Act of 2017 was included in the CARES Act allowing qualified improvement property to claim bonus depreciation for respective assets placed in service in 2018 and 2019. The impact of the CARES Act to the Company was a $2.6 million reduction in our income taxes payable and a corresponding increase to our deferred tax liability. In addition, the Company has elected to defer deposits of the employer portion of the Social Security tax for the quarter ended June 30, 2020 through the quarter ended December 31, 2020. The Social Security taxes are being accrued for and will be paid beginning in 2021.</w:t>
      </w:r>
    </w:p>
    <w:p>
      <w:pPr>
        <w:spacing w:after="0" w:line="1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"Risk Factors" in Item 1A of this Quarterly Report on Form 10-Q for further information of the possible impact of the COVID-19 pandemic on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right="80"/>
        <w:spacing w:after="0" w:line="277" w:lineRule="auto"/>
        <w:rPr>
          <w:sz w:val="20"/>
          <w:szCs w:val="20"/>
          <w:color w:val="auto"/>
        </w:rPr>
      </w:pPr>
      <w:r>
        <w:rPr>
          <w:rFonts w:ascii="Arial" w:cs="Arial" w:eastAsia="Arial" w:hAnsi="Arial"/>
          <w:sz w:val="18"/>
          <w:szCs w:val="18"/>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186055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80" w:type="dxa"/>
            <w:vAlign w:val="bottom"/>
            <w:vMerge w:val="restart"/>
          </w:tcPr>
          <w:p>
            <w:pPr>
              <w:spacing w:after="0"/>
              <w:rPr>
                <w:sz w:val="20"/>
                <w:szCs w:val="20"/>
                <w:color w:val="auto"/>
              </w:rPr>
            </w:pPr>
            <w:r>
              <w:rPr>
                <w:rFonts w:ascii="Arial" w:cs="Arial" w:eastAsia="Arial" w:hAnsi="Arial"/>
                <w:sz w:val="18"/>
                <w:szCs w:val="18"/>
                <w:color w:val="auto"/>
              </w:rPr>
              <w:t>(dollars in</w:t>
            </w:r>
          </w:p>
        </w:tc>
        <w:tc>
          <w:tcPr>
            <w:tcW w:w="40" w:type="dxa"/>
            <w:vAlign w:val="bottom"/>
          </w:tcPr>
          <w:p>
            <w:pPr>
              <w:spacing w:after="0"/>
              <w:rPr>
                <w:sz w:val="20"/>
                <w:szCs w:val="20"/>
                <w:color w:val="auto"/>
              </w:rPr>
            </w:pPr>
          </w:p>
        </w:tc>
        <w:tc>
          <w:tcPr>
            <w:tcW w:w="2660" w:type="dxa"/>
            <w:vAlign w:val="bottom"/>
            <w:tcBorders>
              <w:bottom w:val="single" w:sz="8" w:color="auto"/>
            </w:tcBorders>
            <w:gridSpan w:val="10"/>
          </w:tcPr>
          <w:p>
            <w:pPr>
              <w:ind w:left="320"/>
              <w:spacing w:after="0"/>
              <w:rPr>
                <w:sz w:val="20"/>
                <w:szCs w:val="20"/>
                <w:color w:val="auto"/>
              </w:rPr>
            </w:pPr>
            <w:r>
              <w:rPr>
                <w:rFonts w:ascii="Arial" w:cs="Arial" w:eastAsia="Arial" w:hAnsi="Arial"/>
                <w:sz w:val="18"/>
                <w:szCs w:val="18"/>
                <w:b w:val="1"/>
                <w:bCs w:val="1"/>
                <w:color w:val="auto"/>
                <w:w w:val="90"/>
              </w:rPr>
              <w:t>Three Months Ended June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2640" w:type="dxa"/>
            <w:vAlign w:val="bottom"/>
            <w:tcBorders>
              <w:bottom w:val="single" w:sz="8" w:color="auto"/>
            </w:tcBorders>
            <w:gridSpan w:val="8"/>
          </w:tcPr>
          <w:p>
            <w:pPr>
              <w:ind w:left="480"/>
              <w:spacing w:after="0"/>
              <w:rPr>
                <w:sz w:val="20"/>
                <w:szCs w:val="20"/>
                <w:color w:val="auto"/>
              </w:rPr>
            </w:pPr>
            <w:r>
              <w:rPr>
                <w:rFonts w:ascii="Arial" w:cs="Arial" w:eastAsia="Arial" w:hAnsi="Arial"/>
                <w:sz w:val="18"/>
                <w:szCs w:val="18"/>
                <w:b w:val="1"/>
                <w:bCs w:val="1"/>
                <w:color w:val="auto"/>
                <w:w w:val="91"/>
              </w:rPr>
              <w:t>Six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5"/>
        </w:trPr>
        <w:tc>
          <w:tcPr>
            <w:tcW w:w="1580" w:type="dxa"/>
            <w:vAlign w:val="bottom"/>
            <w:vMerge w:val="continue"/>
          </w:tcPr>
          <w:p>
            <w:pPr>
              <w:spacing w:after="0"/>
              <w:rPr>
                <w:sz w:val="16"/>
                <w:szCs w:val="16"/>
                <w:color w:val="auto"/>
              </w:rPr>
            </w:pPr>
          </w:p>
        </w:tc>
        <w:tc>
          <w:tcPr>
            <w:tcW w:w="40" w:type="dxa"/>
            <w:vAlign w:val="bottom"/>
            <w:vMerge w:val="restart"/>
          </w:tcPr>
          <w:p>
            <w:pPr>
              <w:spacing w:after="0"/>
              <w:rPr>
                <w:sz w:val="16"/>
                <w:szCs w:val="16"/>
                <w:color w:val="auto"/>
              </w:rPr>
            </w:pP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6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6"/>
                <w:szCs w:val="16"/>
                <w:color w:val="auto"/>
              </w:rPr>
            </w:pPr>
          </w:p>
        </w:tc>
        <w:tc>
          <w:tcPr>
            <w:tcW w:w="7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6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6"/>
                <w:szCs w:val="16"/>
                <w:color w:val="auto"/>
              </w:rPr>
            </w:pPr>
          </w:p>
        </w:tc>
        <w:tc>
          <w:tcPr>
            <w:tcW w:w="7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7"/>
        </w:trPr>
        <w:tc>
          <w:tcPr>
            <w:tcW w:w="1580" w:type="dxa"/>
            <w:vAlign w:val="bottom"/>
          </w:tcPr>
          <w:p>
            <w:pPr>
              <w:spacing w:after="0"/>
              <w:rPr>
                <w:sz w:val="20"/>
                <w:szCs w:val="20"/>
                <w:color w:val="auto"/>
              </w:rPr>
            </w:pPr>
            <w:r>
              <w:rPr>
                <w:rFonts w:ascii="Arial" w:cs="Arial" w:eastAsia="Arial" w:hAnsi="Arial"/>
                <w:sz w:val="18"/>
                <w:szCs w:val="18"/>
                <w:color w:val="auto"/>
              </w:rPr>
              <w:t>thousands)</w:t>
            </w:r>
          </w:p>
        </w:tc>
        <w:tc>
          <w:tcPr>
            <w:tcW w:w="40" w:type="dxa"/>
            <w:vAlign w:val="bottom"/>
            <w:vMerge w:val="continue"/>
          </w:tcPr>
          <w:p>
            <w:pPr>
              <w:spacing w:after="0"/>
              <w:rPr>
                <w:sz w:val="18"/>
                <w:szCs w:val="18"/>
                <w:color w:val="auto"/>
              </w:rPr>
            </w:pPr>
          </w:p>
        </w:tc>
        <w:tc>
          <w:tcPr>
            <w:tcW w:w="920" w:type="dxa"/>
            <w:vAlign w:val="bottom"/>
            <w:tcBorders>
              <w:bottom w:val="single" w:sz="8" w:color="auto"/>
            </w:tcBorders>
            <w:gridSpan w:val="3"/>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$ 106,575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100.0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115,932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7"/>
              </w:rPr>
              <w:t>100.0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(9,357)</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$ 221,683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229,384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(7,701)</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54,119</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55,696</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5"/>
              </w:rPr>
              <w:t>48.0</w:t>
            </w: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111,127</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110,288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5"/>
              </w:rPr>
              <w:t>52.0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110,556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119,096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w w:val="93"/>
              </w:rPr>
              <w:t>Operating expenses:</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Marketing and</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5"/>
              </w:rPr>
              <w:t>16.6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35,116</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37,862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1580" w:type="dxa"/>
            <w:vAlign w:val="bottom"/>
          </w:tcPr>
          <w:p>
            <w:pPr>
              <w:ind w:left="340"/>
              <w:spacing w:after="0" w:line="201" w:lineRule="exact"/>
              <w:rPr>
                <w:sz w:val="20"/>
                <w:szCs w:val="20"/>
                <w:color w:val="auto"/>
              </w:rPr>
            </w:pPr>
            <w:r>
              <w:rPr>
                <w:rFonts w:ascii="Arial" w:cs="Arial" w:eastAsia="Arial" w:hAnsi="Arial"/>
                <w:sz w:val="18"/>
                <w:szCs w:val="18"/>
                <w:color w:val="auto"/>
              </w:rPr>
              <w:t>Research and</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340"/>
              <w:spacing w:after="0"/>
              <w:rPr>
                <w:sz w:val="20"/>
                <w:szCs w:val="20"/>
                <w:color w:val="auto"/>
              </w:rPr>
            </w:pPr>
            <w:r>
              <w:rPr>
                <w:rFonts w:ascii="Arial" w:cs="Arial" w:eastAsia="Arial" w:hAnsi="Arial"/>
                <w:sz w:val="18"/>
                <w:szCs w:val="18"/>
                <w:color w:val="auto"/>
              </w:rPr>
              <w:t>development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8,648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8,169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479</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5.9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17,635</w:t>
            </w:r>
          </w:p>
        </w:tc>
        <w:tc>
          <w:tcPr>
            <w:tcW w:w="10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16,182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1,453</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1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General and</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12,521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85"/>
              </w:rPr>
              <w:t>11.4</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80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26,031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78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8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8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80" w:type="dxa"/>
            <w:vAlign w:val="bottom"/>
            <w:tcBorders>
              <w:top w:val="single" w:sz="8" w:color="CCEEFF"/>
            </w:tcBorders>
          </w:tcPr>
          <w:p>
            <w:pPr>
              <w:ind w:left="660"/>
              <w:spacing w:after="0" w:line="195" w:lineRule="exact"/>
              <w:rPr>
                <w:sz w:val="20"/>
                <w:szCs w:val="20"/>
                <w:color w:val="auto"/>
              </w:rPr>
            </w:pPr>
            <w:r>
              <w:rPr>
                <w:rFonts w:ascii="Arial" w:cs="Arial" w:eastAsia="Arial" w:hAnsi="Arial"/>
                <w:sz w:val="18"/>
                <w:szCs w:val="18"/>
                <w:color w:val="auto"/>
              </w:rPr>
              <w:t>Total</w:t>
            </w:r>
          </w:p>
        </w:tc>
        <w:tc>
          <w:tcPr>
            <w:tcW w:w="4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660"/>
              <w:spacing w:after="0"/>
              <w:rPr>
                <w:sz w:val="20"/>
                <w:szCs w:val="20"/>
                <w:color w:val="auto"/>
              </w:rPr>
            </w:pPr>
            <w:r>
              <w:rPr>
                <w:rFonts w:ascii="Arial" w:cs="Arial" w:eastAsia="Arial" w:hAnsi="Arial"/>
                <w:sz w:val="18"/>
                <w:szCs w:val="18"/>
                <w:color w:val="auto"/>
              </w:rPr>
              <w:t>operating</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38,105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40,663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w w:val="85"/>
              </w:rPr>
              <w:t>35.1</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(2,558)</w:t>
            </w: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(6.3)</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79,380</w:t>
            </w:r>
          </w:p>
        </w:tc>
        <w:tc>
          <w:tcPr>
            <w:tcW w:w="100" w:type="dxa"/>
            <w:vAlign w:val="bottom"/>
          </w:tcPr>
          <w:p>
            <w:pPr>
              <w:spacing w:after="0"/>
              <w:rPr>
                <w:sz w:val="18"/>
                <w:szCs w:val="18"/>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80,075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rPr>
              <w:t>34.9</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(695)</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7"/>
        </w:trPr>
        <w:tc>
          <w:tcPr>
            <w:tcW w:w="1580" w:type="dxa"/>
            <w:vAlign w:val="bottom"/>
          </w:tcPr>
          <w:p>
            <w:pPr>
              <w:ind w:left="660"/>
              <w:spacing w:after="0"/>
              <w:rPr>
                <w:sz w:val="20"/>
                <w:szCs w:val="20"/>
                <w:color w:val="auto"/>
              </w:rPr>
            </w:pPr>
            <w:r>
              <w:rPr>
                <w:rFonts w:ascii="Arial" w:cs="Arial" w:eastAsia="Arial" w:hAnsi="Arial"/>
                <w:sz w:val="18"/>
                <w:szCs w:val="18"/>
                <w:color w:val="auto"/>
              </w:rPr>
              <w:t>expenses</w:t>
            </w: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from</w:t>
            </w:r>
          </w:p>
        </w:tc>
        <w:tc>
          <w:tcPr>
            <w:tcW w:w="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5"/>
              </w:rPr>
              <w:t>16.9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31,176</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39,021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Other income, net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(31.8)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483</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95"/>
        </w:trPr>
        <w:tc>
          <w:tcPr>
            <w:tcW w:w="1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Income before</w:t>
            </w:r>
          </w:p>
        </w:tc>
        <w:tc>
          <w:tcPr>
            <w:tcW w:w="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5"/>
              </w:rPr>
              <w:t>17.9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32,997</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40,359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w w:val="95"/>
              </w:rPr>
              <w:t>Provision for income</w:t>
            </w:r>
          </w:p>
        </w:tc>
        <w:tc>
          <w:tcPr>
            <w:tcW w:w="40" w:type="dxa"/>
            <w:vAlign w:val="bottom"/>
            <w:vMerge w:val="restart"/>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2,511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4,532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3.9</w:t>
            </w:r>
          </w:p>
        </w:tc>
        <w:tc>
          <w:tcPr>
            <w:tcW w:w="80" w:type="dxa"/>
            <w:vAlign w:val="bottom"/>
            <w:vMerge w:val="restart"/>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80" w:type="dxa"/>
            <w:vAlign w:val="bottom"/>
            <w:vMerge w:val="restart"/>
          </w:tcPr>
          <w:p>
            <w:pPr>
              <w:spacing w:after="0"/>
              <w:rPr>
                <w:sz w:val="17"/>
                <w:szCs w:val="17"/>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rPr>
              <w:t>(44.6)</w:t>
            </w:r>
          </w:p>
        </w:tc>
        <w:tc>
          <w:tcPr>
            <w:tcW w:w="80" w:type="dxa"/>
            <w:vAlign w:val="bottom"/>
            <w:vMerge w:val="restart"/>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17"/>
                <w:szCs w:val="17"/>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8,682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color w:val="auto"/>
              </w:rPr>
              <w:t>3.8</w:t>
            </w:r>
          </w:p>
        </w:tc>
        <w:tc>
          <w:tcPr>
            <w:tcW w:w="100" w:type="dxa"/>
            <w:vAlign w:val="bottom"/>
            <w:vMerge w:val="restart"/>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(2,276)</w:t>
            </w:r>
          </w:p>
        </w:tc>
        <w:tc>
          <w:tcPr>
            <w:tcW w:w="100" w:type="dxa"/>
            <w:vAlign w:val="bottom"/>
            <w:vMerge w:val="restart"/>
          </w:tcPr>
          <w:p>
            <w:pPr>
              <w:spacing w:after="0"/>
              <w:rPr>
                <w:sz w:val="17"/>
                <w:szCs w:val="17"/>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7"/>
        </w:trPr>
        <w:tc>
          <w:tcPr>
            <w:tcW w:w="1580" w:type="dxa"/>
            <w:vAlign w:val="bottom"/>
          </w:tcPr>
          <w:p>
            <w:pPr>
              <w:spacing w:after="0"/>
              <w:rPr>
                <w:sz w:val="20"/>
                <w:szCs w:val="20"/>
                <w:color w:val="auto"/>
              </w:rPr>
            </w:pPr>
            <w:r>
              <w:rPr>
                <w:rFonts w:ascii="Arial" w:cs="Arial" w:eastAsia="Arial" w:hAnsi="Arial"/>
                <w:sz w:val="18"/>
                <w:szCs w:val="18"/>
                <w:color w:val="auto"/>
              </w:rPr>
              <w:t>taxes</w:t>
            </w:r>
          </w:p>
        </w:tc>
        <w:tc>
          <w:tcPr>
            <w:tcW w:w="4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12,607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14.0% $ (3,559)</w:t>
            </w:r>
          </w:p>
        </w:tc>
        <w:tc>
          <w:tcPr>
            <w:tcW w:w="1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 $  26,591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31,677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(5,086)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11"/>
        </w:trPr>
        <w:tc>
          <w:tcPr>
            <w:tcW w:w="15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left="20" w:right="140"/>
        <w:spacing w:after="0" w:line="277" w:lineRule="auto"/>
        <w:rPr>
          <w:sz w:val="20"/>
          <w:szCs w:val="20"/>
          <w:color w:val="auto"/>
        </w:rPr>
      </w:pPr>
      <w:r>
        <w:rPr>
          <w:rFonts w:ascii="Arial" w:cs="Arial" w:eastAsia="Arial" w:hAnsi="Arial"/>
          <w:sz w:val="18"/>
          <w:szCs w:val="18"/>
          <w:color w:val="auto"/>
        </w:rPr>
        <w:t>Stock-based compensation expense included in the statements of operations data above for the three and six months ended June 30, 2020 and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186055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09"/>
        </w:trPr>
        <w:tc>
          <w:tcPr>
            <w:tcW w:w="384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5,972</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w:t>
            </w:r>
          </w:p>
        </w:tc>
      </w:tr>
      <w:tr>
        <w:trPr>
          <w:trHeight w:val="124"/>
        </w:trPr>
        <w:tc>
          <w:tcPr>
            <w:tcW w:w="20" w:type="dxa"/>
            <w:vAlign w:val="bottom"/>
          </w:tcPr>
          <w:p>
            <w:pPr>
              <w:spacing w:after="0"/>
              <w:rPr>
                <w:sz w:val="10"/>
                <w:szCs w:val="10"/>
                <w:color w:val="auto"/>
              </w:rPr>
            </w:pPr>
          </w:p>
        </w:tc>
        <w:tc>
          <w:tcPr>
            <w:tcW w:w="38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bl>
    <w:p>
      <w:pPr>
        <w:sectPr>
          <w:pgSz w:w="11900" w:h="16900" w:orient="portrait"/>
          <w:cols w:equalWidth="0" w:num="1">
            <w:col w:w="11260"/>
          </w:cols>
          <w:pgMar w:left="300" w:top="125" w:right="3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0" w:type="dxa"/>
            <w:vAlign w:val="bottom"/>
          </w:tcPr>
          <w:p>
            <w:pPr>
              <w:spacing w:after="0"/>
              <w:rPr>
                <w:sz w:val="22"/>
                <w:szCs w:val="2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6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3,639</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3,486</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6,672</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6,526</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Marketing and sales</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2"/>
          </w:tcPr>
          <w:p>
            <w:pPr>
              <w:ind w:left="28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3,639</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3,486</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6,672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6,526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gridSpan w:val="2"/>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-351155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three months ended June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4"/>
            <w:vMerge w:val="restart"/>
          </w:tcPr>
          <w:p>
            <w:pPr>
              <w:ind w:left="48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 of Total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86,823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91,149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16,729</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20,940</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620" w:type="dxa"/>
            <w:vAlign w:val="bottom"/>
            <w:vMerge w:val="restart"/>
          </w:tcPr>
          <w:p>
            <w:pPr>
              <w:ind w:left="320"/>
              <w:spacing w:after="0"/>
              <w:rPr>
                <w:sz w:val="20"/>
                <w:szCs w:val="20"/>
                <w:color w:val="auto"/>
              </w:rPr>
            </w:pPr>
            <w:r>
              <w:rPr>
                <w:rFonts w:ascii="Arial" w:cs="Arial" w:eastAsia="Arial" w:hAnsi="Arial"/>
                <w:sz w:val="18"/>
                <w:szCs w:val="18"/>
                <w:color w:val="auto"/>
              </w:rPr>
              <w:t>Japan</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3,023</w:t>
            </w:r>
          </w:p>
        </w:tc>
        <w:tc>
          <w:tcPr>
            <w:tcW w:w="100" w:type="dxa"/>
            <w:vAlign w:val="bottom"/>
            <w:vMerge w:val="restart"/>
          </w:tcPr>
          <w:p>
            <w:pPr>
              <w:spacing w:after="0"/>
              <w:rPr>
                <w:sz w:val="14"/>
                <w:szCs w:val="14"/>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3,843</w:t>
            </w:r>
          </w:p>
        </w:tc>
        <w:tc>
          <w:tcPr>
            <w:tcW w:w="100" w:type="dxa"/>
            <w:vAlign w:val="bottom"/>
            <w:vMerge w:val="restart"/>
          </w:tcPr>
          <w:p>
            <w:pPr>
              <w:spacing w:after="0"/>
              <w:rPr>
                <w:sz w:val="14"/>
                <w:szCs w:val="14"/>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79"/>
              <w:spacing w:after="0" w:line="16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262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jc w:val="right"/>
              <w:ind w:right="139"/>
              <w:spacing w:after="0" w:line="68" w:lineRule="exact"/>
              <w:rPr>
                <w:sz w:val="20"/>
                <w:szCs w:val="20"/>
                <w:color w:val="auto"/>
              </w:rPr>
            </w:pPr>
            <w:r>
              <w:rPr>
                <w:rFonts w:ascii="Arial" w:cs="Arial" w:eastAsia="Arial" w:hAnsi="Arial"/>
                <w:sz w:val="7"/>
                <w:szCs w:val="7"/>
                <w:color w:val="auto"/>
              </w:rPr>
              <w:t>(21.3</w:t>
            </w: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115,932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262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revenue decreased $9.4 million, or 8.1%, for the three months ended June 30, 2020 compared to the same period in 2019. By reportable segment, revenue in the United States decreased $4.3 million, or 4.7%, for the three months ended June 30, 2020 compared to the same period in 2019. Revenue in Europe decreased $4.2 million, or 20.1%, and revenue in Japan decreased $0.8 million, or 21.3%, in each case for the three months ended June 30, 2020 compared to the same period in 2019. Our revenue in Europe was impacted by foreign currency exchange rates. Excluding the $0.4 million impact of the changes in foreign currency exchange rates, the decrease in Europe revenue would have been 18.1%. In addition, our revenue in each region was impacted by a decline in order activity driven by current economic conditions as a result of the COVID-19 pandemic.</w:t>
      </w:r>
    </w:p>
    <w:p>
      <w:pPr>
        <w:spacing w:after="0" w:line="16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revenue decline during the three months ended June 30, 2020 was the result of a decrease in the volume of product developers and engineers we served. During the three months ended June 30, 2020, we served 17,037 unique product developers and engineers, a decrease of 18.2% over the same period in 2019.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78"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Our revenue decreases were primarily driven by a decline in order activity as a result of the economic uncertainty created by the COVID-19 pandemic. International revenue was negatively impacted by $0.4 million during the three months ended June 30, 2020 compared to the same period in 2019 as a result of foreign currency movements, primarily the weakening of the British Pound and Euro relative to the United States Dollar.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three months ended June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191"/>
        </w:trPr>
        <w:tc>
          <w:tcPr>
            <w:tcW w:w="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 of Total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4"/>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Injection Molding</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57,894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55,457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CNC Machining</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38,888</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3D Printing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14,236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15,266</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Metal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5,472</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115,932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1"/>
                <w:szCs w:val="2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262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204" w:gutter="0" w:footer="0" w:header="0"/>
        </w:sectPr>
      </w:pPr>
    </w:p>
    <w:bookmarkStart w:id="17" w:name="page18"/>
    <w:bookmarkEnd w:id="17"/>
    <w:p>
      <w:pPr>
        <w:ind w:right="180"/>
        <w:spacing w:after="0" w:line="263" w:lineRule="auto"/>
        <w:rPr>
          <w:sz w:val="20"/>
          <w:szCs w:val="20"/>
          <w:color w:val="auto"/>
        </w:rPr>
      </w:pPr>
      <w:r>
        <w:rPr>
          <w:rFonts w:ascii="Arial" w:cs="Arial" w:eastAsia="Arial" w:hAnsi="Arial"/>
          <w:sz w:val="18"/>
          <w:szCs w:val="18"/>
          <w:color w:val="auto"/>
        </w:rPr>
        <w:t>By product line, our revenue decrease was driven by a 26.0% decrease in CNC Machining revenue, a 6.7% decrease in 3D Printing revenue, and a 14.7% decrease in Sheet Metal revenue, which was partially offset by a 4.4% increase in Injection Molding revenue and a 19.7% increase in Other Revenue, in each case for the three months ended June 30, 2020 compared to the same period in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decreased $1.6 million, or 2.8%, for the three months ended June 30, 2020 compared to the same period in 2019,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less than the rate of revenue decrease of 8.1% for the three months ended June 30, 2020 compared to the same period in 2019. The decrease in cost of revenue was primarily driven by lower revenue volumes and cost saving measures implemented as a result of the COVID-19 pandemic. Specifically, the decreases were driven by a decrease in direct labor headcount and hours worked resulting in personnel and related cost decreases of $1.5 million and raw material and production cost decreases of $0.6 million, which were partially offset by equipment and facility-related cost increases of $0.5 million to support future growth of the business.</w:t>
      </w:r>
    </w:p>
    <w:p>
      <w:pPr>
        <w:spacing w:after="0" w:line="19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i w:val="1"/>
          <w:iCs w:val="1"/>
          <w:color w:val="auto"/>
        </w:rPr>
        <w:t xml:space="preserve">Gross Profit and Gross Margin. </w:t>
      </w:r>
      <w:r>
        <w:rPr>
          <w:rFonts w:ascii="Arial" w:cs="Arial" w:eastAsia="Arial" w:hAnsi="Arial"/>
          <w:sz w:val="16"/>
          <w:szCs w:val="16"/>
          <w:color w:val="auto"/>
        </w:rPr>
        <w:t>Gross profit decreased from $60.2 million in the three months ended June 30, 2019 to $52.5 million in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2020. Gross margin decreased from 52.0% in the three months ended June 30, 2019 to 49.2% in the three months ended June 30, 2020 primarily due to the fixed cost structure of our facilities and equipment supporting lower revenue this quarter and the timing and mix of revenue.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Income, net and Provision for Income Taxes</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decreased $2.3 million, or 12.2%, during the three months ended June 30, 2020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2019 due primarily to personnel and related cost decreases of $1.0 million as well as marketing program cost decreases of $1.3 million.</w:t>
      </w:r>
    </w:p>
    <w:p>
      <w:pPr>
        <w:spacing w:after="0" w:line="124"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increased $0.5 million, or 5.9%, during the three months ended June 30, 2020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2019 due to an increase in headcount resulting in personnel and related cost increases of $0.5 million.</w:t>
      </w:r>
    </w:p>
    <w:p>
      <w:pPr>
        <w:spacing w:after="0" w:line="124"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decreased $0.7 million, or 5.2%, during the three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due to administrative cost decreases of $0.5 million, amortization cost decreases of $0.1 million and stock-based compensation cost decreases of $0.2 million, which were partially offset by professional service cost increases of $0.1 million.</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We recognized other income, net of $0.8 million for the three months ended June 30, 2020, a decrease of $0.4 million compared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net of $1.1 million for the three months ended June 30, 2019. Other income, net for the three months ended June 30, 2020 primarily consisted of $0.4 million in interest income on investments and a $0.3 million gain on foreign currency. Other income, net for the three months ended June 30, 2019 primarily consisted of $0.5 million in interest income on investments and a $0.5 million gain on foreign currency.</w:t>
      </w:r>
    </w:p>
    <w:p>
      <w:pPr>
        <w:spacing w:after="0" w:line="17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Our effective tax rate of 16.6% for the three months ended June 30, 2020 decreased 5.3% compared to 21.9%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2019. The decrease in the effective tax rate is primarily due to an increase in tax benefits from the vesting of restricted stock and the exercise of stock options and an increase in the research and development tax credit. Our income tax provision of $2.5 million for the three months ended June 30, 2020 decreased $2.0 million compared to our income tax provision of $4.5 million for the three months ended June 30,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reportable segment and the related changes for the six months ended June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 of 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320"/>
              <w:spacing w:after="0"/>
              <w:rPr>
                <w:sz w:val="20"/>
                <w:szCs w:val="20"/>
                <w:color w:val="auto"/>
              </w:rPr>
            </w:pPr>
            <w:r>
              <w:rPr>
                <w:rFonts w:ascii="Arial" w:cs="Arial" w:eastAsia="Arial" w:hAnsi="Arial"/>
                <w:sz w:val="18"/>
                <w:szCs w:val="18"/>
                <w:color w:val="auto"/>
              </w:rPr>
              <w:t>United States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176,899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79.8%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178,960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42,194</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320"/>
              <w:spacing w:after="0"/>
              <w:rPr>
                <w:sz w:val="20"/>
                <w:szCs w:val="20"/>
                <w:color w:val="auto"/>
              </w:rPr>
            </w:pPr>
            <w:r>
              <w:rPr>
                <w:rFonts w:ascii="Arial" w:cs="Arial" w:eastAsia="Arial" w:hAnsi="Arial"/>
                <w:sz w:val="18"/>
                <w:szCs w:val="18"/>
                <w:color w:val="auto"/>
              </w:rPr>
              <w:t>Japan</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229,384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300" w:type="dxa"/>
            <w:vAlign w:val="bottom"/>
            <w:tcBorders>
              <w:bottom w:val="single" w:sz="8" w:color="9A9A9A"/>
            </w:tcBorders>
          </w:tcPr>
          <w:p>
            <w:pPr>
              <w:spacing w:after="0"/>
              <w:rPr>
                <w:sz w:val="24"/>
                <w:szCs w:val="24"/>
                <w:color w:val="auto"/>
              </w:rPr>
            </w:pPr>
          </w:p>
        </w:tc>
        <w:tc>
          <w:tcPr>
            <w:tcW w:w="262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revenue decreased $7.7 million, or 3.4%, for the six months ended June 30, 2020 compared to the same period in 2019. By reportable segment, revenue in the United States decreased $2.1 million, or 1.2%, for the six months ended June 30, 2020 compared to the same period in 2019. Revenue in Europe decreased $4.7 million, or 11.1%, and revenue in Japan decreased $1.0 million, or 11.7%, in each case for the six months ended June 30, 2020 compared to the same period in 2019. Our revenue in Europe was impacted by foreign currency exchange rates. Excluding the $1.1 million impact of the changes in foreign currency exchange rates, the decrease in Europe revenue would have been 8.6%. In addition, our revenue in each region was impacted by a decline in order activity driven by current economic conditions as a result of the COVID-19 pandemic.</w:t>
      </w:r>
    </w:p>
    <w:p>
      <w:pPr>
        <w:sectPr>
          <w:pgSz w:w="11900" w:h="16838" w:orient="portrait"/>
          <w:cols w:equalWidth="0" w:num="1">
            <w:col w:w="11240"/>
          </w:cols>
          <w:pgMar w:left="320" w:top="125" w:right="339" w:bottom="126" w:gutter="0" w:footer="0" w:header="0"/>
        </w:sectPr>
      </w:pPr>
    </w:p>
    <w:bookmarkStart w:id="18" w:name="page19"/>
    <w:bookmarkEnd w:id="18"/>
    <w:p>
      <w:pPr>
        <w:ind w:right="20"/>
        <w:spacing w:after="0" w:line="271" w:lineRule="auto"/>
        <w:rPr>
          <w:sz w:val="20"/>
          <w:szCs w:val="20"/>
          <w:color w:val="auto"/>
        </w:rPr>
      </w:pPr>
      <w:r>
        <w:rPr>
          <w:rFonts w:ascii="Arial" w:cs="Arial" w:eastAsia="Arial" w:hAnsi="Arial"/>
          <w:sz w:val="17"/>
          <w:szCs w:val="17"/>
          <w:color w:val="auto"/>
        </w:rPr>
        <w:t>Our revenue decline during the six months ended June 30, 2020 was the result of a decrease in the volume of product developers and engineers we served. During the six months ended June 30, 2020, we served 29,703 unique product developers and engineers, a decrease of 5.9% over the same period in 2019. The economic uncertainty arising from the COVID-19 pandemic has impacted the number of product developers and engineers who purchase our products. While we expect the number of product developers and engineers served to grow in the long-term, challenges posed by the COVID-19 pandemic on the global economy have continued through the date of this report. Steps taken by national and local governments to slow the spread of the virus, including business shutdowns and shelter in place orders, have hindered the ability and willingness of project developers and engineers to proceed with development and commercialization projects on the same scale as they have historically. At this time, it is difficult to predict the future given the current economic uncertainty and evolving market conditions.</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revenue decreases were primarily driven by a decline in order activity as a result of the economic uncertainty created by the COVID-19 pandemic. International revenue was negatively impacted by $0.9 million during the six months ended June 30, 2020 compared to the same period in 2019 as a result of foreign currency movements, primarily the weakening of the British Pound and Euro relative to the United States Dollar.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line and the related changes for the six months ended June 30,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w w:val="99"/>
              </w:rPr>
              <w:t>Change</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9"/>
              </w:rPr>
              <w:t>% of Total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9"/>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(dollars in thousands)</w:t>
            </w: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Injection Molding</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112,670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110,768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CNC Machining</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66,645</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76,760</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3D Printing</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30,184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29,746</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Sheet Metal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10,497</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229,384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9A9A9A"/>
            </w:tcBorders>
          </w:tcPr>
          <w:p>
            <w:pPr>
              <w:spacing w:after="0"/>
              <w:rPr>
                <w:sz w:val="24"/>
                <w:szCs w:val="24"/>
                <w:color w:val="auto"/>
              </w:rPr>
            </w:pPr>
          </w:p>
        </w:tc>
        <w:tc>
          <w:tcPr>
            <w:tcW w:w="262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By product line, our revenue decrease was driven by a 13.2% decrease in CNC Machining revenue and a 1.7% decrease in Sheet Metal revenue, which was partially offset by a 1.7% increase in Injection Molding revenue, a 1.5% increase in 3D Printing revenue and a 15.7% increase in Other Revenue, in each case for the six months ended June 30, 2020 compared to the same period in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increased $0.8 million, or 0.8%, for the six months ended June 30, 2020 compared to the same period in 2019, despite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revenue decrease of 3.4% for the six months ended June 30, 2020 compared to the same period in 2019. The increases were driven by a $1.6 million increase in equipment and facility-related costs to support future growth of the business, which was partially offset by personnel and related cost decreases of $0.8 million.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Gross Profit and Gross Margin. </w:t>
      </w:r>
      <w:r>
        <w:rPr>
          <w:rFonts w:ascii="Arial" w:cs="Arial" w:eastAsia="Arial" w:hAnsi="Arial"/>
          <w:sz w:val="18"/>
          <w:szCs w:val="18"/>
          <w:color w:val="auto"/>
        </w:rPr>
        <w:t>Gross profit decreased from $119.1 million in the six months ended June 30, 2019 to $110.6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primarily due to a decrease in revenue. Gross margin decreased from 51.9% in the six months ended June 30, 2019 to 49.9% in the six months ended June 30, 2020 due to the fixed cost structure of our facilities and equipment supporting lower revenue this year and the timing and mix of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Other Income, net and Provision for Income Taxes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Marketing and sales expenses decreased $2.7 million, or 7.3%, during the six months ended June 30, 2020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2019 due primarily to personnel and related cost decreases of $1.2 million as well as marketing program cost decreases of $1.5 million.</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$1.5 million, or 9.0%, during the six months ended June 30,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2019 due to an increase in headcount resulting in personnel and related cost increases of $1.4 million and operating cost increases of $0.1 million.</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$0.6 million, or 2.3%, during the six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2019 due to personnel and related cost increases of $1.2 million and professional services increases of $0.2 million, which were partially offset by stock-based compensation decreases of $0.5 million, as well as a $0.3 million decrease in amortization cost.</w:t>
      </w:r>
    </w:p>
    <w:p>
      <w:pPr>
        <w:spacing w:after="0" w:line="16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We recognized other income, net of $1.8 million for the six months ended June 30, 2020, an increase of $0.5 million compared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net of $1.3 million for the six months ended June 30, 2019. Other income, net for the six months ended June 30, 2020 primarily consisted of $0.9 million in interest income on investments and a $0.9 million gain on foreign currency. Other income, net for the six months ended June 30, 2019 primarily consisted of $1.1 million in interest income on investments and a $0.1 million gain on foreign currency.</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tax rate of 19.4% for the six months ended June 30, 2020 decreased 2.1% compared to 21.5% for the same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in 2019. The decrease in the effective tax rate is primarily due to an increase in tax benefits from the vesting of restricted stock and the exercise of stock options and an increase in the research and development tax credit. Our income tax provision of $6.4 million for the six months ended June 30, 2020 decreased $2.3 million compared to our income tax provision of $8.7 million for the six months ended June 30, 2019.</w:t>
      </w:r>
    </w:p>
    <w:p>
      <w:pPr>
        <w:sectPr>
          <w:pgSz w:w="11900" w:h="16838" w:orient="portrait"/>
          <w:cols w:equalWidth="0" w:num="1">
            <w:col w:w="11240"/>
          </w:cols>
          <w:pgMar w:left="320" w:top="125" w:right="339" w:bottom="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during the six months ended June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provided by operating activities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Net cash used in financing activities</w:t>
      </w:r>
    </w:p>
    <w:p>
      <w:pPr>
        <w:spacing w:after="0" w:line="22" w:lineRule="exact"/>
        <w:rPr>
          <w:sz w:val="20"/>
          <w:szCs w:val="20"/>
          <w:color w:val="auto"/>
        </w:rPr>
      </w:pPr>
    </w:p>
    <w:p>
      <w:pPr>
        <w:ind w:left="560" w:right="2180"/>
        <w:spacing w:after="0" w:line="395" w:lineRule="auto"/>
        <w:rPr>
          <w:sz w:val="20"/>
          <w:szCs w:val="20"/>
          <w:color w:val="auto"/>
        </w:rPr>
      </w:pPr>
      <w:r>
        <w:rPr>
          <w:rFonts w:ascii="Arial" w:cs="Arial" w:eastAsia="Arial" w:hAnsi="Arial"/>
          <w:sz w:val="16"/>
          <w:szCs w:val="16"/>
          <w:color w:val="auto"/>
        </w:rPr>
        <w:t>Effect of exchange rates on cash and cash equivalents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-237490</wp:posOffset>
            </wp:positionV>
            <wp:extent cx="641223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195"/>
        </w:trPr>
        <w:tc>
          <w:tcPr>
            <w:tcW w:w="2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53,417</w:t>
            </w:r>
          </w:p>
        </w:tc>
        <w:tc>
          <w:tcPr>
            <w:tcW w:w="10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54,888</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(17,949)</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(21,585)</w:t>
            </w:r>
          </w:p>
        </w:tc>
      </w:tr>
      <w:tr>
        <w:trPr>
          <w:trHeight w:val="244"/>
        </w:trPr>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15,489</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ectPr>
          <w:pgSz w:w="11900" w:h="16838" w:orient="portrait"/>
          <w:cols w:equalWidth="0" w:num="2">
            <w:col w:w="6620" w:space="720"/>
            <w:col w:w="3900"/>
          </w:cols>
          <w:pgMar w:left="320" w:top="125" w:right="339" w:bottom="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Historically, we have primarily financed our operations and capital expenditures through cash flow from operations. We had cash and cash equivalents of $98.0 million as of June 30, 2020, a decrease of $27.2 million from December 31, 2019. The decrease in our cash was primarily due to cash used in investing activity including net investments in marketable securities of $29.0 million and purchases of property, equipment and other capital assets of $33.3 million and repurchases of common stock of $14.7 million, which were partially offset by cash generated through operations of $53.4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Cash flows from operating activities were $53.4 million during the six months ended June 30, 2020 and primarily consisted of net income of $26.6 million, adjusted for certain non-cash items, including depreciation and amortization of $15.9 million, stock-based compensation expense of $6.7 million and deferred taxes of $5.7 million, which were partially offset by changes in operating assets and liabilities and other items totaling $1.5 million. Cash flows from operating activities were $54.9 million during the six months ended June 30, 2019 and primarily consisted of net income of $31.7 million, adjusted for certain non-cash items, including depreciation and amortization of $15.0 million, stock-based compensation expense of $6.5 million, deferred taxes of $1.6 million and changes in operating assets and liabilities and other items totaling $0.1 million.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flows from operating activities decreased $1.5 million during the six months ended June 30, 2020 compared to the same period in 2019, primarily due to decreases in net income of $5.1 million, decreases in changes in operating assets and liabilities of $1.0 million driven by timing of cash receipts and payments, and decreases of $0.4 million in other items, which were partially offset by increases in deferred taxes of $4.1 million and increases in depreciation and amortization of $0.9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Cash used in investing activities was $65.3 million during the six months ended June 30, 2020, consisting of $29.0 million in net investments in marketable securities, $33.3 million for the purchases of property, equipment and other capital assets and $3.0 million for purchases of other assets and investments.</w:t>
      </w:r>
    </w:p>
    <w:p>
      <w:pPr>
        <w:spacing w:after="0" w:line="12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Cash used in investing activities was $17.9 million during the six months ended June 30, 2019, consisting of $34.1 million for the purchases of property, equipment and other capital assets, $9.0 million for purchases of marketable securities and $4.0 million for purchases of other assets and investments, which were partially offset by $29.2 million in proceeds from maturities of marketable securities.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Cash used in financing activities was $15.2 million during the six months ended June 30, 2020, consisting of $14.7 million in repurchases of common stock and $3.4 million in purchases of shares withheld for tax obligations associated with equity transactions, which were partially offset by $2.9 million in proceeds from the exercise of stock options.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Cash used in financing activities was $21.6 million during the six months ended June 30, 2019, consisting of $21.4 million in repurchases of common stock and $2.4 million in purchases of shares withheld for tax obligations associated with equity transactions, which were partially offset by $2.2 million in proceeds from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of America (U.S. GAAP). Our significant accounting policies are disclosed in Note 2 to the Consolidated Financial Statements included in our Annual Report on Form 10-K for the year ended December 31, 2019.</w:t>
      </w:r>
    </w:p>
    <w:p>
      <w:pPr>
        <w:sectPr>
          <w:pgSz w:w="11900" w:h="16838" w:orient="portrait"/>
          <w:cols w:equalWidth="0" w:num="1">
            <w:col w:w="11240"/>
          </w:cols>
          <w:pgMar w:left="320" w:top="125" w:right="339" w:bottom="0" w:gutter="0" w:footer="0" w:header="0"/>
          <w:type w:val="continuous"/>
        </w:sectPr>
      </w:pPr>
    </w:p>
    <w:bookmarkStart w:id="20" w:name="page21"/>
    <w:bookmarkEnd w:id="20"/>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information on recent accounting pronouncements, see Note 2 to the Consolidated Financial Statements appearing in Part I, Item 1 in this Quarterly Report on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our foreign operations, we have revenue, expenses, assets and liabilities that are denominated in foreign currencies. We generate revenue and incur production costs and operating expenses in British Pounds, Euros and Japanese Yen.</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gains of $0.3 million and $0.9 million during the three and six months ended June 30, 2020, respectively. We recognized foreign currency gains of $0.5 million and $0.1 million during the three and six months ended June 30, 2019, respectively. The changes in foreign exchange rates had a negative impact on consolidated revenue of $0.4 million for the three months ended June 30, 2020 and $0.9 million for the six months ended June 30, 2020 as compared to the same periods in 2019.</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quarterly report,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Part I, Item 1A. “Risk Factors” in our Annual Report on Form 10-K for the year ended December 31, 2019 includes a discussion of our risk factors. The information presented below updates, and should be read in conjunction with, the risk factors and information disclosed in our Form 10-K. Except as presented below, there have been no material changes from the risk factors described in our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uncertainty arising from the recent COVID-19 pandemic could adversely affect our business and results of operations.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March 11, 2020, the World Health Organization declared the outbreak of the novel coronavirus (COVID-19) a pandemic. The COVID-19 outbreak and associated counter-acting measures implemented by governments around the world, as well as increased business uncertainty, could adversely affect our business and results of operations. At this time, the Company is monitoring the global outbreak of the COVID-19 and is taking steps to mitigate the risks to our employees, customers, suppliers and other stakeholders. The Company has been deemed an essential business and all of our global manufacturing operations have remained open. The current business environment and quickly evolving market conditions require significant management judgment to interpret and quantify the potential impact on our assumptions about future financial performance and operating cash flows. To the extent that changes in</w:t>
      </w:r>
    </w:p>
    <w:p>
      <w:pPr>
        <w:sectPr>
          <w:pgSz w:w="11900" w:h="16874" w:orient="portrait"/>
          <w:cols w:equalWidth="0" w:num="1">
            <w:col w:w="11240"/>
          </w:cols>
          <w:pgMar w:left="320" w:top="121" w:right="339" w:bottom="0" w:gutter="0" w:footer="0" w:header="0"/>
        </w:sectPr>
      </w:pPr>
    </w:p>
    <w:bookmarkStart w:id="21" w:name="page22"/>
    <w:bookmarkEnd w:id="21"/>
    <w:p>
      <w:pPr>
        <w:spacing w:after="0" w:line="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current business environment impact our ability to achieve levels of forecasted operating results and cash flows, if our stock price were to trade below book value per share for an extended period of time and/or should other events occur indicating the carrying value of our assets might be impaired, we may be required to recognize impairment losses on goodwill, intangible and 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9, 2017, we announced that our board of directors had authorized the repurchase of shares of our common stock from time to time on the open market or in privately negotiated purchases, at an aggregate purchase price of up to $50 million. On May 16, 2019, we announced that our board of directors approved a $50 million increase in its authorized stock repurchase program and extended the term of the program through December 31, 2023. This authorization increases the stock repurchase program to $100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any share repurchases will be determined by our management based on market conditions and other factors.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common stock repurchase does not obligate us to repurchase any dollar amount or number of shares. During the three months ended June 30, 2020, we repurchased 38,154 shares of our common stock at a total purchase price of $2.7 million under this program. Common stock repurchase activity through June 30,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7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Part of Publicly</w:t>
            </w:r>
          </w:p>
        </w:tc>
        <w:tc>
          <w:tcPr>
            <w:tcW w:w="120" w:type="dxa"/>
            <w:vAlign w:val="bottom"/>
          </w:tcPr>
          <w:p>
            <w:pPr>
              <w:spacing w:after="0"/>
              <w:rPr>
                <w:sz w:val="18"/>
                <w:szCs w:val="18"/>
                <w:color w:val="auto"/>
              </w:rPr>
            </w:pPr>
          </w:p>
        </w:tc>
        <w:tc>
          <w:tcPr>
            <w:tcW w:w="17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Purchased Under the</w:t>
            </w:r>
          </w:p>
        </w:tc>
      </w:t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Average Price Paid</w:t>
            </w:r>
          </w:p>
        </w:tc>
        <w:tc>
          <w:tcPr>
            <w:tcW w:w="10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Announced Plans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Plans or Programs</w:t>
            </w:r>
          </w:p>
        </w:tc>
      </w:tr>
      <w:tr>
        <w:trPr>
          <w:trHeight w:val="234"/>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Shares Purchased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Programs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 thousands) (1)</w:t>
            </w: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April 1, 2020 through April 30, 2020</w:t>
            </w: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38,154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70.81</w:t>
            </w:r>
          </w:p>
        </w:tc>
        <w:tc>
          <w:tcPr>
            <w:tcW w:w="1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38,154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35,175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May 1, 2020 through May 31, 2020</w:t>
            </w:r>
          </w:p>
        </w:tc>
        <w:tc>
          <w:tcPr>
            <w:tcW w:w="120" w:type="dxa"/>
            <w:vAlign w:val="bottom"/>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35,175</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June 1, 2020 through June 30, 2020</w:t>
            </w: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35,175</w:t>
            </w:r>
          </w:p>
        </w:tc>
      </w:tr>
      <w:tr>
        <w:trPr>
          <w:trHeight w:val="216"/>
        </w:trPr>
        <w:tc>
          <w:tcPr>
            <w:tcW w:w="3620" w:type="dxa"/>
            <w:vAlign w:val="bottom"/>
          </w:tcPr>
          <w:p>
            <w:pPr>
              <w:spacing w:after="0"/>
              <w:rPr>
                <w:sz w:val="18"/>
                <w:szCs w:val="18"/>
                <w:color w:val="auto"/>
              </w:rPr>
            </w:pP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38,154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70.81</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color w:val="auto"/>
              </w:rPr>
              <w:t>38,154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35,175</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1"/>
        </w:trPr>
        <w:tc>
          <w:tcPr>
            <w:tcW w:w="3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90" w:lineRule="exact"/>
        <w:rPr>
          <w:sz w:val="20"/>
          <w:szCs w:val="20"/>
          <w:color w:val="auto"/>
        </w:rPr>
      </w:pPr>
    </w:p>
    <w:p>
      <w:pPr>
        <w:jc w:val="both"/>
        <w:ind w:right="400" w:firstLine="8"/>
        <w:spacing w:after="0" w:line="26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May 15, 2019 the Board of Directors authorized the repurchase of shares of the Company’s common stock from time to time on the open market or in privately negotiated purchases, at an aggregate purchase price of up to $100 million. The term of the program runs through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matters to disclose.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Exhibit</w:t>
            </w:r>
          </w:p>
        </w:tc>
        <w:tc>
          <w:tcPr>
            <w:tcW w:w="60" w:type="dxa"/>
            <w:vAlign w:val="bottom"/>
          </w:tcPr>
          <w:p>
            <w:pPr>
              <w:spacing w:after="0"/>
              <w:rPr>
                <w:sz w:val="18"/>
                <w:szCs w:val="18"/>
                <w:color w:val="auto"/>
              </w:rPr>
            </w:pPr>
          </w:p>
        </w:tc>
        <w:tc>
          <w:tcPr>
            <w:tcW w:w="10440" w:type="dxa"/>
            <w:vAlign w:val="bottom"/>
          </w:tcPr>
          <w:p>
            <w:pPr>
              <w:ind w:left="438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20"/>
                <w:szCs w:val="20"/>
                <w:color w:val="auto"/>
              </w:rPr>
            </w:pPr>
          </w:p>
        </w:tc>
        <w:tc>
          <w:tcPr>
            <w:tcW w:w="10440" w:type="dxa"/>
            <w:vAlign w:val="bottom"/>
          </w:tcPr>
          <w:p>
            <w:pPr>
              <w:spacing w:after="0"/>
              <w:rPr>
                <w:sz w:val="20"/>
                <w:szCs w:val="20"/>
                <w:color w:val="auto"/>
              </w:rPr>
            </w:pPr>
          </w:p>
        </w:tc>
      </w:tr>
      <w:tr>
        <w:trPr>
          <w:trHeight w:val="195"/>
        </w:trPr>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7"/>
                <w:szCs w:val="17"/>
                <w:color w:val="auto"/>
                <w:w w:val="86"/>
              </w:rPr>
              <w:t>3.1</w:t>
            </w:r>
            <w:r>
              <w:rPr>
                <w:rFonts w:ascii="Arial" w:cs="Arial" w:eastAsia="Arial" w:hAnsi="Arial"/>
                <w:sz w:val="22"/>
                <w:szCs w:val="22"/>
                <w:color w:val="auto"/>
                <w:w w:val="86"/>
                <w:vertAlign w:val="superscript"/>
              </w:rPr>
              <w:t>(1)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40" w:type="dxa"/>
            <w:vAlign w:val="bottom"/>
            <w:tcBorders>
              <w:top w:val="single" w:sz="8" w:color="auto"/>
            </w:tcBorders>
          </w:tcPr>
          <w:p>
            <w:pPr>
              <w:spacing w:after="0" w:line="195" w:lineRule="exact"/>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Third Amended and Restated Articles of Incorporation of Proto Labs, Inc.</w:t>
              </w:r>
            </w:hyperlink>
          </w:p>
        </w:tc>
      </w:tr>
      <w:tr>
        <w:trPr>
          <w:trHeight w:val="216"/>
        </w:trPr>
        <w:tc>
          <w:tcPr>
            <w:tcW w:w="680" w:type="dxa"/>
            <w:vAlign w:val="bottom"/>
          </w:tcPr>
          <w:p>
            <w:pPr>
              <w:jc w:val="center"/>
              <w:spacing w:after="0" w:line="216" w:lineRule="exact"/>
              <w:rPr>
                <w:sz w:val="20"/>
                <w:szCs w:val="20"/>
                <w:color w:val="auto"/>
              </w:rPr>
            </w:pPr>
            <w:r>
              <w:rPr>
                <w:rFonts w:ascii="Arial" w:cs="Arial" w:eastAsia="Arial" w:hAnsi="Arial"/>
                <w:sz w:val="18"/>
                <w:szCs w:val="18"/>
                <w:color w:val="auto"/>
                <w:w w:val="82"/>
              </w:rPr>
              <w:t>3.2</w:t>
            </w:r>
            <w:r>
              <w:rPr>
                <w:rFonts w:ascii="Arial" w:cs="Arial" w:eastAsia="Arial" w:hAnsi="Arial"/>
                <w:sz w:val="23"/>
                <w:szCs w:val="23"/>
                <w:color w:val="auto"/>
                <w:w w:val="82"/>
                <w:vertAlign w:val="superscript"/>
              </w:rPr>
              <w:t>(2)</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Articles of Amendment to Third Amended and Restated Articles of Incorporation of Proto Labs, Inc. dated May 20, 2015</w:t>
              </w:r>
            </w:hyperlink>
          </w:p>
        </w:tc>
      </w:tr>
      <w:tr>
        <w:trPr>
          <w:trHeight w:val="216"/>
        </w:trPr>
        <w:tc>
          <w:tcPr>
            <w:tcW w:w="680" w:type="dxa"/>
            <w:vAlign w:val="bottom"/>
          </w:tcPr>
          <w:p>
            <w:pPr>
              <w:jc w:val="center"/>
              <w:spacing w:after="0" w:line="216" w:lineRule="exact"/>
              <w:rPr>
                <w:sz w:val="20"/>
                <w:szCs w:val="20"/>
                <w:color w:val="auto"/>
              </w:rPr>
            </w:pPr>
            <w:r>
              <w:rPr>
                <w:rFonts w:ascii="Arial" w:cs="Arial" w:eastAsia="Arial" w:hAnsi="Arial"/>
                <w:sz w:val="18"/>
                <w:szCs w:val="18"/>
                <w:color w:val="auto"/>
                <w:w w:val="82"/>
              </w:rPr>
              <w:t>3.3</w:t>
            </w:r>
            <w:r>
              <w:rPr>
                <w:rFonts w:ascii="Arial" w:cs="Arial" w:eastAsia="Arial" w:hAnsi="Arial"/>
                <w:sz w:val="23"/>
                <w:szCs w:val="23"/>
                <w:color w:val="auto"/>
                <w:w w:val="82"/>
                <w:vertAlign w:val="superscript"/>
              </w:rPr>
              <w:t>(3)</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Second Amended and Restated By-Laws of Proto Labs, Inc., as amended through November 8, 2016</w:t>
              </w:r>
            </w:hyperlink>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Certification of the Chief Executive Officer pursuant to Section 302 of the Sarbanes-Oxley Act</w:t>
              </w:r>
            </w:hyperlink>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Certification of the Chief Financial Officer pursuant to Section 302 of the Sarbanes-Oxley Act</w:t>
              </w:r>
            </w:hyperlink>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60" w:type="dxa"/>
            <w:vAlign w:val="bottom"/>
          </w:tcPr>
          <w:p>
            <w:pPr>
              <w:spacing w:after="0"/>
              <w:rPr>
                <w:sz w:val="18"/>
                <w:szCs w:val="18"/>
                <w:color w:val="auto"/>
              </w:rPr>
            </w:pPr>
          </w:p>
        </w:tc>
        <w:tc>
          <w:tcPr>
            <w:tcW w:w="10500" w:type="dxa"/>
            <w:vAlign w:val="bottom"/>
            <w:gridSpan w:val="2"/>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Certification of the Chief Executive Officer and the Chief Financial Officer pursuant to Section 906 of the Sarbanes-Oxley Act</w:t>
              </w:r>
            </w:hyperlink>
          </w:p>
        </w:tc>
      </w:tr>
      <w:tr>
        <w:trPr>
          <w:trHeight w:val="216"/>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101.INS</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 tags are embedded</w:t>
            </w:r>
          </w:p>
        </w:tc>
      </w:tr>
      <w:tr>
        <w:trPr>
          <w:trHeight w:val="216"/>
        </w:trPr>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101.SCH</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101.CAL</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101.DEF</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8"/>
              </w:rPr>
              <w:t>101.LAB</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101.PRE</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800" w:hanging="590"/>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7" w:lineRule="exact"/>
        <w:rPr>
          <w:rFonts w:ascii="Arial" w:cs="Arial" w:eastAsia="Arial" w:hAnsi="Arial"/>
          <w:sz w:val="18"/>
          <w:szCs w:val="18"/>
          <w:color w:val="auto"/>
        </w:rPr>
      </w:pPr>
    </w:p>
    <w:p>
      <w:pPr>
        <w:ind w:left="380" w:right="640" w:hanging="372"/>
        <w:spacing w:after="0" w:line="221"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3.2 to the Company’s Registration Statement on Form S-1/A (File No. 333-175745), filed with the Commission on February 13, 2012, and incorporated by reference herein.</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ectPr>
          <w:pgSz w:w="11900" w:h="16867" w:orient="portrait"/>
          <w:cols w:equalWidth="0" w:num="1">
            <w:col w:w="11240"/>
          </w:cols>
          <w:pgMar w:left="320" w:top="125" w:right="339" w:bottom="0" w:gutter="0" w:footer="0" w:header="0"/>
        </w:sectPr>
      </w:pPr>
    </w:p>
    <w:bookmarkStart w:id="22" w:name="page23"/>
    <w:bookmarkEnd w:id="22"/>
    <w:p>
      <w:pPr>
        <w:ind w:left="380" w:right="280"/>
        <w:spacing w:after="0" w:line="258" w:lineRule="auto"/>
        <w:rPr>
          <w:sz w:val="20"/>
          <w:szCs w:val="20"/>
          <w:color w:val="auto"/>
        </w:rPr>
      </w:pPr>
      <w:r>
        <w:rPr>
          <w:rFonts w:ascii="Arial" w:cs="Arial" w:eastAsia="Arial" w:hAnsi="Arial"/>
          <w:sz w:val="18"/>
          <w:szCs w:val="18"/>
          <w:color w:val="auto"/>
        </w:rPr>
        <w:t>Previously filed as Exhibit 3.1 to the Company's Form 8-K (File No. 001-35435), filed with the Commission on May 21, 2015 and incorporated by reference herein.</w:t>
      </w:r>
    </w:p>
    <w:p>
      <w:pPr>
        <w:spacing w:after="0" w:line="1" w:lineRule="exact"/>
        <w:rPr>
          <w:sz w:val="20"/>
          <w:szCs w:val="20"/>
          <w:color w:val="auto"/>
        </w:rPr>
      </w:pPr>
    </w:p>
    <w:p>
      <w:pPr>
        <w:ind w:left="380" w:right="180" w:hanging="372"/>
        <w:spacing w:after="0" w:line="214"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8"/>
          <w:szCs w:val="18"/>
          <w:color w:val="auto"/>
        </w:rPr>
        <w:t>Previously filed as Exhibit 3.1 to the Company's Form 8-K (File No. 001-35435), filed with the Commission on November 8, 2016 and incorporated by reference herein.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Proto Labs, Inc.</w:t>
            </w:r>
          </w:p>
        </w:tc>
        <w:tc>
          <w:tcPr>
            <w:tcW w:w="112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July 31, 2020</w:t>
            </w:r>
          </w:p>
        </w:tc>
        <w:tc>
          <w:tcPr>
            <w:tcW w:w="21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Victoria M. Holt</w:t>
            </w:r>
          </w:p>
        </w:tc>
        <w:tc>
          <w:tcPr>
            <w:tcW w:w="112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Victoria M. Holt</w:t>
            </w:r>
          </w:p>
        </w:tc>
        <w:tc>
          <w:tcPr>
            <w:tcW w:w="1120" w:type="dxa"/>
            <w:vAlign w:val="bottom"/>
          </w:tcPr>
          <w:p>
            <w:pPr>
              <w:spacing w:after="0"/>
              <w:rPr>
                <w:sz w:val="16"/>
                <w:szCs w:val="16"/>
                <w:color w:val="auto"/>
              </w:rPr>
            </w:pPr>
          </w:p>
        </w:tc>
      </w:tr>
      <w:tr>
        <w:trPr>
          <w:trHeight w:val="216"/>
        </w:trPr>
        <w:tc>
          <w:tcPr>
            <w:tcW w:w="3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12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120" w:type="dxa"/>
            <w:vAlign w:val="bottom"/>
          </w:tcPr>
          <w:p>
            <w:pPr>
              <w:spacing w:after="0"/>
              <w:rPr>
                <w:sz w:val="20"/>
                <w:szCs w:val="20"/>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July 31, 2020</w:t>
            </w:r>
          </w:p>
        </w:tc>
        <w:tc>
          <w:tcPr>
            <w:tcW w:w="21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Way</w:t>
            </w:r>
          </w:p>
        </w:tc>
        <w:tc>
          <w:tcPr>
            <w:tcW w:w="112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John A. Way</w:t>
            </w:r>
          </w:p>
        </w:tc>
        <w:tc>
          <w:tcPr>
            <w:tcW w:w="1120" w:type="dxa"/>
            <w:vAlign w:val="bottom"/>
          </w:tcPr>
          <w:p>
            <w:pPr>
              <w:spacing w:after="0"/>
              <w:rPr>
                <w:sz w:val="16"/>
                <w:szCs w:val="16"/>
                <w:color w:val="auto"/>
              </w:rPr>
            </w:pPr>
          </w:p>
        </w:tc>
      </w:tr>
      <w:tr>
        <w:trPr>
          <w:trHeight w:val="216"/>
        </w:trPr>
        <w:tc>
          <w:tcPr>
            <w:tcW w:w="3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2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12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6640" w:type="dxa"/>
            <w:vAlign w:val="bottom"/>
            <w:gridSpan w:val="2"/>
          </w:tcPr>
          <w:p>
            <w:pPr>
              <w:jc w:val="right"/>
              <w:ind w:right="43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101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Victoria M. Holt, certify that:</w:t>
      </w:r>
    </w:p>
    <w:p>
      <w:pPr>
        <w:spacing w:after="0" w:line="225" w:lineRule="exact"/>
        <w:rPr>
          <w:sz w:val="20"/>
          <w:szCs w:val="20"/>
          <w:color w:val="auto"/>
        </w:rPr>
      </w:pPr>
    </w:p>
    <w:p>
      <w:pPr>
        <w:ind w:left="680" w:hanging="18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July 31, 2020</w:t>
            </w:r>
          </w:p>
        </w:tc>
        <w:tc>
          <w:tcPr>
            <w:tcW w:w="7560" w:type="dxa"/>
            <w:vAlign w:val="bottom"/>
            <w:gridSpan w:val="2"/>
          </w:tcPr>
          <w:p>
            <w:pPr>
              <w:ind w:left="2260"/>
              <w:spacing w:after="0"/>
              <w:rPr>
                <w:sz w:val="20"/>
                <w:szCs w:val="20"/>
                <w:color w:val="auto"/>
              </w:rPr>
            </w:pPr>
            <w:r>
              <w:rPr>
                <w:rFonts w:ascii="Arial" w:cs="Arial" w:eastAsia="Arial" w:hAnsi="Arial"/>
                <w:sz w:val="18"/>
                <w:szCs w:val="18"/>
                <w:color w:val="auto"/>
              </w:rPr>
              <w:t>By: /s/ Victoria M. Holt</w:t>
            </w:r>
          </w:p>
        </w:tc>
      </w:tr>
      <w:tr>
        <w:trPr>
          <w:trHeight w:val="195"/>
        </w:trPr>
        <w:tc>
          <w:tcPr>
            <w:tcW w:w="3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Victoria M. Holt</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90"/>
        </w:trPr>
        <w:tc>
          <w:tcPr>
            <w:tcW w:w="36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A. Way, certify that:</w:t>
      </w:r>
    </w:p>
    <w:p>
      <w:pPr>
        <w:spacing w:after="0" w:line="225" w:lineRule="exact"/>
        <w:rPr>
          <w:sz w:val="20"/>
          <w:szCs w:val="20"/>
          <w:color w:val="auto"/>
        </w:rPr>
      </w:pPr>
    </w:p>
    <w:p>
      <w:pPr>
        <w:ind w:left="680" w:hanging="18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Proto Labs, Inc.;</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60" w:right="60" w:hanging="340"/>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60" w:right="160" w:hanging="340"/>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160" w:hanging="340"/>
        <w:spacing w:after="0" w:line="263"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60" w:right="400" w:hanging="340"/>
        <w:spacing w:after="0" w:line="342" w:lineRule="auto"/>
        <w:tabs>
          <w:tab w:leader="none" w:pos="13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340"/>
        <w:spacing w:after="0" w:line="277"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July 31, 2020</w:t>
            </w:r>
          </w:p>
        </w:tc>
        <w:tc>
          <w:tcPr>
            <w:tcW w:w="7560" w:type="dxa"/>
            <w:vAlign w:val="bottom"/>
            <w:gridSpan w:val="2"/>
          </w:tcPr>
          <w:p>
            <w:pPr>
              <w:ind w:left="2260"/>
              <w:spacing w:after="0"/>
              <w:rPr>
                <w:sz w:val="20"/>
                <w:szCs w:val="20"/>
                <w:color w:val="auto"/>
              </w:rPr>
            </w:pPr>
            <w:r>
              <w:rPr>
                <w:rFonts w:ascii="Arial" w:cs="Arial" w:eastAsia="Arial" w:hAnsi="Arial"/>
                <w:sz w:val="18"/>
                <w:szCs w:val="18"/>
                <w:color w:val="auto"/>
              </w:rPr>
              <w:t>By: /s/ John A. Way</w:t>
            </w:r>
          </w:p>
        </w:tc>
      </w:tr>
      <w:tr>
        <w:trPr>
          <w:trHeight w:val="195"/>
        </w:trPr>
        <w:tc>
          <w:tcPr>
            <w:tcW w:w="3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A. Way</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574"/>
        </w:trPr>
        <w:tc>
          <w:tcPr>
            <w:tcW w:w="36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Victoria M. Holt, certify, pursuant to 18 U.S.C. Section 1350, as adopted pursuant to Section 906 of the Sarbanes-Oxley Act of 2002, that the Quarterly Report of Proto Labs, Inc. on Form 10-Q for the fiscal quarter ended June 30, 2020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25" w:lineRule="exact"/>
        <w:rPr>
          <w:sz w:val="20"/>
          <w:szCs w:val="20"/>
          <w:color w:val="auto"/>
        </w:rPr>
      </w:pPr>
    </w:p>
    <w:tbl>
      <w:tblPr>
        <w:tblLayout w:type="fixed"/>
        <w:tblInd w:w="6440" w:type="dxa"/>
        <w:tblCellMar>
          <w:top w:w="0" w:type="dxa"/>
          <w:left w:w="0" w:type="dxa"/>
          <w:bottom w:w="0" w:type="dxa"/>
          <w:right w:w="0" w:type="dxa"/>
        </w:tblCellMar>
      </w:tblP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Victoria M. Holt</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Victoria M. Holt</w:t>
            </w:r>
          </w:p>
        </w:tc>
      </w:tr>
      <w:tr>
        <w:trPr>
          <w:trHeight w:val="230"/>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John A. Way, certify, pursuant to 18 U.S.C. Section 1350, as adopted pursuant to Section 906 of the Sarbanes-Oxley Act of 2002, that the Quarterly Report of Proto Labs, Inc. on Form 10-Q for the fiscal quarter ended June 30, 2020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By:</w:t>
            </w:r>
          </w:p>
        </w:tc>
        <w:tc>
          <w:tcPr>
            <w:tcW w:w="4260" w:type="dxa"/>
            <w:vAlign w:val="bottom"/>
          </w:tcPr>
          <w:p>
            <w:pPr>
              <w:ind w:left="60"/>
              <w:spacing w:after="0"/>
              <w:rPr>
                <w:sz w:val="20"/>
                <w:szCs w:val="20"/>
                <w:color w:val="auto"/>
              </w:rPr>
            </w:pPr>
            <w:r>
              <w:rPr>
                <w:rFonts w:ascii="Arial" w:cs="Arial" w:eastAsia="Arial" w:hAnsi="Arial"/>
                <w:sz w:val="18"/>
                <w:szCs w:val="18"/>
                <w:color w:val="auto"/>
              </w:rPr>
              <w:t>/s/ John A. Way</w:t>
            </w:r>
          </w:p>
        </w:tc>
      </w:tr>
      <w:tr>
        <w:trPr>
          <w:trHeight w:val="195"/>
        </w:trPr>
        <w:tc>
          <w:tcPr>
            <w:tcW w:w="6920" w:type="dxa"/>
            <w:vAlign w:val="bottom"/>
          </w:tcPr>
          <w:p>
            <w:pPr>
              <w:ind w:left="6440"/>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John A. Way</w:t>
            </w:r>
          </w:p>
        </w:tc>
      </w:tr>
      <w:tr>
        <w:trPr>
          <w:trHeight w:val="230"/>
        </w:trPr>
        <w:tc>
          <w:tcPr>
            <w:tcW w:w="6980" w:type="dxa"/>
            <w:vAlign w:val="bottom"/>
            <w:gridSpan w:val="2"/>
          </w:tcPr>
          <w:p>
            <w:pPr>
              <w:ind w:left="6440"/>
              <w:spacing w:after="0"/>
              <w:rPr>
                <w:sz w:val="20"/>
                <w:szCs w:val="20"/>
                <w:color w:val="auto"/>
              </w:rPr>
            </w:pPr>
            <w:r>
              <w:rPr>
                <w:rFonts w:ascii="Arial" w:cs="Arial" w:eastAsia="Arial" w:hAnsi="Arial"/>
                <w:sz w:val="18"/>
                <w:szCs w:val="18"/>
                <w:color w:val="auto"/>
              </w:rPr>
              <w:t>Title:</w:t>
            </w:r>
          </w:p>
        </w:tc>
        <w:tc>
          <w:tcPr>
            <w:tcW w:w="4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574"/>
        </w:trPr>
        <w:tc>
          <w:tcPr>
            <w:tcW w:w="6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lvl w:ilvl="1">
      <w:lvlJc w:val="left"/>
      <w:lvlText w:val="%2"/>
      <w:numFmt w:val="decimal"/>
      <w:start w:val="104"/>
    </w:lvl>
  </w:abstractNum>
  <w:abstractNum w:abstractNumId="5">
    <w:nsid w:val="79E2A9E3"/>
    <w:multiLevelType w:val="hybridMultilevel"/>
    <w:lvl w:ilvl="0">
      <w:lvlJc w:val="left"/>
      <w:lvlText w:val="(%1)"/>
      <w:numFmt w:val="decimal"/>
      <w:start w:val="1"/>
    </w:lvl>
    <w:lvl w:ilvl="1">
      <w:lvlJc w:val="left"/>
      <w:lvlText w:val="%2"/>
      <w:numFmt w:val="decimal"/>
      <w:start w:val="1"/>
    </w:lvl>
  </w:abstractNum>
  <w:abstractNum w:abstractNumId="6">
    <w:nsid w:val="7545E146"/>
    <w:multiLevelType w:val="hybridMultilevel"/>
    <w:lvl w:ilvl="0">
      <w:lvlJc w:val="left"/>
      <w:lvlText w:val="(%1)"/>
      <w:numFmt w:val="decimal"/>
      <w:start w:val="3"/>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35" Type="http://schemas.openxmlformats.org/officeDocument/2006/relationships/hyperlink" Target="http://www.sec.gov/Archives/edgar/data/1443669/000119312512054357/d199869dex32.htm" TargetMode="External"/><Relationship Id="rId136" Type="http://schemas.openxmlformats.org/officeDocument/2006/relationships/hyperlink" Target="http://www.sec.gov/Archives/edgar/data/1443669/000143774915010824/ex3-1.htm" TargetMode="External"/><Relationship Id="rId137" Type="http://schemas.openxmlformats.org/officeDocument/2006/relationships/hyperlink" Target="http://www.sec.gov/Archives/edgar/data/1443669/000143774916041414/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2020-07-31T11:56:44Z</dcterms:created>
  <dcterms:modified xsi:type="dcterms:W3CDTF">2020-07-31T11:56:44Z</dcterms:modified>
</cp:coreProperties>
</file>