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prlb20230331c_10q.htm"/>
      <w:bookmarkStart w:id="1" w:name="ksprlb20230331c_10q"/>
      <w:bookmarkEnd w:id="0"/>
      <w:bookmarkEnd w:id="1"/>
      <w:r>
        <w:rPr/>
        <w:t xml:space="preserve">  </w:t>
      </w:r>
    </w:p>
    <w:p>
      <w:pPr>
        <w:pStyle w:val="TextBody"/>
        <w:spacing w:before="0" w:after="0"/>
        <w:ind w:left="0" w:right="0" w:hanging="0"/>
        <w:jc w:val="left"/>
        <w:rPr/>
      </w:pPr>
      <w:r>
        <w:rPr/>
        <w:t> </w:t>
      </w:r>
    </w:p>
    <w:p>
      <w:pPr>
        <w:pStyle w:val="TextBody"/>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spacing w:before="0" w:after="0"/>
        <w:ind w:left="0" w:right="0" w:hanging="0"/>
        <w:jc w:val="center"/>
        <w:rPr>
          <w:rFonts w:ascii="Times New Roman;Times;serif" w:hAnsi="Times New Roman;Times;serif"/>
          <w:b/>
          <w:sz w:val="36"/>
        </w:rPr>
      </w:pPr>
      <w:r>
        <w:rPr>
          <w:rFonts w:ascii="Times New Roman;Times;serif" w:hAnsi="Times New Roman;Times;serif"/>
          <w:b/>
          <w:sz w:val="36"/>
        </w:rPr>
        <w:t>UNITED STATES</w:t>
      </w:r>
    </w:p>
    <w:p>
      <w:pPr>
        <w:pStyle w:val="TextBody"/>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spacing w:before="0" w:after="0"/>
        <w:ind w:left="0" w:right="0" w:hanging="0"/>
        <w:jc w:val="center"/>
        <w:rPr/>
      </w:pPr>
      <w:r>
        <w:rPr/>
        <w:t> </w:t>
      </w:r>
    </w:p>
    <w:p>
      <w:pPr>
        <w:pStyle w:val="HorizontalLine"/>
        <w:rPr/>
      </w:pPr>
      <w:r>
        <w:rPr/>
      </w:r>
    </w:p>
    <w:p>
      <w:pPr>
        <w:pStyle w:val="TextBody"/>
        <w:rPr/>
      </w:pPr>
      <w:r>
        <w:rPr/>
        <w:t> </w:t>
      </w:r>
    </w:p>
    <w:p>
      <w:pPr>
        <w:pStyle w:val="TextBody"/>
        <w:spacing w:before="0" w:after="0"/>
        <w:ind w:left="0" w:right="0" w:hanging="0"/>
        <w:jc w:val="center"/>
        <w:rPr>
          <w:rFonts w:ascii="Times New Roman;Times;serif" w:hAnsi="Times New Roman;Times;serif"/>
          <w:b/>
          <w:sz w:val="36"/>
        </w:rPr>
      </w:pPr>
      <w:r>
        <w:rPr>
          <w:rFonts w:ascii="Times New Roman;Times;serif" w:hAnsi="Times New Roman;Times;serif"/>
          <w:b/>
          <w:sz w:val="36"/>
        </w:rPr>
        <w:t>FORM 10-Q</w:t>
      </w:r>
    </w:p>
    <w:tbl>
      <w:tblPr>
        <w:tblW w:w="1010" w:type="dxa"/>
        <w:jc w:val="left"/>
        <w:tblInd w:w="0" w:type="dxa"/>
        <w:tblCellMar>
          <w:top w:w="0" w:type="dxa"/>
          <w:left w:w="0" w:type="dxa"/>
          <w:bottom w:w="0" w:type="dxa"/>
          <w:right w:w="0" w:type="dxa"/>
        </w:tblCellMar>
      </w:tblPr>
      <w:tblGrid>
        <w:gridCol w:w="60"/>
        <w:gridCol w:w="950"/>
      </w:tblGrid>
      <w:tr>
        <w:trPr/>
        <w:tc>
          <w:tcPr>
            <w:tcW w:w="60" w:type="dxa"/>
            <w:tcBorders/>
            <w:shd w:fill="auto" w:val="clear"/>
            <w:vAlign w:val="center"/>
          </w:tcPr>
          <w:p>
            <w:pPr>
              <w:pStyle w:val="TableContents"/>
              <w:spacing w:before="0" w:after="0"/>
              <w:ind w:left="0" w:right="0" w:hanging="0"/>
              <w:jc w:val="left"/>
              <w:rPr/>
            </w:pPr>
            <w:r>
              <w:rPr/>
              <w:t> </w:t>
            </w:r>
          </w:p>
        </w:tc>
        <w:tc>
          <w:tcPr>
            <w:tcW w:w="95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(Mark One)</w:t>
            </w:r>
          </w:p>
        </w:tc>
      </w:tr>
    </w:tbl>
    <w:p>
      <w:pPr>
        <w:pStyle w:val="TextBody"/>
        <w:spacing w:before="0" w:after="0"/>
        <w:ind w:left="744" w:right="744" w:hanging="0"/>
        <w:jc w:val="left"/>
        <w:rPr/>
      </w:pPr>
      <w:r>
        <w:rPr/>
        <w:t> </w:t>
      </w:r>
    </w:p>
    <w:tbl>
      <w:tblPr>
        <w:tblW w:w="10105" w:type="dxa"/>
        <w:jc w:val="left"/>
        <w:tblInd w:w="0" w:type="dxa"/>
        <w:tblCellMar>
          <w:top w:w="0" w:type="dxa"/>
          <w:left w:w="0" w:type="dxa"/>
          <w:bottom w:w="0" w:type="dxa"/>
          <w:right w:w="0" w:type="dxa"/>
        </w:tblCellMar>
      </w:tblPr>
      <w:tblGrid>
        <w:gridCol w:w="230"/>
        <w:gridCol w:w="9875"/>
      </w:tblGrid>
      <w:tr>
        <w:trPr/>
        <w:tc>
          <w:tcPr>
            <w:tcW w:w="230" w:type="dxa"/>
            <w:tcBorders/>
            <w:shd w:fill="auto" w:val="clear"/>
            <w:vAlign w:val="center"/>
          </w:tcPr>
          <w:p>
            <w:pPr>
              <w:pStyle w:val="TableContents"/>
              <w:spacing w:before="0" w:after="0"/>
              <w:ind w:left="0" w:right="0" w:hanging="0"/>
              <w:jc w:val="left"/>
              <w:rPr/>
            </w:pPr>
            <w:r>
              <w:rPr/>
              <w:t>☑</w:t>
            </w:r>
          </w:p>
        </w:tc>
        <w:tc>
          <w:tcPr>
            <w:tcW w:w="9875" w:type="dxa"/>
            <w:tcBorders/>
            <w:shd w:fill="auto" w:val="clear"/>
            <w:vAlign w:val="center"/>
          </w:tcPr>
          <w:p>
            <w:pPr>
              <w:pStyle w:val="TableContents"/>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r>
        <w:trPr/>
        <w:tc>
          <w:tcPr>
            <w:tcW w:w="230" w:type="dxa"/>
            <w:tcBorders/>
            <w:shd w:fill="auto" w:val="clear"/>
            <w:vAlign w:val="center"/>
          </w:tcPr>
          <w:p>
            <w:pPr>
              <w:pStyle w:val="TableContents"/>
              <w:spacing w:before="0" w:after="0"/>
              <w:ind w:left="0" w:right="0" w:hanging="0"/>
              <w:jc w:val="left"/>
              <w:rPr/>
            </w:pPr>
            <w:r>
              <w:rPr/>
              <w:t> </w:t>
            </w:r>
          </w:p>
        </w:tc>
        <w:tc>
          <w:tcPr>
            <w:tcW w:w="987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b/>
                <w:sz w:val="20"/>
              </w:rPr>
              <w:t>For the</w:t>
            </w:r>
            <w:r>
              <w:rPr>
                <w:rFonts w:ascii="Times New Roman;Times;serif" w:hAnsi="Times New Roman;Times;serif"/>
                <w:sz w:val="20"/>
              </w:rPr>
              <w:t xml:space="preserve"> </w:t>
            </w:r>
            <w:r>
              <w:rPr>
                <w:rFonts w:ascii="Times New Roman;Times;serif" w:hAnsi="Times New Roman;Times;serif"/>
                <w:b/>
                <w:sz w:val="20"/>
              </w:rPr>
              <w:t>quarterly period ended March 31, 2023</w:t>
            </w:r>
          </w:p>
        </w:tc>
      </w:tr>
    </w:tbl>
    <w:p>
      <w:pPr>
        <w:pStyle w:val="TextBody"/>
        <w:spacing w:before="0" w:after="0"/>
        <w:ind w:left="2004" w:right="1194" w:firstLine="456"/>
        <w:jc w:val="left"/>
        <w:rPr/>
      </w:pPr>
      <w:r>
        <w:rPr/>
        <w:t> </w:t>
      </w:r>
    </w:p>
    <w:p>
      <w:pPr>
        <w:pStyle w:val="TextBody"/>
        <w:spacing w:before="0" w:after="0"/>
        <w:ind w:left="2004" w:right="1194" w:firstLine="456"/>
        <w:jc w:val="left"/>
        <w:rPr>
          <w:rFonts w:ascii="Times New Roman;Times;serif" w:hAnsi="Times New Roman;Times;serif"/>
          <w:b/>
          <w:sz w:val="20"/>
        </w:rPr>
      </w:pPr>
      <w:r>
        <w:rPr>
          <w:rFonts w:ascii="Times New Roman;Times;serif" w:hAnsi="Times New Roman;Times;serif"/>
          <w:b/>
          <w:sz w:val="20"/>
        </w:rPr>
        <w:t>or</w:t>
      </w:r>
    </w:p>
    <w:p>
      <w:pPr>
        <w:pStyle w:val="TextBody"/>
        <w:spacing w:before="0" w:after="0"/>
        <w:ind w:left="2004" w:right="1194" w:firstLine="456"/>
        <w:jc w:val="left"/>
        <w:rPr/>
      </w:pPr>
      <w:r>
        <w:rPr/>
        <w:t> </w:t>
      </w:r>
    </w:p>
    <w:tbl>
      <w:tblPr>
        <w:tblW w:w="10090" w:type="dxa"/>
        <w:jc w:val="left"/>
        <w:tblInd w:w="0" w:type="dxa"/>
        <w:tblCellMar>
          <w:top w:w="0" w:type="dxa"/>
          <w:left w:w="0" w:type="dxa"/>
          <w:bottom w:w="0" w:type="dxa"/>
          <w:right w:w="0" w:type="dxa"/>
        </w:tblCellMar>
      </w:tblPr>
      <w:tblGrid>
        <w:gridCol w:w="230"/>
        <w:gridCol w:w="9860"/>
      </w:tblGrid>
      <w:tr>
        <w:trPr/>
        <w:tc>
          <w:tcPr>
            <w:tcW w:w="230" w:type="dxa"/>
            <w:tcBorders/>
            <w:shd w:fill="auto" w:val="clear"/>
            <w:vAlign w:val="center"/>
          </w:tcPr>
          <w:p>
            <w:pPr>
              <w:pStyle w:val="TableContents"/>
              <w:spacing w:before="0" w:after="0"/>
              <w:ind w:left="0" w:right="0" w:hanging="0"/>
              <w:jc w:val="left"/>
              <w:rPr/>
            </w:pPr>
            <w:r>
              <w:rPr/>
              <w:t>☐</w:t>
            </w:r>
          </w:p>
        </w:tc>
        <w:tc>
          <w:tcPr>
            <w:tcW w:w="9860" w:type="dxa"/>
            <w:tcBorders/>
            <w:shd w:fill="auto" w:val="clear"/>
            <w:vAlign w:val="center"/>
          </w:tcPr>
          <w:p>
            <w:pPr>
              <w:pStyle w:val="TableContents"/>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r>
        <w:trPr/>
        <w:tc>
          <w:tcPr>
            <w:tcW w:w="230" w:type="dxa"/>
            <w:tcBorders/>
            <w:shd w:fill="auto" w:val="clear"/>
            <w:vAlign w:val="center"/>
          </w:tcPr>
          <w:p>
            <w:pPr>
              <w:pStyle w:val="TableContents"/>
              <w:spacing w:before="0" w:after="0"/>
              <w:ind w:left="0" w:right="0" w:hanging="0"/>
              <w:jc w:val="left"/>
              <w:rPr/>
            </w:pPr>
            <w:r>
              <w:rPr/>
              <w:t> </w:t>
            </w:r>
          </w:p>
        </w:tc>
        <w:tc>
          <w:tcPr>
            <w:tcW w:w="986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b/>
                <w:sz w:val="20"/>
              </w:rPr>
              <w:t>For the transition period from</w:t>
            </w:r>
            <w:r>
              <w:rPr>
                <w:rFonts w:ascii="Times New Roman;Times;serif" w:hAnsi="Times New Roman;Times;serif"/>
                <w:sz w:val="20"/>
                <w:u w:val="single"/>
              </w:rPr>
              <w:t>                     </w:t>
            </w:r>
            <w:r>
              <w:rPr>
                <w:rFonts w:ascii="Times New Roman;Times;serif" w:hAnsi="Times New Roman;Times;serif"/>
                <w:sz w:val="20"/>
              </w:rPr>
              <w:t xml:space="preserve"> </w:t>
            </w:r>
            <w:r>
              <w:rPr>
                <w:rFonts w:ascii="Times New Roman;Times;serif" w:hAnsi="Times New Roman;Times;serif"/>
                <w:b/>
                <w:sz w:val="20"/>
              </w:rPr>
              <w:t>to</w:t>
            </w:r>
            <w:r>
              <w:rPr>
                <w:rFonts w:ascii="Times New Roman;Times;serif" w:hAnsi="Times New Roman;Times;serif"/>
                <w:sz w:val="20"/>
                <w:u w:val="single"/>
              </w:rPr>
              <w:t>                     </w:t>
            </w:r>
            <w:r>
              <w:rPr>
                <w:rFonts w:ascii="Times New Roman;Times;serif" w:hAnsi="Times New Roman;Times;serif"/>
                <w:sz w:val="20"/>
              </w:rPr>
              <w:t> </w:t>
            </w:r>
          </w:p>
        </w:tc>
      </w:tr>
    </w:tbl>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001-35435</w:t>
      </w:r>
    </w:p>
    <w:p>
      <w:pPr>
        <w:pStyle w:val="TextBody"/>
        <w:spacing w:before="0" w:after="0"/>
        <w:ind w:left="0" w:right="0" w:hanging="0"/>
        <w:jc w:val="center"/>
        <w:rPr/>
      </w:pPr>
      <w:r>
        <w:rPr/>
        <w:t> </w:t>
      </w:r>
    </w:p>
    <w:p>
      <w:pPr>
        <w:pStyle w:val="TextBody"/>
        <w:spacing w:before="0" w:after="0"/>
        <w:ind w:left="0" w:right="0" w:hanging="0"/>
        <w:jc w:val="center"/>
        <w:rPr>
          <w:rFonts w:ascii="Times New Roman;Times;serif" w:hAnsi="Times New Roman;Times;serif"/>
          <w:b/>
          <w:sz w:val="36"/>
        </w:rPr>
      </w:pPr>
      <w:r>
        <w:rPr>
          <w:rFonts w:ascii="Times New Roman;Times;serif" w:hAnsi="Times New Roman;Times;serif"/>
          <w:b/>
          <w:sz w:val="36"/>
        </w:rPr>
        <w:t>Proto Labs,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spacing w:before="0" w:after="0"/>
        <w:ind w:left="1194" w:right="1194" w:hanging="0"/>
        <w:jc w:val="center"/>
        <w:rPr/>
      </w:pPr>
      <w:r>
        <w:rPr/>
        <w:t> </w:t>
      </w:r>
    </w:p>
    <w:tbl>
      <w:tblPr>
        <w:tblW w:w="7765" w:type="dxa"/>
        <w:jc w:val="left"/>
        <w:tblInd w:w="0" w:type="dxa"/>
        <w:tblCellMar>
          <w:top w:w="0" w:type="dxa"/>
          <w:left w:w="0" w:type="dxa"/>
          <w:bottom w:w="0" w:type="dxa"/>
          <w:right w:w="0" w:type="dxa"/>
        </w:tblCellMar>
      </w:tblPr>
      <w:tblGrid>
        <w:gridCol w:w="4865"/>
        <w:gridCol w:w="2900"/>
      </w:tblGrid>
      <w:tr>
        <w:trPr/>
        <w:tc>
          <w:tcPr>
            <w:tcW w:w="4865"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Minnesota</w:t>
            </w:r>
          </w:p>
        </w:tc>
        <w:tc>
          <w:tcPr>
            <w:tcW w:w="2900"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41-1939628</w:t>
            </w:r>
          </w:p>
        </w:tc>
      </w:tr>
      <w:tr>
        <w:trPr/>
        <w:tc>
          <w:tcPr>
            <w:tcW w:w="4865"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290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4865" w:type="dxa"/>
            <w:tcBorders/>
            <w:shd w:fill="auto" w:val="clear"/>
            <w:vAlign w:val="center"/>
          </w:tcPr>
          <w:p>
            <w:pPr>
              <w:pStyle w:val="TableContents"/>
              <w:spacing w:before="0" w:after="0"/>
              <w:ind w:left="0" w:right="0" w:hanging="0"/>
              <w:jc w:val="center"/>
              <w:rPr/>
            </w:pPr>
            <w:r>
              <w:rPr/>
              <w:t> </w:t>
            </w:r>
          </w:p>
        </w:tc>
        <w:tc>
          <w:tcPr>
            <w:tcW w:w="2900" w:type="dxa"/>
            <w:tcBorders/>
            <w:shd w:fill="auto" w:val="clear"/>
            <w:vAlign w:val="center"/>
          </w:tcPr>
          <w:p>
            <w:pPr>
              <w:pStyle w:val="TableContents"/>
              <w:spacing w:before="0" w:after="0"/>
              <w:ind w:left="0" w:right="0" w:hanging="0"/>
              <w:jc w:val="center"/>
              <w:rPr/>
            </w:pPr>
            <w:r>
              <w:rPr/>
              <w:t> </w:t>
            </w:r>
          </w:p>
        </w:tc>
      </w:tr>
      <w:tr>
        <w:trPr/>
        <w:tc>
          <w:tcPr>
            <w:tcW w:w="4865"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5540 Pioneer Creek Drive</w:t>
            </w:r>
          </w:p>
        </w:tc>
        <w:tc>
          <w:tcPr>
            <w:tcW w:w="2900" w:type="dxa"/>
            <w:tcBorders/>
            <w:shd w:fill="auto" w:val="clear"/>
            <w:vAlign w:val="center"/>
          </w:tcPr>
          <w:p>
            <w:pPr>
              <w:pStyle w:val="TableContents"/>
              <w:spacing w:before="0" w:after="0"/>
              <w:ind w:left="0" w:right="0" w:hanging="0"/>
              <w:jc w:val="center"/>
              <w:rPr/>
            </w:pPr>
            <w:r>
              <w:rPr/>
              <w:t> </w:t>
            </w:r>
          </w:p>
        </w:tc>
      </w:tr>
      <w:tr>
        <w:trPr/>
        <w:tc>
          <w:tcPr>
            <w:tcW w:w="4865"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Maple Plain, Minnesota</w:t>
            </w:r>
          </w:p>
        </w:tc>
        <w:tc>
          <w:tcPr>
            <w:tcW w:w="2900"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55359</w:t>
            </w:r>
          </w:p>
        </w:tc>
      </w:tr>
      <w:tr>
        <w:trPr/>
        <w:tc>
          <w:tcPr>
            <w:tcW w:w="4865"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290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spacing w:before="0" w:after="0"/>
        <w:ind w:left="1194" w:right="1194" w:hanging="0"/>
        <w:jc w:val="center"/>
        <w:rPr/>
      </w:pPr>
      <w:r>
        <w:rPr/>
        <w:t>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(763) 479-3680</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spacing w:before="0" w:after="0"/>
        <w:ind w:left="0" w:right="0" w:hanging="0"/>
        <w:jc w:val="center"/>
        <w:rPr/>
      </w:pPr>
      <w:r>
        <w:rPr/>
        <w:t>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former address and former fiscal year, if changed since last report)</w:t>
      </w:r>
    </w:p>
    <w:p>
      <w:pPr>
        <w:pStyle w:val="TextBody"/>
        <w:spacing w:before="0" w:after="0"/>
        <w:ind w:left="0" w:right="0" w:hanging="0"/>
        <w:jc w:val="center"/>
        <w:rPr/>
      </w:pPr>
      <w:r>
        <w:rPr/>
        <w:t>  </w:t>
      </w:r>
    </w:p>
    <w:p>
      <w:pPr>
        <w:pStyle w:val="TextBody"/>
        <w:spacing w:before="0" w:after="0"/>
        <w:ind w:left="144" w:right="144"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spacing w:before="0" w:after="0"/>
        <w:ind w:left="144" w:right="144" w:hanging="0"/>
        <w:jc w:val="left"/>
        <w:rPr/>
      </w:pPr>
      <w:r>
        <w:rPr/>
        <w:t> </w:t>
      </w:r>
    </w:p>
    <w:tbl>
      <w:tblPr>
        <w:tblW w:w="9375" w:type="dxa"/>
        <w:jc w:val="left"/>
        <w:tblInd w:w="0" w:type="dxa"/>
        <w:tblCellMar>
          <w:top w:w="28" w:type="dxa"/>
          <w:left w:w="28" w:type="dxa"/>
          <w:bottom w:w="28" w:type="dxa"/>
          <w:right w:w="28" w:type="dxa"/>
        </w:tblCellMar>
      </w:tblPr>
      <w:tblGrid>
        <w:gridCol w:w="4265"/>
        <w:gridCol w:w="1535"/>
        <w:gridCol w:w="3575"/>
      </w:tblGrid>
      <w:tr>
        <w:trPr/>
        <w:tc>
          <w:tcPr>
            <w:tcW w:w="4265" w:type="dxa"/>
            <w:tcBorders>
              <w:top w:val="single" w:sz="2" w:space="0" w:color="000000"/>
              <w:left w:val="single" w:sz="2" w:space="0" w:color="000000"/>
              <w:bottom w:val="single" w:sz="6"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535"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575" w:type="dxa"/>
            <w:tcBorders>
              <w:top w:val="single" w:sz="2" w:space="0" w:color="000000"/>
              <w:left w:val="single" w:sz="2" w:space="0" w:color="000000"/>
              <w:bottom w:val="single" w:sz="6"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4265" w:type="dxa"/>
            <w:tcBorders/>
            <w:shd w:fill="auto" w:val="clear"/>
            <w:tcMar>
              <w:top w:w="0" w:type="dxa"/>
              <w:left w:w="0" w:type="dxa"/>
              <w:bottom w:w="0" w:type="dxa"/>
              <w:right w:w="0" w:type="dxa"/>
            </w:tcMar>
            <w:vAlign w:val="center"/>
          </w:tcPr>
          <w:p>
            <w:pPr>
              <w:pStyle w:val="TableContents"/>
              <w:spacing w:before="0" w:after="283"/>
              <w:jc w:val="center"/>
              <w:rPr/>
            </w:pPr>
            <w:r>
              <w:rPr/>
              <w:t>Common Stock, Par Value $0.001 Per Share</w:t>
            </w:r>
          </w:p>
        </w:tc>
        <w:tc>
          <w:tcPr>
            <w:tcW w:w="1535"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PRLB</w:t>
            </w:r>
          </w:p>
        </w:tc>
        <w:tc>
          <w:tcPr>
            <w:tcW w:w="3575"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r>
    </w:tbl>
    <w:p>
      <w:pPr>
        <w:pStyle w:val="TextBody"/>
        <w:spacing w:before="0" w:after="0"/>
        <w:ind w:left="144" w:right="144" w:hanging="0"/>
        <w:jc w:val="left"/>
        <w:rPr/>
      </w:pPr>
      <w:r>
        <w:rPr/>
        <w:t> </w:t>
      </w:r>
    </w:p>
    <w:p>
      <w:pPr>
        <w:pStyle w:val="TextBody"/>
        <w:spacing w:before="0" w:after="0"/>
        <w:ind w:left="144" w:right="144" w:firstLine="54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pStyle w:val="TextBody"/>
        <w:spacing w:before="0" w:after="0"/>
        <w:ind w:left="1194" w:right="1194" w:hanging="0"/>
        <w:jc w:val="left"/>
        <w:rPr/>
      </w:pPr>
      <w:r>
        <w:rPr/>
        <w:t> </w:t>
      </w:r>
    </w:p>
    <w:p>
      <w:pPr>
        <w:pStyle w:val="TextBody"/>
        <w:spacing w:before="0" w:after="0"/>
        <w:ind w:left="144" w:right="144" w:firstLine="54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☐No</w:t>
      </w:r>
    </w:p>
    <w:p>
      <w:pPr>
        <w:pStyle w:val="TextBody"/>
        <w:spacing w:before="0" w:after="0"/>
        <w:ind w:left="1194" w:right="1194" w:hanging="0"/>
        <w:jc w:val="left"/>
        <w:rPr/>
      </w:pPr>
      <w:r>
        <w:rPr/>
        <w:t> </w:t>
      </w:r>
    </w:p>
    <w:p>
      <w:pPr>
        <w:pStyle w:val="TextBody"/>
        <w:spacing w:before="0" w:after="0"/>
        <w:ind w:left="144" w:right="144" w:firstLine="54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ind w:left="1194" w:right="1194" w:hanging="0"/>
        <w:jc w:val="left"/>
        <w:rPr/>
      </w:pPr>
      <w:r>
        <w:rPr/>
        <w:t> </w:t>
      </w:r>
    </w:p>
    <w:tbl>
      <w:tblPr>
        <w:tblW w:w="4910" w:type="dxa"/>
        <w:jc w:val="left"/>
        <w:tblInd w:w="0" w:type="dxa"/>
        <w:tblCellMar>
          <w:top w:w="0" w:type="dxa"/>
          <w:left w:w="0" w:type="dxa"/>
          <w:bottom w:w="0" w:type="dxa"/>
          <w:right w:w="0" w:type="dxa"/>
        </w:tblCellMar>
      </w:tblPr>
      <w:tblGrid>
        <w:gridCol w:w="2225"/>
        <w:gridCol w:w="230"/>
        <w:gridCol w:w="2225"/>
        <w:gridCol w:w="230"/>
      </w:tblGrid>
      <w:tr>
        <w:trPr/>
        <w:tc>
          <w:tcPr>
            <w:tcW w:w="222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shd w:fill="auto" w:val="clear"/>
            <w:vAlign w:val="center"/>
          </w:tcPr>
          <w:p>
            <w:pPr>
              <w:pStyle w:val="TableContents"/>
              <w:spacing w:before="0" w:after="0"/>
              <w:ind w:left="0" w:right="0" w:hanging="0"/>
              <w:jc w:val="left"/>
              <w:rPr/>
            </w:pPr>
            <w:r>
              <w:rPr/>
              <w:t>☑</w:t>
            </w:r>
          </w:p>
        </w:tc>
        <w:tc>
          <w:tcPr>
            <w:tcW w:w="222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c>
          <w:tcPr>
            <w:tcW w:w="230" w:type="dxa"/>
            <w:tcBorders/>
            <w:shd w:fill="auto" w:val="clear"/>
            <w:vAlign w:val="center"/>
          </w:tcPr>
          <w:p>
            <w:pPr>
              <w:pStyle w:val="TableContents"/>
              <w:spacing w:before="0" w:after="0"/>
              <w:ind w:left="0" w:right="0" w:hanging="0"/>
              <w:jc w:val="left"/>
              <w:rPr/>
            </w:pPr>
            <w:r>
              <w:rPr/>
              <w:t>☐</w:t>
            </w:r>
          </w:p>
        </w:tc>
      </w:tr>
      <w:tr>
        <w:trPr/>
        <w:tc>
          <w:tcPr>
            <w:tcW w:w="222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2455" w:type="dxa"/>
            <w:gridSpan w:val="2"/>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r>
      <w:tr>
        <w:trPr/>
        <w:tc>
          <w:tcPr>
            <w:tcW w:w="222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w:t>
            </w:r>
          </w:p>
        </w:tc>
        <w:tc>
          <w:tcPr>
            <w:tcW w:w="230" w:type="dxa"/>
            <w:tcBorders/>
            <w:shd w:fill="auto" w:val="clear"/>
            <w:vAlign w:val="center"/>
          </w:tcPr>
          <w:p>
            <w:pPr>
              <w:pStyle w:val="TableContents"/>
              <w:spacing w:before="0" w:after="0"/>
              <w:ind w:left="0" w:right="0" w:hanging="0"/>
              <w:jc w:val="left"/>
              <w:rPr/>
            </w:pPr>
            <w:r>
              <w:rPr/>
              <w:t>☐</w:t>
            </w:r>
          </w:p>
        </w:tc>
        <w:tc>
          <w:tcPr>
            <w:tcW w:w="222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w:t>
            </w:r>
          </w:p>
        </w:tc>
        <w:tc>
          <w:tcPr>
            <w:tcW w:w="230" w:type="dxa"/>
            <w:tcBorders/>
            <w:shd w:fill="auto" w:val="clear"/>
            <w:vAlign w:val="center"/>
          </w:tcPr>
          <w:p>
            <w:pPr>
              <w:pStyle w:val="TableContents"/>
              <w:spacing w:before="0" w:after="0"/>
              <w:ind w:left="0" w:right="0" w:hanging="0"/>
              <w:jc w:val="left"/>
              <w:rPr/>
            </w:pPr>
            <w:r>
              <w:rPr/>
              <w:t>☐</w:t>
            </w:r>
          </w:p>
        </w:tc>
      </w:tr>
    </w:tbl>
    <w:p>
      <w:pPr>
        <w:pStyle w:val="TextBody"/>
        <w:spacing w:before="0" w:after="0"/>
        <w:ind w:left="1194" w:right="1194" w:hanging="0"/>
        <w:jc w:val="left"/>
        <w:rPr/>
      </w:pPr>
      <w:r>
        <w:rPr/>
        <w:t>    </w:t>
      </w:r>
    </w:p>
    <w:p>
      <w:pPr>
        <w:pStyle w:val="TextBody"/>
        <w:spacing w:before="0" w:after="0"/>
        <w:ind w:left="144" w:right="144" w:firstLine="54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1184" w:right="1184" w:firstLine="360"/>
        <w:jc w:val="left"/>
        <w:rPr/>
      </w:pPr>
      <w:r>
        <w:rPr/>
        <w:t> </w:t>
      </w:r>
    </w:p>
    <w:p>
      <w:pPr>
        <w:pStyle w:val="TextBody"/>
        <w:spacing w:before="0" w:after="0"/>
        <w:ind w:left="144" w:right="144" w:firstLine="54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☑No</w:t>
      </w:r>
    </w:p>
    <w:p>
      <w:pPr>
        <w:pStyle w:val="TextBody"/>
        <w:spacing w:before="0" w:after="0"/>
        <w:ind w:left="144" w:right="144" w:firstLine="540"/>
        <w:jc w:val="left"/>
        <w:rPr/>
      </w:pPr>
      <w:r>
        <w:rPr/>
        <w:t> </w:t>
      </w:r>
    </w:p>
    <w:p>
      <w:pPr>
        <w:pStyle w:val="TextBody"/>
        <w:spacing w:before="0" w:after="0"/>
        <w:ind w:left="144" w:right="144" w:firstLine="540"/>
        <w:jc w:val="left"/>
        <w:rPr>
          <w:rFonts w:ascii="Times New Roman;Times;serif" w:hAnsi="Times New Roman;Times;serif"/>
          <w:sz w:val="20"/>
        </w:rPr>
      </w:pPr>
      <w:r>
        <w:rPr>
          <w:rFonts w:ascii="Times New Roman;Times;serif" w:hAnsi="Times New Roman;Times;serif"/>
          <w:sz w:val="20"/>
        </w:rPr>
        <w:t>Indicate the number of shares outstanding of each of the issuer’s classes of common stock, as of the latest practicable date: 26,202,723 shares of Common Stock, par value $0.001 per share, were outstanding at May 2, 2023.</w:t>
      </w:r>
    </w:p>
    <w:p>
      <w:pPr>
        <w:pStyle w:val="TextBody"/>
        <w:spacing w:before="0" w:after="0"/>
        <w:ind w:left="144" w:right="144" w:firstLine="540"/>
        <w:jc w:val="left"/>
        <w:rPr/>
      </w:pPr>
      <w:r>
        <w:rPr/>
        <w:t> </w:t>
      </w:r>
    </w:p>
    <w:p>
      <w:pPr>
        <w:pStyle w:val="TextBody"/>
        <w:spacing w:before="0" w:after="0"/>
        <w:ind w:left="0" w:right="0" w:hanging="0"/>
        <w:jc w:val="center"/>
        <w:rPr/>
      </w:pPr>
      <w:r>
        <w:rPr/>
        <w:t xml:space="preserve">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rPr/>
      </w:pPr>
      <w:r>
        <w:rPr/>
        <w:t xml:space="preserve">  </w:t>
      </w:r>
    </w:p>
    <w:p>
      <w:pPr>
        <w:pStyle w:val="TextBody"/>
        <w:rPr/>
      </w:pPr>
      <w:r>
        <w:rPr/>
        <w:t xml:space="preserve">  </w:t>
      </w:r>
    </w:p>
    <w:p>
      <w:pPr>
        <w:pStyle w:val="TextBody"/>
        <w:spacing w:before="0" w:after="0"/>
        <w:ind w:left="1194" w:right="1194" w:hanging="300"/>
        <w:jc w:val="center"/>
        <w:rPr>
          <w:rFonts w:ascii="Times New Roman;Times;serif" w:hAnsi="Times New Roman;Times;serif"/>
          <w:b/>
          <w:sz w:val="20"/>
        </w:rPr>
      </w:pPr>
      <w:bookmarkStart w:id="2" w:name="toc"/>
      <w:bookmarkEnd w:id="2"/>
      <w:r>
        <w:rPr>
          <w:rFonts w:ascii="Times New Roman;Times;serif" w:hAnsi="Times New Roman;Times;serif"/>
          <w:b/>
          <w:sz w:val="20"/>
        </w:rPr>
        <w:t>Proto Labs, Inc.</w:t>
      </w:r>
    </w:p>
    <w:p>
      <w:pPr>
        <w:pStyle w:val="TextBody"/>
        <w:spacing w:before="0" w:after="0"/>
        <w:ind w:left="1194" w:right="1194" w:hanging="300"/>
        <w:jc w:val="center"/>
        <w:rPr>
          <w:rFonts w:ascii="Times New Roman;Times;serif" w:hAnsi="Times New Roman;Times;serif"/>
          <w:b/>
          <w:sz w:val="20"/>
        </w:rPr>
      </w:pPr>
      <w:r>
        <w:rPr>
          <w:rFonts w:ascii="Times New Roman;Times;serif" w:hAnsi="Times New Roman;Times;serif"/>
          <w:b/>
          <w:sz w:val="20"/>
        </w:rPr>
        <w:t>TABLE OF CONTENTS</w:t>
      </w:r>
    </w:p>
    <w:p>
      <w:pPr>
        <w:pStyle w:val="TextBody"/>
        <w:spacing w:before="0" w:after="0"/>
        <w:ind w:left="1194" w:right="1194" w:hanging="0"/>
        <w:jc w:val="center"/>
        <w:rPr/>
      </w:pPr>
      <w:r>
        <w:rPr/>
        <w:t> </w:t>
      </w:r>
    </w:p>
    <w:tbl>
      <w:tblPr>
        <w:tblW w:w="8220" w:type="dxa"/>
        <w:jc w:val="left"/>
        <w:tblInd w:w="0" w:type="dxa"/>
        <w:tblCellMar>
          <w:top w:w="0" w:type="dxa"/>
          <w:left w:w="0" w:type="dxa"/>
          <w:bottom w:w="0" w:type="dxa"/>
          <w:right w:w="0" w:type="dxa"/>
        </w:tblCellMar>
      </w:tblPr>
      <w:tblGrid>
        <w:gridCol w:w="410"/>
        <w:gridCol w:w="60"/>
        <w:gridCol w:w="7250"/>
        <w:gridCol w:w="60"/>
        <w:gridCol w:w="440"/>
      </w:tblGrid>
      <w:tr>
        <w:trPr/>
        <w:tc>
          <w:tcPr>
            <w:tcW w:w="410" w:type="dxa"/>
            <w:tcBorders/>
            <w:shd w:fill="auto" w:val="clear"/>
            <w:vAlign w:val="center"/>
          </w:tcPr>
          <w:p>
            <w:pPr>
              <w:pStyle w:val="TableContents"/>
              <w:spacing w:before="0" w:after="0"/>
              <w:ind w:left="0" w:right="0" w:hanging="0"/>
              <w:jc w:val="left"/>
              <w:rPr>
                <w:rFonts w:ascii="Times New Roman;Times;serif" w:hAnsi="Times New Roman;Times;serif"/>
                <w:b/>
                <w:sz w:val="20"/>
              </w:rPr>
            </w:pPr>
            <w:r>
              <w:rPr>
                <w:rFonts w:ascii="Times New Roman;Times;serif" w:hAnsi="Times New Roman;Times;serif"/>
                <w:b/>
                <w:sz w:val="20"/>
              </w:rPr>
              <w:t>Item</w:t>
            </w:r>
          </w:p>
        </w:tc>
        <w:tc>
          <w:tcPr>
            <w:tcW w:w="60" w:type="dxa"/>
            <w:tcBorders/>
            <w:shd w:fill="auto" w:val="clear"/>
            <w:vAlign w:val="center"/>
          </w:tcPr>
          <w:p>
            <w:pPr>
              <w:pStyle w:val="TableContents"/>
              <w:spacing w:before="0" w:after="0"/>
              <w:ind w:left="0" w:right="0" w:hanging="0"/>
              <w:jc w:val="left"/>
              <w:rPr/>
            </w:pPr>
            <w:r>
              <w:rPr/>
              <w:t> </w:t>
            </w:r>
          </w:p>
        </w:tc>
        <w:tc>
          <w:tcPr>
            <w:tcW w:w="7250" w:type="dxa"/>
            <w:tcBorders/>
            <w:shd w:fill="auto" w:val="clear"/>
            <w:vAlign w:val="center"/>
          </w:tcPr>
          <w:p>
            <w:pPr>
              <w:pStyle w:val="TableContents"/>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c>
          <w:tcPr>
            <w:tcW w:w="60" w:type="dxa"/>
            <w:tcBorders/>
            <w:shd w:fill="auto" w:val="clear"/>
            <w:vAlign w:val="center"/>
          </w:tcPr>
          <w:p>
            <w:pPr>
              <w:pStyle w:val="TableContents"/>
              <w:spacing w:before="0" w:after="0"/>
              <w:ind w:left="0" w:right="0" w:hanging="0"/>
              <w:jc w:val="left"/>
              <w:rPr/>
            </w:pPr>
            <w:r>
              <w:rPr/>
              <w:t> </w:t>
            </w:r>
          </w:p>
        </w:tc>
        <w:tc>
          <w:tcPr>
            <w:tcW w:w="440" w:type="dxa"/>
            <w:tcBorders/>
            <w:shd w:fill="auto" w:val="clear"/>
            <w:vAlign w:val="center"/>
          </w:tcPr>
          <w:p>
            <w:pPr>
              <w:pStyle w:val="TableContents"/>
              <w:spacing w:before="0" w:after="0"/>
              <w:ind w:left="0" w:right="0" w:hanging="0"/>
              <w:jc w:val="left"/>
              <w:rPr>
                <w:rFonts w:ascii="Times New Roman;Times;serif" w:hAnsi="Times New Roman;Times;serif"/>
                <w:b/>
                <w:sz w:val="20"/>
              </w:rPr>
            </w:pPr>
            <w:r>
              <w:rPr>
                <w:rFonts w:ascii="Times New Roman;Times;serif" w:hAnsi="Times New Roman;Times;serif"/>
                <w:b/>
                <w:sz w:val="20"/>
              </w:rPr>
              <w:t>Page</w:t>
            </w:r>
          </w:p>
        </w:tc>
      </w:tr>
      <w:tr>
        <w:trPr/>
        <w:tc>
          <w:tcPr>
            <w:tcW w:w="410"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7250"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440" w:type="dxa"/>
            <w:tcBorders/>
            <w:shd w:fill="auto" w:val="clear"/>
            <w:vAlign w:val="center"/>
          </w:tcPr>
          <w:p>
            <w:pPr>
              <w:pStyle w:val="TableContents"/>
              <w:spacing w:before="0" w:after="0"/>
              <w:ind w:left="0" w:right="0" w:hanging="0"/>
              <w:jc w:val="left"/>
              <w:rPr/>
            </w:pPr>
            <w:r>
              <w:rPr/>
              <w:t> </w:t>
            </w:r>
          </w:p>
        </w:tc>
      </w:tr>
      <w:tr>
        <w:trPr/>
        <w:tc>
          <w:tcPr>
            <w:tcW w:w="8220" w:type="dxa"/>
            <w:gridSpan w:val="5"/>
            <w:tcBorders/>
            <w:shd w:fill="auto" w:val="clear"/>
            <w:vAlign w:val="center"/>
          </w:tcPr>
          <w:p>
            <w:pPr>
              <w:pStyle w:val="TableContents"/>
              <w:spacing w:before="0" w:after="0"/>
              <w:ind w:left="0" w:right="0" w:hanging="0"/>
              <w:jc w:val="center"/>
              <w:rPr/>
            </w:pPr>
            <w:hyperlink w:anchor="p1i1">
              <w:r>
                <w:rPr>
                  <w:rStyle w:val="InternetLink"/>
                  <w:rFonts w:ascii="Times New Roman;Times;serif" w:hAnsi="Times New Roman;Times;serif"/>
                  <w:sz w:val="20"/>
                </w:rPr>
                <w:t>PART I</w:t>
              </w:r>
            </w:hyperlink>
          </w:p>
        </w:tc>
      </w:tr>
      <w:tr>
        <w:trPr/>
        <w:tc>
          <w:tcPr>
            <w:tcW w:w="41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c>
          <w:tcPr>
            <w:tcW w:w="60" w:type="dxa"/>
            <w:tcBorders/>
            <w:shd w:fill="auto" w:val="clear"/>
            <w:vAlign w:val="center"/>
          </w:tcPr>
          <w:p>
            <w:pPr>
              <w:pStyle w:val="TableContents"/>
              <w:spacing w:before="0" w:after="0"/>
              <w:ind w:left="0" w:right="0" w:hanging="0"/>
              <w:jc w:val="left"/>
              <w:rPr/>
            </w:pPr>
            <w:r>
              <w:rPr/>
              <w:t> </w:t>
            </w:r>
          </w:p>
        </w:tc>
        <w:tc>
          <w:tcPr>
            <w:tcW w:w="7250" w:type="dxa"/>
            <w:tcBorders/>
            <w:shd w:fill="auto" w:val="clear"/>
            <w:vAlign w:val="center"/>
          </w:tcPr>
          <w:p>
            <w:pPr>
              <w:pStyle w:val="TableContents"/>
              <w:spacing w:before="0" w:after="0"/>
              <w:ind w:left="0" w:right="0" w:hanging="0"/>
              <w:jc w:val="left"/>
              <w:rPr/>
            </w:pPr>
            <w:hyperlink w:anchor="p1i1">
              <w:r>
                <w:rPr>
                  <w:rStyle w:val="InternetLink"/>
                  <w:rFonts w:ascii="Times New Roman;Times;serif" w:hAnsi="Times New Roman;Times;serif"/>
                  <w:sz w:val="20"/>
                </w:rPr>
                <w:t>Financial Statements</w:t>
              </w:r>
            </w:hyperlink>
          </w:p>
        </w:tc>
        <w:tc>
          <w:tcPr>
            <w:tcW w:w="60" w:type="dxa"/>
            <w:tcBorders/>
            <w:shd w:fill="auto" w:val="clear"/>
            <w:vAlign w:val="center"/>
          </w:tcPr>
          <w:p>
            <w:pPr>
              <w:pStyle w:val="TableContents"/>
              <w:spacing w:before="0" w:after="0"/>
              <w:ind w:left="0" w:right="0" w:hanging="0"/>
              <w:jc w:val="left"/>
              <w:rPr/>
            </w:pPr>
            <w:r>
              <w:rPr/>
              <w:t> </w:t>
            </w:r>
          </w:p>
        </w:tc>
        <w:tc>
          <w:tcPr>
            <w:tcW w:w="440" w:type="dxa"/>
            <w:tcBorders/>
            <w:shd w:fill="auto" w:val="clear"/>
            <w:vAlign w:val="center"/>
          </w:tcPr>
          <w:p>
            <w:pPr>
              <w:pStyle w:val="TableContents"/>
              <w:spacing w:before="0" w:after="0"/>
              <w:ind w:left="0" w:right="0" w:hanging="0"/>
              <w:jc w:val="center"/>
              <w:rPr/>
            </w:pPr>
            <w:hyperlink w:anchor="p1i1">
              <w:r>
                <w:rPr>
                  <w:rStyle w:val="InternetLink"/>
                  <w:rFonts w:ascii="Times New Roman;Times;serif" w:hAnsi="Times New Roman;Times;serif"/>
                  <w:sz w:val="20"/>
                </w:rPr>
                <w:t>2</w:t>
              </w:r>
            </w:hyperlink>
          </w:p>
        </w:tc>
      </w:tr>
      <w:tr>
        <w:trPr/>
        <w:tc>
          <w:tcPr>
            <w:tcW w:w="41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c>
          <w:tcPr>
            <w:tcW w:w="60" w:type="dxa"/>
            <w:tcBorders/>
            <w:shd w:fill="auto" w:val="clear"/>
            <w:vAlign w:val="center"/>
          </w:tcPr>
          <w:p>
            <w:pPr>
              <w:pStyle w:val="TableContents"/>
              <w:spacing w:before="0" w:after="0"/>
              <w:ind w:left="0" w:right="0" w:hanging="0"/>
              <w:jc w:val="left"/>
              <w:rPr/>
            </w:pPr>
            <w:r>
              <w:rPr/>
              <w:t> </w:t>
            </w:r>
          </w:p>
        </w:tc>
        <w:tc>
          <w:tcPr>
            <w:tcW w:w="7250" w:type="dxa"/>
            <w:tcBorders/>
            <w:shd w:fill="auto" w:val="clear"/>
            <w:vAlign w:val="center"/>
          </w:tcPr>
          <w:p>
            <w:pPr>
              <w:pStyle w:val="TableContents"/>
              <w:spacing w:before="0" w:after="0"/>
              <w:ind w:left="0" w:right="0" w:hanging="0"/>
              <w:jc w:val="left"/>
              <w:rPr/>
            </w:pPr>
            <w:hyperlink w:anchor="i2">
              <w:r>
                <w:rPr>
                  <w:rStyle w:val="InternetLink"/>
                  <w:rFonts w:ascii="Times New Roman;Times;serif" w:hAnsi="Times New Roman;Times;serif"/>
                  <w:sz w:val="20"/>
                </w:rPr>
                <w:t>Management's Discussion and Analysis of Financial Condition and Results of Operations</w:t>
              </w:r>
            </w:hyperlink>
          </w:p>
        </w:tc>
        <w:tc>
          <w:tcPr>
            <w:tcW w:w="60" w:type="dxa"/>
            <w:tcBorders/>
            <w:shd w:fill="auto" w:val="clear"/>
            <w:vAlign w:val="center"/>
          </w:tcPr>
          <w:p>
            <w:pPr>
              <w:pStyle w:val="TableContents"/>
              <w:spacing w:before="0" w:after="0"/>
              <w:ind w:left="0" w:right="0" w:hanging="0"/>
              <w:jc w:val="left"/>
              <w:rPr/>
            </w:pPr>
            <w:r>
              <w:rPr/>
              <w:t> </w:t>
            </w:r>
          </w:p>
        </w:tc>
        <w:tc>
          <w:tcPr>
            <w:tcW w:w="440" w:type="dxa"/>
            <w:tcBorders/>
            <w:shd w:fill="auto" w:val="clear"/>
            <w:vAlign w:val="center"/>
          </w:tcPr>
          <w:p>
            <w:pPr>
              <w:pStyle w:val="TableContents"/>
              <w:spacing w:before="0" w:after="0"/>
              <w:ind w:left="0" w:right="0" w:hanging="0"/>
              <w:jc w:val="center"/>
              <w:rPr/>
            </w:pPr>
            <w:hyperlink w:anchor="i2">
              <w:r>
                <w:rPr>
                  <w:rStyle w:val="InternetLink"/>
                  <w:rFonts w:ascii="Times New Roman;Times;serif" w:hAnsi="Times New Roman;Times;serif"/>
                  <w:sz w:val="20"/>
                </w:rPr>
                <w:t>15</w:t>
              </w:r>
            </w:hyperlink>
          </w:p>
        </w:tc>
      </w:tr>
      <w:tr>
        <w:trPr/>
        <w:tc>
          <w:tcPr>
            <w:tcW w:w="41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c>
          <w:tcPr>
            <w:tcW w:w="60" w:type="dxa"/>
            <w:tcBorders/>
            <w:shd w:fill="auto" w:val="clear"/>
            <w:vAlign w:val="center"/>
          </w:tcPr>
          <w:p>
            <w:pPr>
              <w:pStyle w:val="TableContents"/>
              <w:spacing w:before="0" w:after="0"/>
              <w:ind w:left="0" w:right="0" w:hanging="0"/>
              <w:jc w:val="left"/>
              <w:rPr/>
            </w:pPr>
            <w:r>
              <w:rPr/>
              <w:t> </w:t>
            </w:r>
          </w:p>
        </w:tc>
        <w:tc>
          <w:tcPr>
            <w:tcW w:w="7250" w:type="dxa"/>
            <w:tcBorders/>
            <w:shd w:fill="auto" w:val="clear"/>
            <w:vAlign w:val="center"/>
          </w:tcPr>
          <w:p>
            <w:pPr>
              <w:pStyle w:val="TableContents"/>
              <w:spacing w:before="0" w:after="0"/>
              <w:ind w:left="0" w:right="0" w:hanging="0"/>
              <w:jc w:val="left"/>
              <w:rPr/>
            </w:pPr>
            <w:hyperlink w:anchor="i3">
              <w:r>
                <w:rPr>
                  <w:rStyle w:val="InternetLink"/>
                  <w:rFonts w:ascii="Times New Roman;Times;serif" w:hAnsi="Times New Roman;Times;serif"/>
                  <w:sz w:val="20"/>
                </w:rPr>
                <w:t>Quantitative and Qualitative Disclosures about Market Risk</w:t>
              </w:r>
            </w:hyperlink>
          </w:p>
        </w:tc>
        <w:tc>
          <w:tcPr>
            <w:tcW w:w="60" w:type="dxa"/>
            <w:tcBorders/>
            <w:shd w:fill="auto" w:val="clear"/>
            <w:vAlign w:val="center"/>
          </w:tcPr>
          <w:p>
            <w:pPr>
              <w:pStyle w:val="TableContents"/>
              <w:spacing w:before="0" w:after="0"/>
              <w:ind w:left="0" w:right="0" w:hanging="0"/>
              <w:jc w:val="left"/>
              <w:rPr/>
            </w:pPr>
            <w:r>
              <w:rPr/>
              <w:t> </w:t>
            </w:r>
          </w:p>
        </w:tc>
        <w:tc>
          <w:tcPr>
            <w:tcW w:w="440" w:type="dxa"/>
            <w:tcBorders/>
            <w:shd w:fill="auto" w:val="clear"/>
            <w:vAlign w:val="center"/>
          </w:tcPr>
          <w:p>
            <w:pPr>
              <w:pStyle w:val="TableContents"/>
              <w:spacing w:before="0" w:after="0"/>
              <w:ind w:left="0" w:right="0" w:hanging="0"/>
              <w:jc w:val="center"/>
              <w:rPr/>
            </w:pPr>
            <w:hyperlink w:anchor="i3">
              <w:r>
                <w:rPr>
                  <w:rStyle w:val="InternetLink"/>
                  <w:rFonts w:ascii="Times New Roman;Times;serif" w:hAnsi="Times New Roman;Times;serif"/>
                  <w:sz w:val="20"/>
                </w:rPr>
                <w:t>23</w:t>
              </w:r>
            </w:hyperlink>
          </w:p>
        </w:tc>
      </w:tr>
      <w:tr>
        <w:trPr/>
        <w:tc>
          <w:tcPr>
            <w:tcW w:w="41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c>
          <w:tcPr>
            <w:tcW w:w="60" w:type="dxa"/>
            <w:tcBorders/>
            <w:shd w:fill="auto" w:val="clear"/>
            <w:vAlign w:val="center"/>
          </w:tcPr>
          <w:p>
            <w:pPr>
              <w:pStyle w:val="TableContents"/>
              <w:spacing w:before="0" w:after="0"/>
              <w:ind w:left="0" w:right="0" w:hanging="0"/>
              <w:jc w:val="left"/>
              <w:rPr/>
            </w:pPr>
            <w:r>
              <w:rPr/>
              <w:t> </w:t>
            </w:r>
          </w:p>
        </w:tc>
        <w:tc>
          <w:tcPr>
            <w:tcW w:w="7250" w:type="dxa"/>
            <w:tcBorders/>
            <w:shd w:fill="auto" w:val="clear"/>
            <w:vAlign w:val="center"/>
          </w:tcPr>
          <w:p>
            <w:pPr>
              <w:pStyle w:val="TableContents"/>
              <w:spacing w:before="0" w:after="0"/>
              <w:ind w:left="0" w:right="0" w:hanging="0"/>
              <w:jc w:val="left"/>
              <w:rPr/>
            </w:pPr>
            <w:hyperlink w:anchor="i4">
              <w:r>
                <w:rPr>
                  <w:rStyle w:val="InternetLink"/>
                  <w:rFonts w:ascii="Times New Roman;Times;serif" w:hAnsi="Times New Roman;Times;serif"/>
                  <w:sz w:val="20"/>
                </w:rPr>
                <w:t>Controls and Procedures</w:t>
              </w:r>
            </w:hyperlink>
          </w:p>
        </w:tc>
        <w:tc>
          <w:tcPr>
            <w:tcW w:w="60" w:type="dxa"/>
            <w:tcBorders/>
            <w:shd w:fill="auto" w:val="clear"/>
            <w:vAlign w:val="center"/>
          </w:tcPr>
          <w:p>
            <w:pPr>
              <w:pStyle w:val="TableContents"/>
              <w:spacing w:before="0" w:after="0"/>
              <w:ind w:left="0" w:right="0" w:hanging="0"/>
              <w:jc w:val="left"/>
              <w:rPr/>
            </w:pPr>
            <w:r>
              <w:rPr/>
              <w:t> </w:t>
            </w:r>
          </w:p>
        </w:tc>
        <w:tc>
          <w:tcPr>
            <w:tcW w:w="440" w:type="dxa"/>
            <w:tcBorders/>
            <w:shd w:fill="auto" w:val="clear"/>
            <w:vAlign w:val="center"/>
          </w:tcPr>
          <w:p>
            <w:pPr>
              <w:pStyle w:val="TableContents"/>
              <w:spacing w:before="0" w:after="0"/>
              <w:ind w:left="0" w:right="0" w:hanging="0"/>
              <w:jc w:val="center"/>
              <w:rPr/>
            </w:pPr>
            <w:hyperlink w:anchor="i4">
              <w:r>
                <w:rPr>
                  <w:rStyle w:val="InternetLink"/>
                  <w:rFonts w:ascii="Times New Roman;Times;serif" w:hAnsi="Times New Roman;Times;serif"/>
                  <w:sz w:val="20"/>
                </w:rPr>
                <w:t>24</w:t>
              </w:r>
            </w:hyperlink>
          </w:p>
        </w:tc>
      </w:tr>
      <w:tr>
        <w:trPr/>
        <w:tc>
          <w:tcPr>
            <w:tcW w:w="8220" w:type="dxa"/>
            <w:gridSpan w:val="5"/>
            <w:tcBorders/>
            <w:shd w:fill="auto" w:val="clear"/>
            <w:vAlign w:val="center"/>
          </w:tcPr>
          <w:p>
            <w:pPr>
              <w:pStyle w:val="TableContents"/>
              <w:spacing w:before="0" w:after="0"/>
              <w:ind w:left="0" w:right="0" w:hanging="0"/>
              <w:jc w:val="center"/>
              <w:rPr/>
            </w:pPr>
            <w:hyperlink w:anchor="p2">
              <w:r>
                <w:rPr>
                  <w:rStyle w:val="InternetLink"/>
                  <w:rFonts w:ascii="Times New Roman;Times;serif" w:hAnsi="Times New Roman;Times;serif"/>
                  <w:sz w:val="20"/>
                </w:rPr>
                <w:t>PART II</w:t>
              </w:r>
            </w:hyperlink>
          </w:p>
        </w:tc>
      </w:tr>
      <w:tr>
        <w:trPr/>
        <w:tc>
          <w:tcPr>
            <w:tcW w:w="41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c>
          <w:tcPr>
            <w:tcW w:w="60" w:type="dxa"/>
            <w:tcBorders/>
            <w:shd w:fill="auto" w:val="clear"/>
            <w:vAlign w:val="center"/>
          </w:tcPr>
          <w:p>
            <w:pPr>
              <w:pStyle w:val="TableContents"/>
              <w:spacing w:before="0" w:after="0"/>
              <w:ind w:left="0" w:right="0" w:hanging="0"/>
              <w:jc w:val="left"/>
              <w:rPr/>
            </w:pPr>
            <w:r>
              <w:rPr/>
              <w:t> </w:t>
            </w:r>
          </w:p>
        </w:tc>
        <w:tc>
          <w:tcPr>
            <w:tcW w:w="7250" w:type="dxa"/>
            <w:tcBorders/>
            <w:shd w:fill="auto" w:val="clear"/>
            <w:vAlign w:val="center"/>
          </w:tcPr>
          <w:p>
            <w:pPr>
              <w:pStyle w:val="TableContents"/>
              <w:spacing w:before="0" w:after="0"/>
              <w:ind w:left="0" w:right="0" w:hanging="0"/>
              <w:jc w:val="left"/>
              <w:rPr/>
            </w:pPr>
            <w:hyperlink w:anchor="p2i1">
              <w:r>
                <w:rPr>
                  <w:rStyle w:val="InternetLink"/>
                  <w:rFonts w:ascii="Times New Roman;Times;serif" w:hAnsi="Times New Roman;Times;serif"/>
                  <w:sz w:val="20"/>
                </w:rPr>
                <w:t>Legal Proceedings</w:t>
              </w:r>
            </w:hyperlink>
          </w:p>
        </w:tc>
        <w:tc>
          <w:tcPr>
            <w:tcW w:w="60" w:type="dxa"/>
            <w:tcBorders/>
            <w:shd w:fill="auto" w:val="clear"/>
            <w:vAlign w:val="center"/>
          </w:tcPr>
          <w:p>
            <w:pPr>
              <w:pStyle w:val="TableContents"/>
              <w:spacing w:before="0" w:after="0"/>
              <w:ind w:left="0" w:right="0" w:hanging="0"/>
              <w:jc w:val="left"/>
              <w:rPr/>
            </w:pPr>
            <w:r>
              <w:rPr/>
              <w:t> </w:t>
            </w:r>
          </w:p>
        </w:tc>
        <w:tc>
          <w:tcPr>
            <w:tcW w:w="440" w:type="dxa"/>
            <w:tcBorders/>
            <w:shd w:fill="auto" w:val="clear"/>
            <w:vAlign w:val="center"/>
          </w:tcPr>
          <w:p>
            <w:pPr>
              <w:pStyle w:val="TableContents"/>
              <w:spacing w:before="0" w:after="0"/>
              <w:ind w:left="0" w:right="0" w:hanging="0"/>
              <w:jc w:val="center"/>
              <w:rPr/>
            </w:pPr>
            <w:hyperlink w:anchor="p2i1">
              <w:r>
                <w:rPr>
                  <w:rStyle w:val="InternetLink"/>
                  <w:rFonts w:ascii="Times New Roman;Times;serif" w:hAnsi="Times New Roman;Times;serif"/>
                  <w:sz w:val="20"/>
                </w:rPr>
                <w:t>25</w:t>
              </w:r>
            </w:hyperlink>
          </w:p>
        </w:tc>
      </w:tr>
      <w:tr>
        <w:trPr/>
        <w:tc>
          <w:tcPr>
            <w:tcW w:w="41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1A.</w:t>
            </w:r>
          </w:p>
        </w:tc>
        <w:tc>
          <w:tcPr>
            <w:tcW w:w="60" w:type="dxa"/>
            <w:tcBorders/>
            <w:shd w:fill="auto" w:val="clear"/>
            <w:vAlign w:val="center"/>
          </w:tcPr>
          <w:p>
            <w:pPr>
              <w:pStyle w:val="TableContents"/>
              <w:spacing w:before="0" w:after="0"/>
              <w:ind w:left="0" w:right="0" w:hanging="0"/>
              <w:jc w:val="left"/>
              <w:rPr/>
            </w:pPr>
            <w:r>
              <w:rPr/>
              <w:t> </w:t>
            </w:r>
          </w:p>
        </w:tc>
        <w:tc>
          <w:tcPr>
            <w:tcW w:w="7250" w:type="dxa"/>
            <w:tcBorders/>
            <w:shd w:fill="auto" w:val="clear"/>
            <w:vAlign w:val="center"/>
          </w:tcPr>
          <w:p>
            <w:pPr>
              <w:pStyle w:val="TableContents"/>
              <w:spacing w:before="0" w:after="0"/>
              <w:ind w:left="0" w:right="0" w:hanging="0"/>
              <w:jc w:val="left"/>
              <w:rPr/>
            </w:pPr>
            <w:hyperlink w:anchor="p2i1a">
              <w:r>
                <w:rPr>
                  <w:rStyle w:val="InternetLink"/>
                  <w:rFonts w:ascii="Times New Roman;Times;serif" w:hAnsi="Times New Roman;Times;serif"/>
                  <w:sz w:val="20"/>
                </w:rPr>
                <w:t>Risk Factors</w:t>
              </w:r>
            </w:hyperlink>
          </w:p>
        </w:tc>
        <w:tc>
          <w:tcPr>
            <w:tcW w:w="60" w:type="dxa"/>
            <w:tcBorders/>
            <w:shd w:fill="auto" w:val="clear"/>
            <w:vAlign w:val="center"/>
          </w:tcPr>
          <w:p>
            <w:pPr>
              <w:pStyle w:val="TableContents"/>
              <w:spacing w:before="0" w:after="0"/>
              <w:ind w:left="0" w:right="0" w:hanging="0"/>
              <w:jc w:val="left"/>
              <w:rPr/>
            </w:pPr>
            <w:r>
              <w:rPr/>
              <w:t> </w:t>
            </w:r>
          </w:p>
        </w:tc>
        <w:tc>
          <w:tcPr>
            <w:tcW w:w="440" w:type="dxa"/>
            <w:tcBorders/>
            <w:shd w:fill="auto" w:val="clear"/>
            <w:vAlign w:val="center"/>
          </w:tcPr>
          <w:p>
            <w:pPr>
              <w:pStyle w:val="TableContents"/>
              <w:spacing w:before="0" w:after="0"/>
              <w:ind w:left="0" w:right="0" w:hanging="0"/>
              <w:jc w:val="center"/>
              <w:rPr/>
            </w:pPr>
            <w:hyperlink w:anchor="p2i1a">
              <w:r>
                <w:rPr>
                  <w:rStyle w:val="InternetLink"/>
                  <w:rFonts w:ascii="Times New Roman;Times;serif" w:hAnsi="Times New Roman;Times;serif"/>
                  <w:sz w:val="20"/>
                </w:rPr>
                <w:t>25</w:t>
              </w:r>
            </w:hyperlink>
          </w:p>
        </w:tc>
      </w:tr>
      <w:tr>
        <w:trPr/>
        <w:tc>
          <w:tcPr>
            <w:tcW w:w="41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c>
          <w:tcPr>
            <w:tcW w:w="60" w:type="dxa"/>
            <w:tcBorders/>
            <w:shd w:fill="auto" w:val="clear"/>
            <w:vAlign w:val="center"/>
          </w:tcPr>
          <w:p>
            <w:pPr>
              <w:pStyle w:val="TableContents"/>
              <w:spacing w:before="0" w:after="0"/>
              <w:ind w:left="0" w:right="0" w:hanging="0"/>
              <w:jc w:val="left"/>
              <w:rPr/>
            </w:pPr>
            <w:r>
              <w:rPr/>
              <w:t> </w:t>
            </w:r>
          </w:p>
        </w:tc>
        <w:tc>
          <w:tcPr>
            <w:tcW w:w="7250" w:type="dxa"/>
            <w:tcBorders/>
            <w:shd w:fill="auto" w:val="clear"/>
            <w:vAlign w:val="center"/>
          </w:tcPr>
          <w:p>
            <w:pPr>
              <w:pStyle w:val="TableContents"/>
              <w:spacing w:before="0" w:after="0"/>
              <w:ind w:left="0" w:right="0" w:hanging="0"/>
              <w:jc w:val="left"/>
              <w:rPr/>
            </w:pPr>
            <w:hyperlink w:anchor="p2i2">
              <w:r>
                <w:rPr>
                  <w:rStyle w:val="InternetLink"/>
                  <w:rFonts w:ascii="Times New Roman;Times;serif" w:hAnsi="Times New Roman;Times;serif"/>
                  <w:sz w:val="20"/>
                </w:rPr>
                <w:t>Unregistered Sales of Equity Securities and Use of Proceeds</w:t>
              </w:r>
            </w:hyperlink>
          </w:p>
        </w:tc>
        <w:tc>
          <w:tcPr>
            <w:tcW w:w="60" w:type="dxa"/>
            <w:tcBorders/>
            <w:shd w:fill="auto" w:val="clear"/>
            <w:vAlign w:val="center"/>
          </w:tcPr>
          <w:p>
            <w:pPr>
              <w:pStyle w:val="TableContents"/>
              <w:spacing w:before="0" w:after="0"/>
              <w:ind w:left="0" w:right="0" w:hanging="0"/>
              <w:jc w:val="left"/>
              <w:rPr/>
            </w:pPr>
            <w:r>
              <w:rPr/>
              <w:t> </w:t>
            </w:r>
          </w:p>
        </w:tc>
        <w:tc>
          <w:tcPr>
            <w:tcW w:w="440" w:type="dxa"/>
            <w:tcBorders/>
            <w:shd w:fill="auto" w:val="clear"/>
            <w:vAlign w:val="center"/>
          </w:tcPr>
          <w:p>
            <w:pPr>
              <w:pStyle w:val="TableContents"/>
              <w:spacing w:before="0" w:after="0"/>
              <w:ind w:left="0" w:right="0" w:hanging="0"/>
              <w:jc w:val="center"/>
              <w:rPr/>
            </w:pPr>
            <w:hyperlink w:anchor="p2i2">
              <w:r>
                <w:rPr>
                  <w:rStyle w:val="InternetLink"/>
                  <w:rFonts w:ascii="Times New Roman;Times;serif" w:hAnsi="Times New Roman;Times;serif"/>
                  <w:sz w:val="20"/>
                </w:rPr>
                <w:t>25</w:t>
              </w:r>
            </w:hyperlink>
          </w:p>
        </w:tc>
      </w:tr>
      <w:tr>
        <w:trPr/>
        <w:tc>
          <w:tcPr>
            <w:tcW w:w="41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c>
          <w:tcPr>
            <w:tcW w:w="60" w:type="dxa"/>
            <w:tcBorders/>
            <w:shd w:fill="auto" w:val="clear"/>
            <w:vAlign w:val="center"/>
          </w:tcPr>
          <w:p>
            <w:pPr>
              <w:pStyle w:val="TableContents"/>
              <w:spacing w:before="0" w:after="0"/>
              <w:ind w:left="0" w:right="0" w:hanging="0"/>
              <w:jc w:val="left"/>
              <w:rPr/>
            </w:pPr>
            <w:r>
              <w:rPr/>
              <w:t> </w:t>
            </w:r>
          </w:p>
        </w:tc>
        <w:tc>
          <w:tcPr>
            <w:tcW w:w="7250" w:type="dxa"/>
            <w:tcBorders/>
            <w:shd w:fill="auto" w:val="clear"/>
            <w:vAlign w:val="center"/>
          </w:tcPr>
          <w:p>
            <w:pPr>
              <w:pStyle w:val="TableContents"/>
              <w:spacing w:before="0" w:after="0"/>
              <w:ind w:left="0" w:right="0" w:hanging="0"/>
              <w:jc w:val="left"/>
              <w:rPr/>
            </w:pPr>
            <w:hyperlink w:anchor="p2i3">
              <w:r>
                <w:rPr>
                  <w:rStyle w:val="InternetLink"/>
                  <w:rFonts w:ascii="Times New Roman;Times;serif" w:hAnsi="Times New Roman;Times;serif"/>
                  <w:sz w:val="20"/>
                </w:rPr>
                <w:t>Defaults Upon Senior Securities</w:t>
              </w:r>
            </w:hyperlink>
          </w:p>
        </w:tc>
        <w:tc>
          <w:tcPr>
            <w:tcW w:w="60" w:type="dxa"/>
            <w:tcBorders/>
            <w:shd w:fill="auto" w:val="clear"/>
            <w:vAlign w:val="center"/>
          </w:tcPr>
          <w:p>
            <w:pPr>
              <w:pStyle w:val="TableContents"/>
              <w:spacing w:before="0" w:after="0"/>
              <w:ind w:left="0" w:right="0" w:hanging="0"/>
              <w:jc w:val="left"/>
              <w:rPr/>
            </w:pPr>
            <w:r>
              <w:rPr/>
              <w:t> </w:t>
            </w:r>
          </w:p>
        </w:tc>
        <w:tc>
          <w:tcPr>
            <w:tcW w:w="440" w:type="dxa"/>
            <w:tcBorders/>
            <w:shd w:fill="auto" w:val="clear"/>
            <w:vAlign w:val="center"/>
          </w:tcPr>
          <w:p>
            <w:pPr>
              <w:pStyle w:val="TableContents"/>
              <w:spacing w:before="0" w:after="0"/>
              <w:ind w:left="0" w:right="0" w:hanging="0"/>
              <w:jc w:val="center"/>
              <w:rPr/>
            </w:pPr>
            <w:hyperlink w:anchor="p2i3">
              <w:r>
                <w:rPr>
                  <w:rStyle w:val="InternetLink"/>
                  <w:rFonts w:ascii="Times New Roman;Times;serif" w:hAnsi="Times New Roman;Times;serif"/>
                  <w:sz w:val="20"/>
                </w:rPr>
                <w:t>25</w:t>
              </w:r>
            </w:hyperlink>
          </w:p>
        </w:tc>
      </w:tr>
      <w:tr>
        <w:trPr/>
        <w:tc>
          <w:tcPr>
            <w:tcW w:w="41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c>
          <w:tcPr>
            <w:tcW w:w="60" w:type="dxa"/>
            <w:tcBorders/>
            <w:shd w:fill="auto" w:val="clear"/>
            <w:vAlign w:val="center"/>
          </w:tcPr>
          <w:p>
            <w:pPr>
              <w:pStyle w:val="TableContents"/>
              <w:spacing w:before="0" w:after="0"/>
              <w:ind w:left="0" w:right="0" w:hanging="0"/>
              <w:jc w:val="left"/>
              <w:rPr/>
            </w:pPr>
            <w:r>
              <w:rPr/>
              <w:t> </w:t>
            </w:r>
          </w:p>
        </w:tc>
        <w:tc>
          <w:tcPr>
            <w:tcW w:w="7250" w:type="dxa"/>
            <w:tcBorders/>
            <w:shd w:fill="auto" w:val="clear"/>
            <w:vAlign w:val="center"/>
          </w:tcPr>
          <w:p>
            <w:pPr>
              <w:pStyle w:val="TableContents"/>
              <w:spacing w:before="0" w:after="0"/>
              <w:ind w:left="0" w:right="0" w:hanging="0"/>
              <w:jc w:val="left"/>
              <w:rPr/>
            </w:pPr>
            <w:hyperlink w:anchor="p2i4">
              <w:r>
                <w:rPr>
                  <w:rStyle w:val="InternetLink"/>
                  <w:rFonts w:ascii="Times New Roman;Times;serif" w:hAnsi="Times New Roman;Times;serif"/>
                  <w:sz w:val="20"/>
                </w:rPr>
                <w:t>Mine Safety Disclosures</w:t>
              </w:r>
            </w:hyperlink>
          </w:p>
        </w:tc>
        <w:tc>
          <w:tcPr>
            <w:tcW w:w="60" w:type="dxa"/>
            <w:tcBorders/>
            <w:shd w:fill="auto" w:val="clear"/>
            <w:vAlign w:val="center"/>
          </w:tcPr>
          <w:p>
            <w:pPr>
              <w:pStyle w:val="TableContents"/>
              <w:spacing w:before="0" w:after="0"/>
              <w:ind w:left="0" w:right="0" w:hanging="0"/>
              <w:jc w:val="left"/>
              <w:rPr/>
            </w:pPr>
            <w:r>
              <w:rPr/>
              <w:t> </w:t>
            </w:r>
          </w:p>
        </w:tc>
        <w:tc>
          <w:tcPr>
            <w:tcW w:w="440" w:type="dxa"/>
            <w:tcBorders/>
            <w:shd w:fill="auto" w:val="clear"/>
            <w:vAlign w:val="center"/>
          </w:tcPr>
          <w:p>
            <w:pPr>
              <w:pStyle w:val="TableContents"/>
              <w:spacing w:before="0" w:after="0"/>
              <w:ind w:left="0" w:right="0" w:hanging="0"/>
              <w:jc w:val="center"/>
              <w:rPr/>
            </w:pPr>
            <w:hyperlink w:anchor="p2i4">
              <w:r>
                <w:rPr>
                  <w:rStyle w:val="InternetLink"/>
                  <w:rFonts w:ascii="Times New Roman;Times;serif" w:hAnsi="Times New Roman;Times;serif"/>
                  <w:sz w:val="20"/>
                </w:rPr>
                <w:t>25</w:t>
              </w:r>
            </w:hyperlink>
          </w:p>
        </w:tc>
      </w:tr>
      <w:tr>
        <w:trPr/>
        <w:tc>
          <w:tcPr>
            <w:tcW w:w="41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60" w:type="dxa"/>
            <w:tcBorders/>
            <w:shd w:fill="auto" w:val="clear"/>
            <w:vAlign w:val="center"/>
          </w:tcPr>
          <w:p>
            <w:pPr>
              <w:pStyle w:val="TableContents"/>
              <w:spacing w:before="0" w:after="0"/>
              <w:ind w:left="0" w:right="0" w:hanging="0"/>
              <w:jc w:val="left"/>
              <w:rPr/>
            </w:pPr>
            <w:r>
              <w:rPr/>
              <w:t> </w:t>
            </w:r>
          </w:p>
        </w:tc>
        <w:tc>
          <w:tcPr>
            <w:tcW w:w="7250" w:type="dxa"/>
            <w:tcBorders/>
            <w:shd w:fill="auto" w:val="clear"/>
            <w:vAlign w:val="center"/>
          </w:tcPr>
          <w:p>
            <w:pPr>
              <w:pStyle w:val="TableContents"/>
              <w:spacing w:before="0" w:after="0"/>
              <w:ind w:left="0" w:right="0" w:hanging="0"/>
              <w:jc w:val="left"/>
              <w:rPr/>
            </w:pPr>
            <w:hyperlink w:anchor="p2i5">
              <w:r>
                <w:rPr>
                  <w:rStyle w:val="InternetLink"/>
                  <w:rFonts w:ascii="Times New Roman;Times;serif" w:hAnsi="Times New Roman;Times;serif"/>
                  <w:sz w:val="20"/>
                </w:rPr>
                <w:t>Other Information</w:t>
              </w:r>
            </w:hyperlink>
          </w:p>
        </w:tc>
        <w:tc>
          <w:tcPr>
            <w:tcW w:w="60" w:type="dxa"/>
            <w:tcBorders/>
            <w:shd w:fill="auto" w:val="clear"/>
            <w:vAlign w:val="center"/>
          </w:tcPr>
          <w:p>
            <w:pPr>
              <w:pStyle w:val="TableContents"/>
              <w:spacing w:before="0" w:after="0"/>
              <w:ind w:left="0" w:right="0" w:hanging="0"/>
              <w:jc w:val="left"/>
              <w:rPr/>
            </w:pPr>
            <w:r>
              <w:rPr/>
              <w:t> </w:t>
            </w:r>
          </w:p>
        </w:tc>
        <w:tc>
          <w:tcPr>
            <w:tcW w:w="440" w:type="dxa"/>
            <w:tcBorders/>
            <w:shd w:fill="auto" w:val="clear"/>
            <w:vAlign w:val="center"/>
          </w:tcPr>
          <w:p>
            <w:pPr>
              <w:pStyle w:val="TableContents"/>
              <w:spacing w:before="0" w:after="0"/>
              <w:ind w:left="0" w:right="0" w:hanging="0"/>
              <w:jc w:val="center"/>
              <w:rPr/>
            </w:pPr>
            <w:hyperlink w:anchor="p2i5">
              <w:r>
                <w:rPr>
                  <w:rStyle w:val="InternetLink"/>
                  <w:rFonts w:ascii="Times New Roman;Times;serif" w:hAnsi="Times New Roman;Times;serif"/>
                  <w:sz w:val="20"/>
                </w:rPr>
                <w:t>25</w:t>
              </w:r>
            </w:hyperlink>
          </w:p>
        </w:tc>
      </w:tr>
      <w:tr>
        <w:trPr/>
        <w:tc>
          <w:tcPr>
            <w:tcW w:w="41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60" w:type="dxa"/>
            <w:tcBorders/>
            <w:shd w:fill="auto" w:val="clear"/>
            <w:vAlign w:val="center"/>
          </w:tcPr>
          <w:p>
            <w:pPr>
              <w:pStyle w:val="TableContents"/>
              <w:spacing w:before="0" w:after="0"/>
              <w:ind w:left="0" w:right="0" w:hanging="0"/>
              <w:jc w:val="left"/>
              <w:rPr/>
            </w:pPr>
            <w:r>
              <w:rPr/>
              <w:t> </w:t>
            </w:r>
          </w:p>
        </w:tc>
        <w:tc>
          <w:tcPr>
            <w:tcW w:w="7250" w:type="dxa"/>
            <w:tcBorders/>
            <w:shd w:fill="auto" w:val="clear"/>
            <w:vAlign w:val="center"/>
          </w:tcPr>
          <w:p>
            <w:pPr>
              <w:pStyle w:val="TableContents"/>
              <w:spacing w:before="0" w:after="0"/>
              <w:ind w:left="0" w:right="0" w:hanging="0"/>
              <w:jc w:val="left"/>
              <w:rPr/>
            </w:pPr>
            <w:hyperlink w:anchor="p2i6">
              <w:r>
                <w:rPr>
                  <w:rStyle w:val="InternetLink"/>
                  <w:rFonts w:ascii="Times New Roman;Times;serif" w:hAnsi="Times New Roman;Times;serif"/>
                  <w:sz w:val="20"/>
                </w:rPr>
                <w:t>Exhibits</w:t>
              </w:r>
            </w:hyperlink>
          </w:p>
        </w:tc>
        <w:tc>
          <w:tcPr>
            <w:tcW w:w="60" w:type="dxa"/>
            <w:tcBorders/>
            <w:shd w:fill="auto" w:val="clear"/>
            <w:vAlign w:val="center"/>
          </w:tcPr>
          <w:p>
            <w:pPr>
              <w:pStyle w:val="TableContents"/>
              <w:spacing w:before="0" w:after="0"/>
              <w:ind w:left="0" w:right="0" w:hanging="0"/>
              <w:jc w:val="left"/>
              <w:rPr/>
            </w:pPr>
            <w:r>
              <w:rPr/>
              <w:t> </w:t>
            </w:r>
          </w:p>
        </w:tc>
        <w:tc>
          <w:tcPr>
            <w:tcW w:w="440" w:type="dxa"/>
            <w:tcBorders/>
            <w:shd w:fill="auto" w:val="clear"/>
            <w:vAlign w:val="center"/>
          </w:tcPr>
          <w:p>
            <w:pPr>
              <w:pStyle w:val="TableContents"/>
              <w:spacing w:before="0" w:after="0"/>
              <w:ind w:left="0" w:right="0" w:hanging="0"/>
              <w:jc w:val="center"/>
              <w:rPr/>
            </w:pPr>
            <w:hyperlink w:anchor="p2i6">
              <w:r>
                <w:rPr>
                  <w:rStyle w:val="InternetLink"/>
                  <w:rFonts w:ascii="Times New Roman;Times;serif" w:hAnsi="Times New Roman;Times;serif"/>
                  <w:sz w:val="20"/>
                </w:rPr>
                <w:t>26</w:t>
              </w:r>
            </w:hyperlink>
          </w:p>
        </w:tc>
      </w:tr>
    </w:tbl>
    <w:p>
      <w:pPr>
        <w:pStyle w:val="TextBody"/>
        <w:spacing w:before="0" w:after="0"/>
        <w:ind w:left="1194" w:right="1194"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left"/>
        <w:rPr>
          <w:rFonts w:ascii="Times New Roman;Times;serif" w:hAnsi="Times New Roman;Times;serif"/>
          <w:b/>
          <w:sz w:val="20"/>
        </w:rPr>
      </w:pPr>
      <w:bookmarkStart w:id="3" w:name="p1i1"/>
      <w:bookmarkEnd w:id="3"/>
      <w:r>
        <w:rPr>
          <w:rFonts w:ascii="Times New Roman;Times;serif" w:hAnsi="Times New Roman;Times;serif"/>
          <w:b/>
          <w:sz w:val="20"/>
        </w:rPr>
        <w:t>PART I. FINANCIAL INFORMATION</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Item 1. Financial Statements</w:t>
      </w:r>
    </w:p>
    <w:p>
      <w:pPr>
        <w:pStyle w:val="TextBody"/>
        <w:spacing w:before="0" w:after="0"/>
        <w:ind w:left="0" w:right="0" w:hanging="0"/>
        <w:jc w:val="left"/>
        <w:rPr/>
      </w:pPr>
      <w:r>
        <w:rPr/>
        <w:t> </w:t>
      </w:r>
    </w:p>
    <w:tbl>
      <w:tblPr>
        <w:tblW w:w="4340" w:type="dxa"/>
        <w:jc w:val="left"/>
        <w:tblInd w:w="0" w:type="dxa"/>
        <w:tblCellMar>
          <w:top w:w="0" w:type="dxa"/>
          <w:left w:w="0" w:type="dxa"/>
          <w:bottom w:w="0" w:type="dxa"/>
          <w:right w:w="0" w:type="dxa"/>
        </w:tblCellMar>
      </w:tblPr>
      <w:tblGrid>
        <w:gridCol w:w="4340"/>
      </w:tblGrid>
      <w:tr>
        <w:trPr/>
        <w:tc>
          <w:tcPr>
            <w:tcW w:w="4340"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Proto Labs, Inc.</w:t>
            </w:r>
          </w:p>
        </w:tc>
      </w:tr>
      <w:tr>
        <w:trPr/>
        <w:tc>
          <w:tcPr>
            <w:tcW w:w="4340"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tc>
      </w:tr>
      <w:tr>
        <w:trPr/>
        <w:tc>
          <w:tcPr>
            <w:tcW w:w="4340"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tc>
      </w:tr>
    </w:tbl>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7959"/>
        <w:gridCol w:w="60"/>
        <w:gridCol w:w="148"/>
        <w:gridCol w:w="829"/>
        <w:gridCol w:w="80"/>
        <w:gridCol w:w="60"/>
        <w:gridCol w:w="149"/>
        <w:gridCol w:w="837"/>
        <w:gridCol w:w="83"/>
      </w:tblGrid>
      <w:tr>
        <w:trPr/>
        <w:tc>
          <w:tcPr>
            <w:tcW w:w="7959"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77"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March 31,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86"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December 31,</w:t>
            </w:r>
          </w:p>
        </w:tc>
        <w:tc>
          <w:tcPr>
            <w:tcW w:w="83" w:type="dxa"/>
            <w:tcBorders/>
            <w:shd w:fill="FFFFFF" w:val="clear"/>
            <w:vAlign w:val="center"/>
          </w:tcPr>
          <w:p>
            <w:pPr>
              <w:pStyle w:val="TableContents"/>
              <w:spacing w:before="0" w:after="283"/>
              <w:ind w:left="0" w:right="0" w:hanging="0"/>
              <w:rPr/>
            </w:pPr>
            <w:r>
              <w:rPr/>
              <w:t> </w:t>
            </w:r>
          </w:p>
        </w:tc>
      </w:tr>
      <w:tr>
        <w:trPr/>
        <w:tc>
          <w:tcPr>
            <w:tcW w:w="7959"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977"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2023</w:t>
            </w:r>
          </w:p>
        </w:tc>
        <w:tc>
          <w:tcPr>
            <w:tcW w:w="8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986"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2022</w:t>
            </w:r>
          </w:p>
        </w:tc>
        <w:tc>
          <w:tcPr>
            <w:tcW w:w="83" w:type="dxa"/>
            <w:tcBorders>
              <w:bottom w:val="single" w:sz="2" w:space="0" w:color="000000"/>
            </w:tcBorders>
            <w:shd w:fill="FFFFFF" w:val="clear"/>
            <w:tcMar>
              <w:bottom w:w="28" w:type="dxa"/>
            </w:tcMar>
            <w:vAlign w:val="center"/>
          </w:tcPr>
          <w:p>
            <w:pPr>
              <w:pStyle w:val="TableContents"/>
              <w:spacing w:before="0" w:after="0"/>
              <w:rPr/>
            </w:pPr>
            <w:r>
              <w:rPr/>
              <w:t> </w:t>
            </w:r>
          </w:p>
        </w:tc>
      </w:tr>
      <w:tr>
        <w:trPr/>
        <w:tc>
          <w:tcPr>
            <w:tcW w:w="7959"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77" w:type="dxa"/>
            <w:gridSpan w:val="2"/>
            <w:tcBorders/>
            <w:shd w:fill="FFFFFF"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9" w:type="dxa"/>
            <w:tcBorders/>
            <w:shd w:fill="FFFFFF" w:val="clear"/>
            <w:vAlign w:val="center"/>
          </w:tcPr>
          <w:p>
            <w:pPr>
              <w:pStyle w:val="TableContents"/>
              <w:spacing w:before="0" w:after="283"/>
              <w:rPr/>
            </w:pPr>
            <w:r>
              <w:rPr/>
              <w:t> </w:t>
            </w:r>
          </w:p>
        </w:tc>
        <w:tc>
          <w:tcPr>
            <w:tcW w:w="837" w:type="dxa"/>
            <w:tcBorders/>
            <w:shd w:fill="FFFFFF" w:val="clear"/>
            <w:vAlign w:val="center"/>
          </w:tcPr>
          <w:p>
            <w:pPr>
              <w:pStyle w:val="TableContents"/>
              <w:spacing w:before="0" w:after="283"/>
              <w:jc w:val="center"/>
              <w:rPr/>
            </w:pPr>
            <w:r>
              <w:rPr/>
              <w:t> </w:t>
            </w:r>
          </w:p>
        </w:tc>
        <w:tc>
          <w:tcPr>
            <w:tcW w:w="83" w:type="dxa"/>
            <w:tcBorders/>
            <w:shd w:fill="FFFFFF" w:val="clear"/>
            <w:vAlign w:val="center"/>
          </w:tcPr>
          <w:p>
            <w:pPr>
              <w:pStyle w:val="TableContents"/>
              <w:spacing w:before="0" w:after="283"/>
              <w:rPr/>
            </w:pPr>
            <w:r>
              <w:rPr/>
              <w:t> </w:t>
            </w:r>
          </w:p>
        </w:tc>
      </w:tr>
      <w:tr>
        <w:trPr/>
        <w:tc>
          <w:tcPr>
            <w:tcW w:w="7959"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829" w:type="dxa"/>
            <w:tcBorders/>
            <w:shd w:fill="CCEEFF" w:val="clear"/>
            <w:vAlign w:val="center"/>
          </w:tcPr>
          <w:p>
            <w:pPr>
              <w:pStyle w:val="TableContents"/>
              <w:spacing w:before="0" w:after="283"/>
              <w:jc w:val="left"/>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837" w:type="dxa"/>
            <w:tcBorders/>
            <w:shd w:fill="CCEEFF" w:val="clear"/>
            <w:vAlign w:val="center"/>
          </w:tcPr>
          <w:p>
            <w:pPr>
              <w:pStyle w:val="TableContents"/>
              <w:spacing w:before="0" w:after="283"/>
              <w:jc w:val="left"/>
              <w:rPr/>
            </w:pPr>
            <w:r>
              <w:rPr/>
              <w:t> </w:t>
            </w:r>
          </w:p>
        </w:tc>
        <w:tc>
          <w:tcPr>
            <w:tcW w:w="83" w:type="dxa"/>
            <w:tcBorders/>
            <w:shd w:fill="CCEEFF" w:val="clear"/>
            <w:vAlign w:val="center"/>
          </w:tcPr>
          <w:p>
            <w:pPr>
              <w:pStyle w:val="TableContents"/>
              <w:spacing w:before="0" w:after="283"/>
              <w:rPr/>
            </w:pPr>
            <w:r>
              <w:rPr/>
              <w:t> </w:t>
            </w:r>
          </w:p>
        </w:tc>
      </w:tr>
      <w:tr>
        <w:trPr/>
        <w:tc>
          <w:tcPr>
            <w:tcW w:w="7959"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assets</w:t>
            </w:r>
          </w:p>
        </w:tc>
        <w:tc>
          <w:tcPr>
            <w:tcW w:w="60" w:type="dxa"/>
            <w:tcBorders/>
            <w:shd w:fill="FFFFFF" w:val="clear"/>
            <w:vAlign w:val="center"/>
          </w:tcPr>
          <w:p>
            <w:pPr>
              <w:pStyle w:val="TableContents"/>
              <w:spacing w:before="0" w:after="283"/>
              <w:rPr/>
            </w:pPr>
            <w:r>
              <w:rPr/>
              <w:t> </w:t>
            </w:r>
          </w:p>
        </w:tc>
        <w:tc>
          <w:tcPr>
            <w:tcW w:w="148" w:type="dxa"/>
            <w:tcBorders/>
            <w:shd w:fill="FFFFFF" w:val="clear"/>
            <w:vAlign w:val="center"/>
          </w:tcPr>
          <w:p>
            <w:pPr>
              <w:pStyle w:val="TableContents"/>
              <w:spacing w:before="0" w:after="283"/>
              <w:rPr/>
            </w:pPr>
            <w:r>
              <w:rPr/>
              <w:t> </w:t>
            </w:r>
          </w:p>
        </w:tc>
        <w:tc>
          <w:tcPr>
            <w:tcW w:w="829" w:type="dxa"/>
            <w:tcBorders/>
            <w:shd w:fill="FFFFFF" w:val="clear"/>
            <w:vAlign w:val="center"/>
          </w:tcPr>
          <w:p>
            <w:pPr>
              <w:pStyle w:val="TableContents"/>
              <w:spacing w:before="0" w:after="283"/>
              <w:jc w:val="left"/>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9" w:type="dxa"/>
            <w:tcBorders/>
            <w:shd w:fill="FFFFFF" w:val="clear"/>
            <w:vAlign w:val="center"/>
          </w:tcPr>
          <w:p>
            <w:pPr>
              <w:pStyle w:val="TableContents"/>
              <w:spacing w:before="0" w:after="283"/>
              <w:rPr/>
            </w:pPr>
            <w:r>
              <w:rPr/>
              <w:t> </w:t>
            </w:r>
          </w:p>
        </w:tc>
        <w:tc>
          <w:tcPr>
            <w:tcW w:w="837" w:type="dxa"/>
            <w:tcBorders/>
            <w:shd w:fill="FFFFFF" w:val="clear"/>
            <w:vAlign w:val="center"/>
          </w:tcPr>
          <w:p>
            <w:pPr>
              <w:pStyle w:val="TableContents"/>
              <w:spacing w:before="0" w:after="283"/>
              <w:jc w:val="left"/>
              <w:rPr/>
            </w:pPr>
            <w:r>
              <w:rPr/>
              <w:t> </w:t>
            </w:r>
          </w:p>
        </w:tc>
        <w:tc>
          <w:tcPr>
            <w:tcW w:w="83" w:type="dxa"/>
            <w:tcBorders/>
            <w:shd w:fill="FFFFFF" w:val="clear"/>
            <w:vAlign w:val="center"/>
          </w:tcPr>
          <w:p>
            <w:pPr>
              <w:pStyle w:val="TableContents"/>
              <w:spacing w:before="0" w:after="283"/>
              <w:rPr/>
            </w:pPr>
            <w:r>
              <w:rPr/>
              <w:t> </w:t>
            </w:r>
          </w:p>
        </w:tc>
      </w:tr>
      <w:tr>
        <w:trPr/>
        <w:tc>
          <w:tcPr>
            <w:tcW w:w="7959" w:type="dxa"/>
            <w:tcBorders/>
            <w:shd w:fill="CCEEFF" w:val="cle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29"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62,051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37"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56,558</w:t>
            </w:r>
          </w:p>
        </w:tc>
        <w:tc>
          <w:tcPr>
            <w:tcW w:w="83" w:type="dxa"/>
            <w:tcBorders/>
            <w:shd w:fill="CCEEFF" w:val="clear"/>
            <w:vAlign w:val="center"/>
          </w:tcPr>
          <w:p>
            <w:pPr>
              <w:pStyle w:val="TableContents"/>
              <w:spacing w:before="0" w:after="283"/>
              <w:rPr/>
            </w:pPr>
            <w:r>
              <w:rPr/>
              <w:t> </w:t>
            </w:r>
          </w:p>
        </w:tc>
      </w:tr>
      <w:tr>
        <w:trPr/>
        <w:tc>
          <w:tcPr>
            <w:tcW w:w="7959" w:type="dxa"/>
            <w:tcBorders/>
            <w:shd w:fill="FFFFFF" w:val="clear"/>
            <w:vAlign w:val="center"/>
          </w:tcPr>
          <w:p>
            <w:pPr>
              <w:pStyle w:val="TableContents"/>
              <w:spacing w:before="0" w:after="0"/>
              <w:ind w:left="0" w:right="0" w:firstLine="180"/>
              <w:jc w:val="both"/>
              <w:rPr>
                <w:rFonts w:ascii="Times New Roman;Times;serif" w:hAnsi="Times New Roman;Times;serif"/>
                <w:sz w:val="20"/>
              </w:rPr>
            </w:pPr>
            <w:r>
              <w:rPr>
                <w:rFonts w:ascii="Times New Roman;Times;serif" w:hAnsi="Times New Roman;Times;serif"/>
                <w:sz w:val="20"/>
              </w:rPr>
              <w:t>Short-term marketable securities</w:t>
            </w:r>
          </w:p>
        </w:tc>
        <w:tc>
          <w:tcPr>
            <w:tcW w:w="60" w:type="dxa"/>
            <w:tcBorders/>
            <w:shd w:fill="FFFFFF" w:val="clear"/>
            <w:vAlign w:val="center"/>
          </w:tcPr>
          <w:p>
            <w:pPr>
              <w:pStyle w:val="TableContents"/>
              <w:spacing w:before="0" w:after="283"/>
              <w:rPr/>
            </w:pPr>
            <w:r>
              <w:rPr/>
              <w:t> </w:t>
            </w:r>
          </w:p>
        </w:tc>
        <w:tc>
          <w:tcPr>
            <w:tcW w:w="148" w:type="dxa"/>
            <w:tcBorders/>
            <w:shd w:fill="FFFFFF" w:val="clear"/>
            <w:vAlign w:val="center"/>
          </w:tcPr>
          <w:p>
            <w:pPr>
              <w:pStyle w:val="TableContents"/>
              <w:spacing w:before="0" w:after="283"/>
              <w:rPr/>
            </w:pPr>
            <w:r>
              <w:rPr/>
              <w:t> </w:t>
            </w:r>
          </w:p>
        </w:tc>
        <w:tc>
          <w:tcPr>
            <w:tcW w:w="829"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22,851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9" w:type="dxa"/>
            <w:tcBorders/>
            <w:shd w:fill="FFFFFF" w:val="clear"/>
            <w:vAlign w:val="center"/>
          </w:tcPr>
          <w:p>
            <w:pPr>
              <w:pStyle w:val="TableContents"/>
              <w:spacing w:before="0" w:after="283"/>
              <w:rPr/>
            </w:pPr>
            <w:r>
              <w:rPr/>
              <w:t> </w:t>
            </w:r>
          </w:p>
        </w:tc>
        <w:tc>
          <w:tcPr>
            <w:tcW w:w="837"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23,568</w:t>
            </w:r>
          </w:p>
        </w:tc>
        <w:tc>
          <w:tcPr>
            <w:tcW w:w="83" w:type="dxa"/>
            <w:tcBorders/>
            <w:shd w:fill="FFFFFF" w:val="clear"/>
            <w:vAlign w:val="center"/>
          </w:tcPr>
          <w:p>
            <w:pPr>
              <w:pStyle w:val="TableContents"/>
              <w:spacing w:before="0" w:after="283"/>
              <w:rPr/>
            </w:pPr>
            <w:r>
              <w:rPr/>
              <w:t> </w:t>
            </w:r>
          </w:p>
        </w:tc>
      </w:tr>
      <w:tr>
        <w:trPr/>
        <w:tc>
          <w:tcPr>
            <w:tcW w:w="7959" w:type="dxa"/>
            <w:tcBorders/>
            <w:shd w:fill="CCEEFF" w:val="clear"/>
            <w:vAlign w:val="center"/>
          </w:tcPr>
          <w:p>
            <w:pPr>
              <w:pStyle w:val="TableContents"/>
              <w:spacing w:before="0" w:after="0"/>
              <w:ind w:left="180" w:right="0" w:hanging="0"/>
              <w:jc w:val="both"/>
              <w:rPr>
                <w:rFonts w:ascii="Times New Roman;Times;serif" w:hAnsi="Times New Roman;Times;serif"/>
                <w:sz w:val="20"/>
              </w:rPr>
            </w:pPr>
            <w:r>
              <w:rPr>
                <w:rFonts w:ascii="Times New Roman;Times;serif" w:hAnsi="Times New Roman;Times;serif"/>
                <w:sz w:val="20"/>
              </w:rPr>
              <w:t>Accounts receivable, net of allowance for doubtful accounts of $1,932 and $1,706 as of March 31, 2023, and December 31, 2022, respectively</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829"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77,619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837"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76,225</w:t>
            </w:r>
          </w:p>
        </w:tc>
        <w:tc>
          <w:tcPr>
            <w:tcW w:w="83" w:type="dxa"/>
            <w:tcBorders/>
            <w:shd w:fill="CCEEFF" w:val="clear"/>
            <w:vAlign w:val="center"/>
          </w:tcPr>
          <w:p>
            <w:pPr>
              <w:pStyle w:val="TableContents"/>
              <w:spacing w:before="0" w:after="283"/>
              <w:rPr/>
            </w:pPr>
            <w:r>
              <w:rPr/>
              <w:t> </w:t>
            </w:r>
          </w:p>
        </w:tc>
      </w:tr>
      <w:tr>
        <w:trPr/>
        <w:tc>
          <w:tcPr>
            <w:tcW w:w="7959" w:type="dxa"/>
            <w:tcBorders/>
            <w:shd w:fill="FFFFFF" w:val="cle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Inventory</w:t>
            </w:r>
          </w:p>
        </w:tc>
        <w:tc>
          <w:tcPr>
            <w:tcW w:w="60" w:type="dxa"/>
            <w:tcBorders/>
            <w:shd w:fill="FFFFFF" w:val="clear"/>
            <w:vAlign w:val="center"/>
          </w:tcPr>
          <w:p>
            <w:pPr>
              <w:pStyle w:val="TableContents"/>
              <w:spacing w:before="0" w:after="283"/>
              <w:rPr/>
            </w:pPr>
            <w:r>
              <w:rPr/>
              <w:t> </w:t>
            </w:r>
          </w:p>
        </w:tc>
        <w:tc>
          <w:tcPr>
            <w:tcW w:w="148" w:type="dxa"/>
            <w:tcBorders/>
            <w:shd w:fill="FFFFFF" w:val="clear"/>
            <w:vAlign w:val="center"/>
          </w:tcPr>
          <w:p>
            <w:pPr>
              <w:pStyle w:val="TableContents"/>
              <w:spacing w:before="0" w:after="283"/>
              <w:rPr/>
            </w:pPr>
            <w:r>
              <w:rPr/>
              <w:t> </w:t>
            </w:r>
          </w:p>
        </w:tc>
        <w:tc>
          <w:tcPr>
            <w:tcW w:w="829"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14,273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9" w:type="dxa"/>
            <w:tcBorders/>
            <w:shd w:fill="FFFFFF" w:val="clear"/>
            <w:vAlign w:val="center"/>
          </w:tcPr>
          <w:p>
            <w:pPr>
              <w:pStyle w:val="TableContents"/>
              <w:spacing w:before="0" w:after="283"/>
              <w:rPr/>
            </w:pPr>
            <w:r>
              <w:rPr/>
              <w:t> </w:t>
            </w:r>
          </w:p>
        </w:tc>
        <w:tc>
          <w:tcPr>
            <w:tcW w:w="837"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13,578</w:t>
            </w:r>
          </w:p>
        </w:tc>
        <w:tc>
          <w:tcPr>
            <w:tcW w:w="83" w:type="dxa"/>
            <w:tcBorders/>
            <w:shd w:fill="FFFFFF" w:val="clear"/>
            <w:vAlign w:val="center"/>
          </w:tcPr>
          <w:p>
            <w:pPr>
              <w:pStyle w:val="TableContents"/>
              <w:spacing w:before="0" w:after="283"/>
              <w:rPr/>
            </w:pPr>
            <w:r>
              <w:rPr/>
              <w:t> </w:t>
            </w:r>
          </w:p>
        </w:tc>
      </w:tr>
      <w:tr>
        <w:trPr/>
        <w:tc>
          <w:tcPr>
            <w:tcW w:w="7959" w:type="dxa"/>
            <w:tcBorders/>
            <w:shd w:fill="CCEEFF" w:val="cle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Income taxes receivable</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829"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821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837"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4,042</w:t>
            </w:r>
          </w:p>
        </w:tc>
        <w:tc>
          <w:tcPr>
            <w:tcW w:w="83" w:type="dxa"/>
            <w:tcBorders/>
            <w:shd w:fill="CCEEFF" w:val="clear"/>
            <w:vAlign w:val="center"/>
          </w:tcPr>
          <w:p>
            <w:pPr>
              <w:pStyle w:val="TableContents"/>
              <w:spacing w:before="0" w:after="283"/>
              <w:ind w:left="0" w:right="0" w:hanging="0"/>
              <w:rPr/>
            </w:pPr>
            <w:r>
              <w:rPr/>
              <w:t> </w:t>
            </w:r>
          </w:p>
        </w:tc>
      </w:tr>
      <w:tr>
        <w:trPr/>
        <w:tc>
          <w:tcPr>
            <w:tcW w:w="7959"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FFFFFF" w:val="clear"/>
            <w:vAlign w:val="center"/>
          </w:tcPr>
          <w:p>
            <w:pPr>
              <w:pStyle w:val="TableContents"/>
              <w:spacing w:before="0" w:after="0"/>
              <w:ind w:left="0" w:right="0" w:hanging="0"/>
              <w:rPr/>
            </w:pPr>
            <w:r>
              <w:rPr/>
              <w:t> </w:t>
            </w:r>
          </w:p>
        </w:tc>
        <w:tc>
          <w:tcPr>
            <w:tcW w:w="148"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29"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11,101</w:t>
            </w:r>
          </w:p>
        </w:tc>
        <w:tc>
          <w:tcPr>
            <w:tcW w:w="8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149"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7"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12,597</w:t>
            </w:r>
          </w:p>
        </w:tc>
        <w:tc>
          <w:tcPr>
            <w:tcW w:w="83" w:type="dxa"/>
            <w:tcBorders>
              <w:bottom w:val="single" w:sz="2" w:space="0" w:color="000000"/>
            </w:tcBorders>
            <w:shd w:fill="FFFFFF" w:val="clear"/>
            <w:tcMar>
              <w:bottom w:w="28" w:type="dxa"/>
            </w:tcMar>
            <w:vAlign w:val="center"/>
          </w:tcPr>
          <w:p>
            <w:pPr>
              <w:pStyle w:val="TableContents"/>
              <w:spacing w:before="0" w:after="0"/>
              <w:rPr/>
            </w:pPr>
            <w:r>
              <w:rPr/>
              <w:t> </w:t>
            </w:r>
          </w:p>
        </w:tc>
      </w:tr>
      <w:tr>
        <w:trPr/>
        <w:tc>
          <w:tcPr>
            <w:tcW w:w="7959" w:type="dxa"/>
            <w:tcBorders/>
            <w:shd w:fill="CCEEFF" w:val="clear"/>
            <w:vAlign w:val="center"/>
          </w:tcPr>
          <w:p>
            <w:pPr>
              <w:pStyle w:val="TableContents"/>
              <w:spacing w:before="0" w:after="0"/>
              <w:ind w:left="720" w:right="0" w:hanging="0"/>
              <w:rPr>
                <w:rFonts w:ascii="Times New Roman;Times;serif" w:hAnsi="Times New Roman;Times;serif"/>
                <w:sz w:val="20"/>
              </w:rPr>
            </w:pPr>
            <w:r>
              <w:rPr>
                <w:rFonts w:ascii="Times New Roman;Times;serif" w:hAnsi="Times New Roman;Times;serif"/>
                <w:sz w:val="20"/>
              </w:rPr>
              <w:t>Total current assets</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ind w:left="0" w:right="0" w:hanging="0"/>
              <w:rPr/>
            </w:pPr>
            <w:r>
              <w:rPr/>
              <w:t> </w:t>
            </w:r>
          </w:p>
        </w:tc>
        <w:tc>
          <w:tcPr>
            <w:tcW w:w="829"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188,716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ind w:left="0" w:right="0" w:hanging="0"/>
              <w:rPr/>
            </w:pPr>
            <w:r>
              <w:rPr/>
              <w:t> </w:t>
            </w:r>
          </w:p>
        </w:tc>
        <w:tc>
          <w:tcPr>
            <w:tcW w:w="837"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186,568</w:t>
            </w:r>
          </w:p>
        </w:tc>
        <w:tc>
          <w:tcPr>
            <w:tcW w:w="83" w:type="dxa"/>
            <w:tcBorders/>
            <w:shd w:fill="CCEEFF" w:val="clear"/>
            <w:vAlign w:val="center"/>
          </w:tcPr>
          <w:p>
            <w:pPr>
              <w:pStyle w:val="TableContents"/>
              <w:spacing w:before="0" w:after="283"/>
              <w:rPr/>
            </w:pPr>
            <w:r>
              <w:rPr/>
              <w:t> </w:t>
            </w:r>
          </w:p>
        </w:tc>
      </w:tr>
      <w:tr>
        <w:trPr/>
        <w:tc>
          <w:tcPr>
            <w:tcW w:w="7959"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FFFFFF" w:val="clear"/>
            <w:vAlign w:val="center"/>
          </w:tcPr>
          <w:p>
            <w:pPr>
              <w:pStyle w:val="TableContents"/>
              <w:spacing w:before="0" w:after="283"/>
              <w:rPr/>
            </w:pPr>
            <w:r>
              <w:rPr/>
              <w:t> </w:t>
            </w:r>
          </w:p>
        </w:tc>
        <w:tc>
          <w:tcPr>
            <w:tcW w:w="148" w:type="dxa"/>
            <w:tcBorders/>
            <w:shd w:fill="FFFFFF" w:val="clear"/>
            <w:vAlign w:val="center"/>
          </w:tcPr>
          <w:p>
            <w:pPr>
              <w:pStyle w:val="TableContents"/>
              <w:spacing w:before="0" w:after="283"/>
              <w:rPr/>
            </w:pPr>
            <w:r>
              <w:rPr/>
              <w:t> </w:t>
            </w:r>
          </w:p>
        </w:tc>
        <w:tc>
          <w:tcPr>
            <w:tcW w:w="829"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253,616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9" w:type="dxa"/>
            <w:tcBorders/>
            <w:shd w:fill="FFFFFF" w:val="clear"/>
            <w:vAlign w:val="center"/>
          </w:tcPr>
          <w:p>
            <w:pPr>
              <w:pStyle w:val="TableContents"/>
              <w:spacing w:before="0" w:after="283"/>
              <w:rPr/>
            </w:pPr>
            <w:r>
              <w:rPr/>
              <w:t> </w:t>
            </w:r>
          </w:p>
        </w:tc>
        <w:tc>
          <w:tcPr>
            <w:tcW w:w="837"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257,785</w:t>
            </w:r>
          </w:p>
        </w:tc>
        <w:tc>
          <w:tcPr>
            <w:tcW w:w="83" w:type="dxa"/>
            <w:tcBorders/>
            <w:shd w:fill="FFFFFF" w:val="clear"/>
            <w:vAlign w:val="center"/>
          </w:tcPr>
          <w:p>
            <w:pPr>
              <w:pStyle w:val="TableContents"/>
              <w:spacing w:before="0" w:after="283"/>
              <w:rPr/>
            </w:pPr>
            <w:r>
              <w:rPr/>
              <w:t> </w:t>
            </w:r>
          </w:p>
        </w:tc>
      </w:tr>
      <w:tr>
        <w:trPr/>
        <w:tc>
          <w:tcPr>
            <w:tcW w:w="79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Goodwill</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829"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273,991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837"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273,991</w:t>
            </w:r>
          </w:p>
        </w:tc>
        <w:tc>
          <w:tcPr>
            <w:tcW w:w="83" w:type="dxa"/>
            <w:tcBorders/>
            <w:shd w:fill="CCEEFF" w:val="clear"/>
            <w:vAlign w:val="center"/>
          </w:tcPr>
          <w:p>
            <w:pPr>
              <w:pStyle w:val="TableContents"/>
              <w:spacing w:before="0" w:after="283"/>
              <w:rPr/>
            </w:pPr>
            <w:r>
              <w:rPr/>
              <w:t> </w:t>
            </w:r>
          </w:p>
        </w:tc>
      </w:tr>
      <w:tr>
        <w:trPr/>
        <w:tc>
          <w:tcPr>
            <w:tcW w:w="7959"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intangible assets, net</w:t>
            </w:r>
          </w:p>
        </w:tc>
        <w:tc>
          <w:tcPr>
            <w:tcW w:w="60" w:type="dxa"/>
            <w:tcBorders/>
            <w:shd w:fill="FFFFFF" w:val="clear"/>
            <w:vAlign w:val="center"/>
          </w:tcPr>
          <w:p>
            <w:pPr>
              <w:pStyle w:val="TableContents"/>
              <w:spacing w:before="0" w:after="283"/>
              <w:rPr/>
            </w:pPr>
            <w:r>
              <w:rPr/>
              <w:t> </w:t>
            </w:r>
          </w:p>
        </w:tc>
        <w:tc>
          <w:tcPr>
            <w:tcW w:w="148" w:type="dxa"/>
            <w:tcBorders/>
            <w:shd w:fill="FFFFFF" w:val="clear"/>
            <w:vAlign w:val="center"/>
          </w:tcPr>
          <w:p>
            <w:pPr>
              <w:pStyle w:val="TableContents"/>
              <w:spacing w:before="0" w:after="283"/>
              <w:rPr/>
            </w:pPr>
            <w:r>
              <w:rPr/>
              <w:t> </w:t>
            </w:r>
          </w:p>
        </w:tc>
        <w:tc>
          <w:tcPr>
            <w:tcW w:w="829"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29,869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9" w:type="dxa"/>
            <w:tcBorders/>
            <w:shd w:fill="FFFFFF" w:val="clear"/>
            <w:vAlign w:val="center"/>
          </w:tcPr>
          <w:p>
            <w:pPr>
              <w:pStyle w:val="TableContents"/>
              <w:spacing w:before="0" w:after="283"/>
              <w:rPr/>
            </w:pPr>
            <w:r>
              <w:rPr/>
              <w:t> </w:t>
            </w:r>
          </w:p>
        </w:tc>
        <w:tc>
          <w:tcPr>
            <w:tcW w:w="837"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31,250</w:t>
            </w:r>
          </w:p>
        </w:tc>
        <w:tc>
          <w:tcPr>
            <w:tcW w:w="83" w:type="dxa"/>
            <w:tcBorders/>
            <w:shd w:fill="FFFFFF" w:val="clear"/>
            <w:vAlign w:val="center"/>
          </w:tcPr>
          <w:p>
            <w:pPr>
              <w:pStyle w:val="TableContents"/>
              <w:spacing w:before="0" w:after="283"/>
              <w:rPr/>
            </w:pPr>
            <w:r>
              <w:rPr/>
              <w:t> </w:t>
            </w:r>
          </w:p>
        </w:tc>
      </w:tr>
      <w:tr>
        <w:trPr/>
        <w:tc>
          <w:tcPr>
            <w:tcW w:w="79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Long-term marketable securities</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829"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19,824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837"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26,419</w:t>
            </w:r>
          </w:p>
        </w:tc>
        <w:tc>
          <w:tcPr>
            <w:tcW w:w="83" w:type="dxa"/>
            <w:tcBorders/>
            <w:shd w:fill="CCEEFF" w:val="clear"/>
            <w:vAlign w:val="center"/>
          </w:tcPr>
          <w:p>
            <w:pPr>
              <w:pStyle w:val="TableContents"/>
              <w:spacing w:before="0" w:after="283"/>
              <w:rPr/>
            </w:pPr>
            <w:r>
              <w:rPr/>
              <w:t> </w:t>
            </w:r>
          </w:p>
        </w:tc>
      </w:tr>
      <w:tr>
        <w:trPr/>
        <w:tc>
          <w:tcPr>
            <w:tcW w:w="7959"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lease assets</w:t>
            </w:r>
          </w:p>
        </w:tc>
        <w:tc>
          <w:tcPr>
            <w:tcW w:w="60" w:type="dxa"/>
            <w:tcBorders/>
            <w:shd w:fill="FFFFFF" w:val="clear"/>
            <w:vAlign w:val="center"/>
          </w:tcPr>
          <w:p>
            <w:pPr>
              <w:pStyle w:val="TableContents"/>
              <w:spacing w:before="0" w:after="283"/>
              <w:rPr/>
            </w:pPr>
            <w:r>
              <w:rPr/>
              <w:t> </w:t>
            </w:r>
          </w:p>
        </w:tc>
        <w:tc>
          <w:tcPr>
            <w:tcW w:w="148" w:type="dxa"/>
            <w:tcBorders/>
            <w:shd w:fill="FFFFFF" w:val="clear"/>
            <w:vAlign w:val="center"/>
          </w:tcPr>
          <w:p>
            <w:pPr>
              <w:pStyle w:val="TableContents"/>
              <w:spacing w:before="0" w:after="283"/>
              <w:rPr/>
            </w:pPr>
            <w:r>
              <w:rPr/>
              <w:t> </w:t>
            </w:r>
          </w:p>
        </w:tc>
        <w:tc>
          <w:tcPr>
            <w:tcW w:w="829"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3,315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9" w:type="dxa"/>
            <w:tcBorders/>
            <w:shd w:fill="FFFFFF" w:val="clear"/>
            <w:vAlign w:val="center"/>
          </w:tcPr>
          <w:p>
            <w:pPr>
              <w:pStyle w:val="TableContents"/>
              <w:spacing w:before="0" w:after="283"/>
              <w:rPr/>
            </w:pPr>
            <w:r>
              <w:rPr/>
              <w:t> </w:t>
            </w:r>
          </w:p>
        </w:tc>
        <w:tc>
          <w:tcPr>
            <w:tcW w:w="837"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3,844</w:t>
            </w:r>
          </w:p>
        </w:tc>
        <w:tc>
          <w:tcPr>
            <w:tcW w:w="83" w:type="dxa"/>
            <w:tcBorders/>
            <w:shd w:fill="FFFFFF" w:val="clear"/>
            <w:vAlign w:val="center"/>
          </w:tcPr>
          <w:p>
            <w:pPr>
              <w:pStyle w:val="TableContents"/>
              <w:spacing w:before="0" w:after="283"/>
              <w:rPr/>
            </w:pPr>
            <w:r>
              <w:rPr/>
              <w:t> </w:t>
            </w:r>
          </w:p>
        </w:tc>
      </w:tr>
      <w:tr>
        <w:trPr/>
        <w:tc>
          <w:tcPr>
            <w:tcW w:w="79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Finance lease assets</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829"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17,266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837"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17,532</w:t>
            </w:r>
          </w:p>
        </w:tc>
        <w:tc>
          <w:tcPr>
            <w:tcW w:w="83" w:type="dxa"/>
            <w:tcBorders/>
            <w:shd w:fill="CCEEFF" w:val="clear"/>
            <w:vAlign w:val="center"/>
          </w:tcPr>
          <w:p>
            <w:pPr>
              <w:pStyle w:val="TableContents"/>
              <w:spacing w:before="0" w:after="283"/>
              <w:ind w:left="0" w:right="0" w:hanging="0"/>
              <w:rPr/>
            </w:pPr>
            <w:r>
              <w:rPr/>
              <w:t> </w:t>
            </w:r>
          </w:p>
        </w:tc>
      </w:tr>
      <w:tr>
        <w:trPr/>
        <w:tc>
          <w:tcPr>
            <w:tcW w:w="7959"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long-term assets</w:t>
            </w:r>
          </w:p>
        </w:tc>
        <w:tc>
          <w:tcPr>
            <w:tcW w:w="60" w:type="dxa"/>
            <w:tcBorders/>
            <w:shd w:fill="FFFFFF" w:val="clear"/>
            <w:vAlign w:val="center"/>
          </w:tcPr>
          <w:p>
            <w:pPr>
              <w:pStyle w:val="TableContents"/>
              <w:spacing w:before="0" w:after="0"/>
              <w:ind w:left="0" w:right="0" w:hanging="0"/>
              <w:rPr/>
            </w:pPr>
            <w:r>
              <w:rPr/>
              <w:t> </w:t>
            </w:r>
          </w:p>
        </w:tc>
        <w:tc>
          <w:tcPr>
            <w:tcW w:w="148"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29"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4,776</w:t>
            </w:r>
          </w:p>
        </w:tc>
        <w:tc>
          <w:tcPr>
            <w:tcW w:w="8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149"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7"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4,779</w:t>
            </w:r>
          </w:p>
        </w:tc>
        <w:tc>
          <w:tcPr>
            <w:tcW w:w="83" w:type="dxa"/>
            <w:tcBorders>
              <w:bottom w:val="single" w:sz="2" w:space="0" w:color="000000"/>
            </w:tcBorders>
            <w:shd w:fill="FFFFFF" w:val="clear"/>
            <w:tcMar>
              <w:bottom w:w="28" w:type="dxa"/>
            </w:tcMar>
            <w:vAlign w:val="center"/>
          </w:tcPr>
          <w:p>
            <w:pPr>
              <w:pStyle w:val="TableContents"/>
              <w:spacing w:before="0" w:after="0"/>
              <w:rPr/>
            </w:pPr>
            <w:r>
              <w:rPr/>
              <w:t> </w:t>
            </w:r>
          </w:p>
        </w:tc>
      </w:tr>
      <w:tr>
        <w:trPr/>
        <w:tc>
          <w:tcPr>
            <w:tcW w:w="7959" w:type="dxa"/>
            <w:tcBorders/>
            <w:shd w:fill="CCEEFF" w:val="clear"/>
            <w:vAlign w:val="center"/>
          </w:tcPr>
          <w:p>
            <w:pPr>
              <w:pStyle w:val="TableContents"/>
              <w:spacing w:before="0" w:after="0"/>
              <w:ind w:left="720" w:right="0" w:hanging="0"/>
              <w:rPr>
                <w:rFonts w:ascii="Times New Roman;Times;serif" w:hAnsi="Times New Roman;Times;serif"/>
                <w:sz w:val="20"/>
              </w:rPr>
            </w:pPr>
            <w:r>
              <w:rPr>
                <w:rFonts w:ascii="Times New Roman;Times;serif" w:hAnsi="Times New Roman;Times;serif"/>
                <w:sz w:val="20"/>
              </w:rPr>
              <w:t>Total assets</w:t>
            </w:r>
          </w:p>
        </w:tc>
        <w:tc>
          <w:tcPr>
            <w:tcW w:w="60" w:type="dxa"/>
            <w:tcBorders/>
            <w:shd w:fill="CCEEFF" w:val="clear"/>
            <w:vAlign w:val="center"/>
          </w:tcPr>
          <w:p>
            <w:pPr>
              <w:pStyle w:val="TableContents"/>
              <w:spacing w:before="0" w:after="283"/>
              <w:ind w:left="0" w:right="0" w:hanging="0"/>
              <w:rPr/>
            </w:pPr>
            <w:r>
              <w:rPr/>
              <w:t> </w:t>
            </w:r>
          </w:p>
        </w:tc>
        <w:tc>
          <w:tcPr>
            <w:tcW w:w="14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82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791,373</w:t>
            </w:r>
          </w:p>
        </w:tc>
        <w:tc>
          <w:tcPr>
            <w:tcW w:w="8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4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837"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802,168</w:t>
            </w:r>
          </w:p>
        </w:tc>
        <w:tc>
          <w:tcPr>
            <w:tcW w:w="83" w:type="dxa"/>
            <w:tcBorders>
              <w:bottom w:val="double" w:sz="6" w:space="0" w:color="000000"/>
            </w:tcBorders>
            <w:shd w:fill="CCEEFF" w:val="clear"/>
            <w:tcMar>
              <w:bottom w:w="28" w:type="dxa"/>
            </w:tcMar>
            <w:vAlign w:val="center"/>
          </w:tcPr>
          <w:p>
            <w:pPr>
              <w:pStyle w:val="TableContents"/>
              <w:spacing w:before="0" w:after="283"/>
              <w:rPr/>
            </w:pPr>
            <w:r>
              <w:rPr/>
              <w:t> </w:t>
            </w:r>
          </w:p>
        </w:tc>
      </w:tr>
      <w:tr>
        <w:trPr/>
        <w:tc>
          <w:tcPr>
            <w:tcW w:w="7959"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8" w:type="dxa"/>
            <w:tcBorders/>
            <w:shd w:fill="FFFFFF" w:val="clear"/>
            <w:vAlign w:val="center"/>
          </w:tcPr>
          <w:p>
            <w:pPr>
              <w:pStyle w:val="TableContents"/>
              <w:spacing w:before="0" w:after="283"/>
              <w:rPr/>
            </w:pPr>
            <w:r>
              <w:rPr/>
              <w:t> </w:t>
            </w:r>
          </w:p>
        </w:tc>
        <w:tc>
          <w:tcPr>
            <w:tcW w:w="829"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9" w:type="dxa"/>
            <w:tcBorders/>
            <w:shd w:fill="FFFFFF" w:val="clear"/>
            <w:vAlign w:val="center"/>
          </w:tcPr>
          <w:p>
            <w:pPr>
              <w:pStyle w:val="TableContents"/>
              <w:spacing w:before="0" w:after="283"/>
              <w:rPr/>
            </w:pPr>
            <w:r>
              <w:rPr/>
              <w:t> </w:t>
            </w:r>
          </w:p>
        </w:tc>
        <w:tc>
          <w:tcPr>
            <w:tcW w:w="837"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rPr/>
            </w:pPr>
            <w:r>
              <w:rPr/>
              <w:t> </w:t>
            </w:r>
          </w:p>
        </w:tc>
      </w:tr>
      <w:tr>
        <w:trPr/>
        <w:tc>
          <w:tcPr>
            <w:tcW w:w="7959"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Liabilities and shareholders' equity</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829" w:type="dxa"/>
            <w:tcBorders/>
            <w:shd w:fill="CCEEFF" w:val="clear"/>
            <w:vAlign w:val="center"/>
          </w:tcPr>
          <w:p>
            <w:pPr>
              <w:pStyle w:val="TableContents"/>
              <w:spacing w:before="0" w:after="283"/>
              <w:jc w:val="left"/>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837" w:type="dxa"/>
            <w:tcBorders/>
            <w:shd w:fill="CCEEFF" w:val="clear"/>
            <w:vAlign w:val="center"/>
          </w:tcPr>
          <w:p>
            <w:pPr>
              <w:pStyle w:val="TableContents"/>
              <w:spacing w:before="0" w:after="283"/>
              <w:jc w:val="left"/>
              <w:rPr/>
            </w:pPr>
            <w:r>
              <w:rPr/>
              <w:t> </w:t>
            </w:r>
          </w:p>
        </w:tc>
        <w:tc>
          <w:tcPr>
            <w:tcW w:w="83" w:type="dxa"/>
            <w:tcBorders/>
            <w:shd w:fill="CCEEFF" w:val="clear"/>
            <w:vAlign w:val="center"/>
          </w:tcPr>
          <w:p>
            <w:pPr>
              <w:pStyle w:val="TableContents"/>
              <w:spacing w:before="0" w:after="283"/>
              <w:rPr/>
            </w:pPr>
            <w:r>
              <w:rPr/>
              <w:t> </w:t>
            </w:r>
          </w:p>
        </w:tc>
      </w:tr>
      <w:tr>
        <w:trPr/>
        <w:tc>
          <w:tcPr>
            <w:tcW w:w="7959"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liabilities</w:t>
            </w:r>
          </w:p>
        </w:tc>
        <w:tc>
          <w:tcPr>
            <w:tcW w:w="60" w:type="dxa"/>
            <w:tcBorders/>
            <w:shd w:fill="FFFFFF" w:val="clear"/>
            <w:vAlign w:val="center"/>
          </w:tcPr>
          <w:p>
            <w:pPr>
              <w:pStyle w:val="TableContents"/>
              <w:spacing w:before="0" w:after="283"/>
              <w:rPr/>
            </w:pPr>
            <w:r>
              <w:rPr/>
              <w:t> </w:t>
            </w:r>
          </w:p>
        </w:tc>
        <w:tc>
          <w:tcPr>
            <w:tcW w:w="148" w:type="dxa"/>
            <w:tcBorders/>
            <w:shd w:fill="FFFFFF" w:val="clear"/>
            <w:vAlign w:val="center"/>
          </w:tcPr>
          <w:p>
            <w:pPr>
              <w:pStyle w:val="TableContents"/>
              <w:spacing w:before="0" w:after="283"/>
              <w:rPr/>
            </w:pPr>
            <w:r>
              <w:rPr/>
              <w:t> </w:t>
            </w:r>
          </w:p>
        </w:tc>
        <w:tc>
          <w:tcPr>
            <w:tcW w:w="829" w:type="dxa"/>
            <w:tcBorders/>
            <w:shd w:fill="FFFFFF" w:val="clear"/>
            <w:vAlign w:val="center"/>
          </w:tcPr>
          <w:p>
            <w:pPr>
              <w:pStyle w:val="TableContents"/>
              <w:spacing w:before="0" w:after="283"/>
              <w:jc w:val="left"/>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9" w:type="dxa"/>
            <w:tcBorders/>
            <w:shd w:fill="FFFFFF" w:val="clear"/>
            <w:vAlign w:val="center"/>
          </w:tcPr>
          <w:p>
            <w:pPr>
              <w:pStyle w:val="TableContents"/>
              <w:spacing w:before="0" w:after="283"/>
              <w:rPr/>
            </w:pPr>
            <w:r>
              <w:rPr/>
              <w:t> </w:t>
            </w:r>
          </w:p>
        </w:tc>
        <w:tc>
          <w:tcPr>
            <w:tcW w:w="837" w:type="dxa"/>
            <w:tcBorders/>
            <w:shd w:fill="FFFFFF" w:val="clear"/>
            <w:vAlign w:val="center"/>
          </w:tcPr>
          <w:p>
            <w:pPr>
              <w:pStyle w:val="TableContents"/>
              <w:spacing w:before="0" w:after="283"/>
              <w:jc w:val="left"/>
              <w:rPr/>
            </w:pPr>
            <w:r>
              <w:rPr/>
              <w:t> </w:t>
            </w:r>
          </w:p>
        </w:tc>
        <w:tc>
          <w:tcPr>
            <w:tcW w:w="83" w:type="dxa"/>
            <w:tcBorders/>
            <w:shd w:fill="FFFFFF" w:val="clear"/>
            <w:vAlign w:val="center"/>
          </w:tcPr>
          <w:p>
            <w:pPr>
              <w:pStyle w:val="TableContents"/>
              <w:spacing w:before="0" w:after="283"/>
              <w:rPr/>
            </w:pPr>
            <w:r>
              <w:rPr/>
              <w:t> </w:t>
            </w:r>
          </w:p>
        </w:tc>
      </w:tr>
      <w:tr>
        <w:trPr/>
        <w:tc>
          <w:tcPr>
            <w:tcW w:w="7959" w:type="dxa"/>
            <w:tcBorders/>
            <w:shd w:fill="CCEEFF" w:val="cle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Accounts payable</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29"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19,854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37"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17,356</w:t>
            </w:r>
          </w:p>
        </w:tc>
        <w:tc>
          <w:tcPr>
            <w:tcW w:w="83" w:type="dxa"/>
            <w:tcBorders/>
            <w:shd w:fill="CCEEFF" w:val="clear"/>
            <w:vAlign w:val="center"/>
          </w:tcPr>
          <w:p>
            <w:pPr>
              <w:pStyle w:val="TableContents"/>
              <w:spacing w:before="0" w:after="283"/>
              <w:rPr/>
            </w:pPr>
            <w:r>
              <w:rPr/>
              <w:t> </w:t>
            </w:r>
          </w:p>
        </w:tc>
      </w:tr>
      <w:tr>
        <w:trPr/>
        <w:tc>
          <w:tcPr>
            <w:tcW w:w="7959" w:type="dxa"/>
            <w:tcBorders/>
            <w:shd w:fill="FFFFFF" w:val="cle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Accrued compensation</w:t>
            </w:r>
          </w:p>
        </w:tc>
        <w:tc>
          <w:tcPr>
            <w:tcW w:w="60" w:type="dxa"/>
            <w:tcBorders/>
            <w:shd w:fill="FFFFFF" w:val="clear"/>
            <w:vAlign w:val="center"/>
          </w:tcPr>
          <w:p>
            <w:pPr>
              <w:pStyle w:val="TableContents"/>
              <w:spacing w:before="0" w:after="283"/>
              <w:rPr/>
            </w:pPr>
            <w:r>
              <w:rPr/>
              <w:t> </w:t>
            </w:r>
          </w:p>
        </w:tc>
        <w:tc>
          <w:tcPr>
            <w:tcW w:w="148" w:type="dxa"/>
            <w:tcBorders/>
            <w:shd w:fill="FFFFFF" w:val="clear"/>
            <w:vAlign w:val="center"/>
          </w:tcPr>
          <w:p>
            <w:pPr>
              <w:pStyle w:val="TableContents"/>
              <w:spacing w:before="0" w:after="283"/>
              <w:rPr/>
            </w:pPr>
            <w:r>
              <w:rPr/>
              <w:t> </w:t>
            </w:r>
          </w:p>
        </w:tc>
        <w:tc>
          <w:tcPr>
            <w:tcW w:w="829"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14,695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9" w:type="dxa"/>
            <w:tcBorders/>
            <w:shd w:fill="FFFFFF" w:val="clear"/>
            <w:vAlign w:val="center"/>
          </w:tcPr>
          <w:p>
            <w:pPr>
              <w:pStyle w:val="TableContents"/>
              <w:spacing w:before="0" w:after="283"/>
              <w:rPr/>
            </w:pPr>
            <w:r>
              <w:rPr/>
              <w:t> </w:t>
            </w:r>
          </w:p>
        </w:tc>
        <w:tc>
          <w:tcPr>
            <w:tcW w:w="837"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12,743</w:t>
            </w:r>
          </w:p>
        </w:tc>
        <w:tc>
          <w:tcPr>
            <w:tcW w:w="83" w:type="dxa"/>
            <w:tcBorders/>
            <w:shd w:fill="FFFFFF" w:val="clear"/>
            <w:vAlign w:val="center"/>
          </w:tcPr>
          <w:p>
            <w:pPr>
              <w:pStyle w:val="TableContents"/>
              <w:spacing w:before="0" w:after="283"/>
              <w:rPr/>
            </w:pPr>
            <w:r>
              <w:rPr/>
              <w:t> </w:t>
            </w:r>
          </w:p>
        </w:tc>
      </w:tr>
      <w:tr>
        <w:trPr/>
        <w:tc>
          <w:tcPr>
            <w:tcW w:w="7959" w:type="dxa"/>
            <w:tcBorders/>
            <w:shd w:fill="CCEEFF" w:val="cle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Accrued liabilities and other</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829"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23,156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837"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22,384</w:t>
            </w:r>
          </w:p>
        </w:tc>
        <w:tc>
          <w:tcPr>
            <w:tcW w:w="83" w:type="dxa"/>
            <w:tcBorders/>
            <w:shd w:fill="CCEEFF" w:val="clear"/>
            <w:vAlign w:val="center"/>
          </w:tcPr>
          <w:p>
            <w:pPr>
              <w:pStyle w:val="TableContents"/>
              <w:spacing w:before="0" w:after="283"/>
              <w:rPr/>
            </w:pPr>
            <w:r>
              <w:rPr/>
              <w:t> </w:t>
            </w:r>
          </w:p>
        </w:tc>
      </w:tr>
      <w:tr>
        <w:trPr/>
        <w:tc>
          <w:tcPr>
            <w:tcW w:w="7959" w:type="dxa"/>
            <w:tcBorders/>
            <w:shd w:fill="FFFFFF" w:val="cle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Current operating lease liabilities</w:t>
            </w:r>
          </w:p>
        </w:tc>
        <w:tc>
          <w:tcPr>
            <w:tcW w:w="60" w:type="dxa"/>
            <w:tcBorders/>
            <w:shd w:fill="FFFFFF" w:val="clear"/>
            <w:vAlign w:val="center"/>
          </w:tcPr>
          <w:p>
            <w:pPr>
              <w:pStyle w:val="TableContents"/>
              <w:spacing w:before="0" w:after="283"/>
              <w:ind w:left="0" w:right="0" w:hanging="0"/>
              <w:rPr/>
            </w:pPr>
            <w:r>
              <w:rPr/>
              <w:t> </w:t>
            </w:r>
          </w:p>
        </w:tc>
        <w:tc>
          <w:tcPr>
            <w:tcW w:w="148" w:type="dxa"/>
            <w:tcBorders/>
            <w:shd w:fill="FFFFFF" w:val="clear"/>
            <w:vAlign w:val="center"/>
          </w:tcPr>
          <w:p>
            <w:pPr>
              <w:pStyle w:val="TableContents"/>
              <w:spacing w:before="0" w:after="0"/>
              <w:ind w:left="0" w:right="0" w:hanging="0"/>
              <w:rPr/>
            </w:pPr>
            <w:r>
              <w:rPr/>
              <w:t> </w:t>
            </w:r>
          </w:p>
        </w:tc>
        <w:tc>
          <w:tcPr>
            <w:tcW w:w="829"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1,295</w:t>
            </w:r>
          </w:p>
        </w:tc>
        <w:tc>
          <w:tcPr>
            <w:tcW w:w="80" w:type="dxa"/>
            <w:tcBorders/>
            <w:shd w:fill="FFFFFF" w:val="clear"/>
            <w:vAlign w:val="center"/>
          </w:tcPr>
          <w:p>
            <w:pPr>
              <w:pStyle w:val="TableContents"/>
              <w:spacing w:before="0" w:after="0"/>
              <w:rPr/>
            </w:pPr>
            <w:r>
              <w:rPr/>
              <w:t> </w:t>
            </w:r>
          </w:p>
        </w:tc>
        <w:tc>
          <w:tcPr>
            <w:tcW w:w="60" w:type="dxa"/>
            <w:tcBorders/>
            <w:shd w:fill="FFFFFF" w:val="clear"/>
            <w:vAlign w:val="center"/>
          </w:tcPr>
          <w:p>
            <w:pPr>
              <w:pStyle w:val="TableContents"/>
              <w:spacing w:before="0" w:after="283"/>
              <w:ind w:left="0" w:right="0" w:hanging="0"/>
              <w:rPr/>
            </w:pPr>
            <w:r>
              <w:rPr/>
              <w:t> </w:t>
            </w:r>
          </w:p>
        </w:tc>
        <w:tc>
          <w:tcPr>
            <w:tcW w:w="149" w:type="dxa"/>
            <w:tcBorders/>
            <w:shd w:fill="FFFFFF" w:val="clear"/>
            <w:vAlign w:val="center"/>
          </w:tcPr>
          <w:p>
            <w:pPr>
              <w:pStyle w:val="TableContents"/>
              <w:spacing w:before="0" w:after="0"/>
              <w:ind w:left="0" w:right="0" w:hanging="0"/>
              <w:rPr/>
            </w:pPr>
            <w:r>
              <w:rPr/>
              <w:t> </w:t>
            </w:r>
          </w:p>
        </w:tc>
        <w:tc>
          <w:tcPr>
            <w:tcW w:w="837"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1,561</w:t>
            </w:r>
          </w:p>
        </w:tc>
        <w:tc>
          <w:tcPr>
            <w:tcW w:w="83" w:type="dxa"/>
            <w:tcBorders/>
            <w:shd w:fill="FFFFFF" w:val="clear"/>
            <w:vAlign w:val="center"/>
          </w:tcPr>
          <w:p>
            <w:pPr>
              <w:pStyle w:val="TableContents"/>
              <w:spacing w:before="0" w:after="0"/>
              <w:rPr/>
            </w:pPr>
            <w:r>
              <w:rPr/>
              <w:t> </w:t>
            </w:r>
          </w:p>
        </w:tc>
      </w:tr>
      <w:tr>
        <w:trPr/>
        <w:tc>
          <w:tcPr>
            <w:tcW w:w="7959" w:type="dxa"/>
            <w:tcBorders/>
            <w:shd w:fill="CCEEFF" w:val="cle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Current finance lease liabilities</w:t>
            </w:r>
          </w:p>
        </w:tc>
        <w:tc>
          <w:tcPr>
            <w:tcW w:w="60" w:type="dxa"/>
            <w:tcBorders/>
            <w:shd w:fill="CCEEFF" w:val="clear"/>
            <w:vAlign w:val="center"/>
          </w:tcPr>
          <w:p>
            <w:pPr>
              <w:pStyle w:val="TableContents"/>
              <w:spacing w:before="0" w:after="283"/>
              <w:ind w:left="0" w:right="0" w:hanging="0"/>
              <w:rPr/>
            </w:pPr>
            <w:r>
              <w:rPr/>
              <w:t> </w:t>
            </w:r>
          </w:p>
        </w:tc>
        <w:tc>
          <w:tcPr>
            <w:tcW w:w="148" w:type="dxa"/>
            <w:tcBorders/>
            <w:shd w:fill="CCEEFF" w:val="clear"/>
            <w:vAlign w:val="center"/>
          </w:tcPr>
          <w:p>
            <w:pPr>
              <w:pStyle w:val="TableContents"/>
              <w:spacing w:before="0" w:after="0"/>
              <w:ind w:left="0" w:right="0" w:hanging="0"/>
              <w:rPr/>
            </w:pPr>
            <w:r>
              <w:rPr/>
              <w:t> </w:t>
            </w:r>
          </w:p>
        </w:tc>
        <w:tc>
          <w:tcPr>
            <w:tcW w:w="8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17,452</w:t>
            </w:r>
          </w:p>
        </w:tc>
        <w:tc>
          <w:tcPr>
            <w:tcW w:w="80" w:type="dxa"/>
            <w:tcBorders/>
            <w:shd w:fill="CCEEFF" w:val="clear"/>
            <w:vAlign w:val="center"/>
          </w:tcPr>
          <w:p>
            <w:pPr>
              <w:pStyle w:val="TableContents"/>
              <w:spacing w:before="0" w:after="0"/>
              <w:rPr/>
            </w:pPr>
            <w:r>
              <w:rPr/>
              <w:t> </w:t>
            </w:r>
          </w:p>
        </w:tc>
        <w:tc>
          <w:tcPr>
            <w:tcW w:w="60" w:type="dxa"/>
            <w:tcBorders/>
            <w:shd w:fill="CCEEFF" w:val="clear"/>
            <w:vAlign w:val="center"/>
          </w:tcPr>
          <w:p>
            <w:pPr>
              <w:pStyle w:val="TableContents"/>
              <w:spacing w:before="0" w:after="283"/>
              <w:ind w:left="0" w:right="0" w:hanging="0"/>
              <w:rPr/>
            </w:pPr>
            <w:r>
              <w:rPr/>
              <w:t> </w:t>
            </w:r>
          </w:p>
        </w:tc>
        <w:tc>
          <w:tcPr>
            <w:tcW w:w="149" w:type="dxa"/>
            <w:tcBorders/>
            <w:shd w:fill="CCEEFF" w:val="clear"/>
            <w:vAlign w:val="center"/>
          </w:tcPr>
          <w:p>
            <w:pPr>
              <w:pStyle w:val="TableContents"/>
              <w:spacing w:before="0" w:after="0"/>
              <w:ind w:left="0" w:right="0" w:hanging="0"/>
              <w:rPr/>
            </w:pPr>
            <w:r>
              <w:rPr/>
              <w:t> </w:t>
            </w:r>
          </w:p>
        </w:tc>
        <w:tc>
          <w:tcPr>
            <w:tcW w:w="83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17,537</w:t>
            </w:r>
          </w:p>
        </w:tc>
        <w:tc>
          <w:tcPr>
            <w:tcW w:w="83" w:type="dxa"/>
            <w:tcBorders/>
            <w:shd w:fill="CCEEFF" w:val="clear"/>
            <w:vAlign w:val="center"/>
          </w:tcPr>
          <w:p>
            <w:pPr>
              <w:pStyle w:val="TableContents"/>
              <w:spacing w:before="0" w:after="0"/>
              <w:rPr/>
            </w:pPr>
            <w:r>
              <w:rPr/>
              <w:t> </w:t>
            </w:r>
          </w:p>
        </w:tc>
      </w:tr>
      <w:tr>
        <w:trPr/>
        <w:tc>
          <w:tcPr>
            <w:tcW w:w="7959" w:type="dxa"/>
            <w:tcBorders/>
            <w:shd w:fill="FFFFFF" w:val="cle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Income taxes payable</w:t>
            </w:r>
          </w:p>
        </w:tc>
        <w:tc>
          <w:tcPr>
            <w:tcW w:w="60" w:type="dxa"/>
            <w:tcBorders/>
            <w:shd w:fill="FFFFFF" w:val="clear"/>
            <w:vAlign w:val="center"/>
          </w:tcPr>
          <w:p>
            <w:pPr>
              <w:pStyle w:val="TableContents"/>
              <w:spacing w:before="0" w:after="283"/>
              <w:ind w:left="0" w:right="0" w:hanging="0"/>
              <w:rPr/>
            </w:pPr>
            <w:r>
              <w:rPr/>
              <w:t> </w:t>
            </w:r>
          </w:p>
        </w:tc>
        <w:tc>
          <w:tcPr>
            <w:tcW w:w="148"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29"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1,928</w:t>
            </w:r>
          </w:p>
        </w:tc>
        <w:tc>
          <w:tcPr>
            <w:tcW w:w="80" w:type="dxa"/>
            <w:tcBorders>
              <w:bottom w:val="single" w:sz="2" w:space="0" w:color="000000"/>
            </w:tcBorders>
            <w:shd w:fill="FFFFFF" w:val="clear"/>
            <w:tcMar>
              <w:bottom w:w="28" w:type="dxa"/>
            </w:tcMar>
            <w:vAlign w:val="center"/>
          </w:tcPr>
          <w:p>
            <w:pPr>
              <w:pStyle w:val="TableContents"/>
              <w:spacing w:before="0" w:after="0"/>
              <w:rPr/>
            </w:pPr>
            <w:r>
              <w:rPr/>
              <w:t> </w:t>
            </w:r>
          </w:p>
        </w:tc>
        <w:tc>
          <w:tcPr>
            <w:tcW w:w="60" w:type="dxa"/>
            <w:tcBorders/>
            <w:shd w:fill="FFFFFF" w:val="clear"/>
            <w:vAlign w:val="center"/>
          </w:tcPr>
          <w:p>
            <w:pPr>
              <w:pStyle w:val="TableContents"/>
              <w:spacing w:before="0" w:after="283"/>
              <w:ind w:left="0" w:right="0" w:hanging="0"/>
              <w:rPr/>
            </w:pPr>
            <w:r>
              <w:rPr/>
              <w:t> </w:t>
            </w:r>
          </w:p>
        </w:tc>
        <w:tc>
          <w:tcPr>
            <w:tcW w:w="149"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7"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bottom w:val="single" w:sz="2" w:space="0" w:color="000000"/>
            </w:tcBorders>
            <w:shd w:fill="FFFFFF" w:val="clear"/>
            <w:tcMar>
              <w:bottom w:w="28" w:type="dxa"/>
            </w:tcMar>
            <w:vAlign w:val="center"/>
          </w:tcPr>
          <w:p>
            <w:pPr>
              <w:pStyle w:val="TableContents"/>
              <w:spacing w:before="0" w:after="0"/>
              <w:rPr/>
            </w:pPr>
            <w:r>
              <w:rPr/>
              <w:t> </w:t>
            </w:r>
          </w:p>
        </w:tc>
      </w:tr>
      <w:tr>
        <w:trPr/>
        <w:tc>
          <w:tcPr>
            <w:tcW w:w="7959" w:type="dxa"/>
            <w:tcBorders/>
            <w:shd w:fill="CCEEFF" w:val="clear"/>
            <w:vAlign w:val="center"/>
          </w:tcPr>
          <w:p>
            <w:pPr>
              <w:pStyle w:val="TableContents"/>
              <w:spacing w:before="0" w:after="0"/>
              <w:ind w:left="720" w:right="0" w:hanging="0"/>
              <w:rPr>
                <w:rFonts w:ascii="Times New Roman;Times;serif" w:hAnsi="Times New Roman;Times;serif"/>
                <w:sz w:val="20"/>
              </w:rPr>
            </w:pPr>
            <w:r>
              <w:rPr>
                <w:rFonts w:ascii="Times New Roman;Times;serif" w:hAnsi="Times New Roman;Times;serif"/>
                <w:sz w:val="20"/>
              </w:rPr>
              <w:t>Total current liabilities</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ind w:left="0" w:right="0" w:hanging="0"/>
              <w:rPr/>
            </w:pPr>
            <w:r>
              <w:rPr/>
              <w:t> </w:t>
            </w:r>
          </w:p>
        </w:tc>
        <w:tc>
          <w:tcPr>
            <w:tcW w:w="829"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78,380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ind w:left="0" w:right="0" w:hanging="0"/>
              <w:rPr/>
            </w:pPr>
            <w:r>
              <w:rPr/>
              <w:t> </w:t>
            </w:r>
          </w:p>
        </w:tc>
        <w:tc>
          <w:tcPr>
            <w:tcW w:w="837"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71,581</w:t>
            </w:r>
          </w:p>
        </w:tc>
        <w:tc>
          <w:tcPr>
            <w:tcW w:w="83" w:type="dxa"/>
            <w:tcBorders/>
            <w:shd w:fill="CCEEFF" w:val="clear"/>
            <w:vAlign w:val="center"/>
          </w:tcPr>
          <w:p>
            <w:pPr>
              <w:pStyle w:val="TableContents"/>
              <w:spacing w:before="0" w:after="283"/>
              <w:rPr/>
            </w:pPr>
            <w:r>
              <w:rPr/>
              <w:t> </w:t>
            </w:r>
          </w:p>
        </w:tc>
      </w:tr>
      <w:tr>
        <w:trPr/>
        <w:tc>
          <w:tcPr>
            <w:tcW w:w="7959"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Long-term operating lease liabilities</w:t>
            </w:r>
          </w:p>
        </w:tc>
        <w:tc>
          <w:tcPr>
            <w:tcW w:w="60" w:type="dxa"/>
            <w:tcBorders/>
            <w:shd w:fill="FFFFFF" w:val="clear"/>
            <w:vAlign w:val="center"/>
          </w:tcPr>
          <w:p>
            <w:pPr>
              <w:pStyle w:val="TableContents"/>
              <w:spacing w:before="0" w:after="283"/>
              <w:rPr/>
            </w:pPr>
            <w:r>
              <w:rPr/>
              <w:t> </w:t>
            </w:r>
          </w:p>
        </w:tc>
        <w:tc>
          <w:tcPr>
            <w:tcW w:w="148" w:type="dxa"/>
            <w:tcBorders/>
            <w:shd w:fill="FFFFFF" w:val="clear"/>
            <w:vAlign w:val="center"/>
          </w:tcPr>
          <w:p>
            <w:pPr>
              <w:pStyle w:val="TableContents"/>
              <w:spacing w:before="0" w:after="283"/>
              <w:rPr/>
            </w:pPr>
            <w:r>
              <w:rPr/>
              <w:t> </w:t>
            </w:r>
          </w:p>
        </w:tc>
        <w:tc>
          <w:tcPr>
            <w:tcW w:w="829"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1,983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9" w:type="dxa"/>
            <w:tcBorders/>
            <w:shd w:fill="FFFFFF" w:val="clear"/>
            <w:vAlign w:val="center"/>
          </w:tcPr>
          <w:p>
            <w:pPr>
              <w:pStyle w:val="TableContents"/>
              <w:spacing w:before="0" w:after="283"/>
              <w:rPr/>
            </w:pPr>
            <w:r>
              <w:rPr/>
              <w:t> </w:t>
            </w:r>
          </w:p>
        </w:tc>
        <w:tc>
          <w:tcPr>
            <w:tcW w:w="837"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2,255</w:t>
            </w:r>
          </w:p>
        </w:tc>
        <w:tc>
          <w:tcPr>
            <w:tcW w:w="83" w:type="dxa"/>
            <w:tcBorders/>
            <w:shd w:fill="FFFFFF" w:val="clear"/>
            <w:vAlign w:val="center"/>
          </w:tcPr>
          <w:p>
            <w:pPr>
              <w:pStyle w:val="TableContents"/>
              <w:spacing w:before="0" w:after="283"/>
              <w:rPr/>
            </w:pPr>
            <w:r>
              <w:rPr/>
              <w:t> </w:t>
            </w:r>
          </w:p>
        </w:tc>
      </w:tr>
      <w:tr>
        <w:trPr/>
        <w:tc>
          <w:tcPr>
            <w:tcW w:w="79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Long-term deferred tax liabilities</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829"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23,258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837"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26,322</w:t>
            </w:r>
          </w:p>
        </w:tc>
        <w:tc>
          <w:tcPr>
            <w:tcW w:w="83" w:type="dxa"/>
            <w:tcBorders/>
            <w:shd w:fill="CCEEFF" w:val="clear"/>
            <w:vAlign w:val="center"/>
          </w:tcPr>
          <w:p>
            <w:pPr>
              <w:pStyle w:val="TableContents"/>
              <w:spacing w:before="0" w:after="283"/>
              <w:rPr/>
            </w:pPr>
            <w:r>
              <w:rPr/>
              <w:t> </w:t>
            </w:r>
          </w:p>
        </w:tc>
      </w:tr>
      <w:tr>
        <w:trPr/>
        <w:tc>
          <w:tcPr>
            <w:tcW w:w="7959"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long-term liabilities</w:t>
            </w:r>
          </w:p>
        </w:tc>
        <w:tc>
          <w:tcPr>
            <w:tcW w:w="60" w:type="dxa"/>
            <w:tcBorders/>
            <w:shd w:fill="FFFFFF" w:val="clear"/>
            <w:vAlign w:val="center"/>
          </w:tcPr>
          <w:p>
            <w:pPr>
              <w:pStyle w:val="TableContents"/>
              <w:spacing w:before="0" w:after="283"/>
              <w:ind w:left="0" w:right="0" w:hanging="0"/>
              <w:rPr/>
            </w:pPr>
            <w:r>
              <w:rPr/>
              <w:t> </w:t>
            </w:r>
          </w:p>
        </w:tc>
        <w:tc>
          <w:tcPr>
            <w:tcW w:w="148"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29"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4,615</w:t>
            </w:r>
          </w:p>
        </w:tc>
        <w:tc>
          <w:tcPr>
            <w:tcW w:w="80" w:type="dxa"/>
            <w:tcBorders>
              <w:bottom w:val="single" w:sz="2" w:space="0" w:color="000000"/>
            </w:tcBorders>
            <w:shd w:fill="FFFFFF" w:val="clear"/>
            <w:tcMar>
              <w:bottom w:w="28" w:type="dxa"/>
            </w:tcMar>
            <w:vAlign w:val="center"/>
          </w:tcPr>
          <w:p>
            <w:pPr>
              <w:pStyle w:val="TableContents"/>
              <w:spacing w:before="0" w:after="0"/>
              <w:rPr/>
            </w:pPr>
            <w:r>
              <w:rPr/>
              <w:t> </w:t>
            </w:r>
          </w:p>
        </w:tc>
        <w:tc>
          <w:tcPr>
            <w:tcW w:w="60" w:type="dxa"/>
            <w:tcBorders/>
            <w:shd w:fill="FFFFFF" w:val="clear"/>
            <w:vAlign w:val="center"/>
          </w:tcPr>
          <w:p>
            <w:pPr>
              <w:pStyle w:val="TableContents"/>
              <w:spacing w:before="0" w:after="283"/>
              <w:ind w:left="0" w:right="0" w:hanging="0"/>
              <w:rPr/>
            </w:pPr>
            <w:r>
              <w:rPr/>
              <w:t> </w:t>
            </w:r>
          </w:p>
        </w:tc>
        <w:tc>
          <w:tcPr>
            <w:tcW w:w="149"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7"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4,362</w:t>
            </w:r>
          </w:p>
        </w:tc>
        <w:tc>
          <w:tcPr>
            <w:tcW w:w="83" w:type="dxa"/>
            <w:tcBorders>
              <w:bottom w:val="single" w:sz="2" w:space="0" w:color="000000"/>
            </w:tcBorders>
            <w:shd w:fill="FFFFFF" w:val="clear"/>
            <w:tcMar>
              <w:bottom w:w="28" w:type="dxa"/>
            </w:tcMar>
            <w:vAlign w:val="center"/>
          </w:tcPr>
          <w:p>
            <w:pPr>
              <w:pStyle w:val="TableContents"/>
              <w:spacing w:before="0" w:after="0"/>
              <w:rPr/>
            </w:pPr>
            <w:r>
              <w:rPr/>
              <w:t> </w:t>
            </w:r>
          </w:p>
        </w:tc>
      </w:tr>
      <w:tr>
        <w:trPr/>
        <w:tc>
          <w:tcPr>
            <w:tcW w:w="7959" w:type="dxa"/>
            <w:tcBorders/>
            <w:shd w:fill="CCEEFF" w:val="clear"/>
            <w:vAlign w:val="center"/>
          </w:tcPr>
          <w:p>
            <w:pPr>
              <w:pStyle w:val="TableContents"/>
              <w:spacing w:before="0" w:after="0"/>
              <w:ind w:left="720" w:right="0" w:hanging="0"/>
              <w:rPr>
                <w:rFonts w:ascii="Times New Roman;Times;serif" w:hAnsi="Times New Roman;Times;serif"/>
                <w:sz w:val="20"/>
              </w:rPr>
            </w:pPr>
            <w:r>
              <w:rPr>
                <w:rFonts w:ascii="Times New Roman;Times;serif" w:hAnsi="Times New Roman;Times;serif"/>
                <w:sz w:val="20"/>
              </w:rPr>
              <w:t>Total liabilities</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ind w:left="0" w:right="0" w:hanging="0"/>
              <w:rPr/>
            </w:pPr>
            <w:r>
              <w:rPr/>
              <w:t> </w:t>
            </w:r>
          </w:p>
        </w:tc>
        <w:tc>
          <w:tcPr>
            <w:tcW w:w="829"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108,236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ind w:left="0" w:right="0" w:hanging="0"/>
              <w:rPr/>
            </w:pPr>
            <w:r>
              <w:rPr/>
              <w:t> </w:t>
            </w:r>
          </w:p>
        </w:tc>
        <w:tc>
          <w:tcPr>
            <w:tcW w:w="837"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104,520</w:t>
            </w:r>
          </w:p>
        </w:tc>
        <w:tc>
          <w:tcPr>
            <w:tcW w:w="83" w:type="dxa"/>
            <w:tcBorders/>
            <w:shd w:fill="CCEEFF" w:val="clear"/>
            <w:vAlign w:val="center"/>
          </w:tcPr>
          <w:p>
            <w:pPr>
              <w:pStyle w:val="TableContents"/>
              <w:spacing w:before="0" w:after="283"/>
              <w:rPr/>
            </w:pPr>
            <w:r>
              <w:rPr/>
              <w:t> </w:t>
            </w:r>
          </w:p>
        </w:tc>
      </w:tr>
      <w:tr>
        <w:trPr/>
        <w:tc>
          <w:tcPr>
            <w:tcW w:w="7959"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8" w:type="dxa"/>
            <w:tcBorders/>
            <w:shd w:fill="FFFFFF" w:val="clear"/>
            <w:vAlign w:val="center"/>
          </w:tcPr>
          <w:p>
            <w:pPr>
              <w:pStyle w:val="TableContents"/>
              <w:spacing w:before="0" w:after="283"/>
              <w:rPr/>
            </w:pPr>
            <w:r>
              <w:rPr/>
              <w:t> </w:t>
            </w:r>
          </w:p>
        </w:tc>
        <w:tc>
          <w:tcPr>
            <w:tcW w:w="829"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9" w:type="dxa"/>
            <w:tcBorders/>
            <w:shd w:fill="FFFFFF" w:val="clear"/>
            <w:vAlign w:val="center"/>
          </w:tcPr>
          <w:p>
            <w:pPr>
              <w:pStyle w:val="TableContents"/>
              <w:spacing w:before="0" w:after="283"/>
              <w:rPr/>
            </w:pPr>
            <w:r>
              <w:rPr/>
              <w:t> </w:t>
            </w:r>
          </w:p>
        </w:tc>
        <w:tc>
          <w:tcPr>
            <w:tcW w:w="837"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rPr/>
            </w:pPr>
            <w:r>
              <w:rPr/>
              <w:t> </w:t>
            </w:r>
          </w:p>
        </w:tc>
      </w:tr>
      <w:tr>
        <w:trPr/>
        <w:tc>
          <w:tcPr>
            <w:tcW w:w="79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Shareholders' equity</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829" w:type="dxa"/>
            <w:tcBorders/>
            <w:shd w:fill="CCEEFF" w:val="clear"/>
            <w:vAlign w:val="center"/>
          </w:tcPr>
          <w:p>
            <w:pPr>
              <w:pStyle w:val="TableContents"/>
              <w:spacing w:before="0" w:after="283"/>
              <w:jc w:val="left"/>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837" w:type="dxa"/>
            <w:tcBorders/>
            <w:shd w:fill="CCEEFF" w:val="clear"/>
            <w:vAlign w:val="center"/>
          </w:tcPr>
          <w:p>
            <w:pPr>
              <w:pStyle w:val="TableContents"/>
              <w:spacing w:before="0" w:after="283"/>
              <w:jc w:val="left"/>
              <w:rPr/>
            </w:pPr>
            <w:r>
              <w:rPr/>
              <w:t> </w:t>
            </w:r>
          </w:p>
        </w:tc>
        <w:tc>
          <w:tcPr>
            <w:tcW w:w="83" w:type="dxa"/>
            <w:tcBorders/>
            <w:shd w:fill="CCEEFF" w:val="clear"/>
            <w:vAlign w:val="center"/>
          </w:tcPr>
          <w:p>
            <w:pPr>
              <w:pStyle w:val="TableContents"/>
              <w:spacing w:before="0" w:after="283"/>
              <w:rPr/>
            </w:pPr>
            <w:r>
              <w:rPr/>
              <w:t> </w:t>
            </w:r>
          </w:p>
        </w:tc>
      </w:tr>
      <w:tr>
        <w:trPr/>
        <w:tc>
          <w:tcPr>
            <w:tcW w:w="7959" w:type="dxa"/>
            <w:tcBorders/>
            <w:shd w:fill="FFFFFF" w:val="clear"/>
            <w:vAlign w:val="center"/>
          </w:tcPr>
          <w:p>
            <w:pPr>
              <w:pStyle w:val="TableContents"/>
              <w:spacing w:before="0" w:after="0"/>
              <w:ind w:left="360" w:right="0" w:hanging="0"/>
              <w:rPr>
                <w:rFonts w:ascii="Times New Roman;Times;serif" w:hAnsi="Times New Roman;Times;serif"/>
                <w:sz w:val="20"/>
              </w:rPr>
            </w:pPr>
            <w:r>
              <w:rPr>
                <w:rFonts w:ascii="Times New Roman;Times;serif" w:hAnsi="Times New Roman;Times;serif"/>
                <w:sz w:val="20"/>
              </w:rPr>
              <w:t>Preferred stock, $0.001 par value, authorized 10,000,000 shares; issued and outstanding 0 shares as of each of March 31, 2023, and December 31, 2022</w:t>
            </w:r>
          </w:p>
        </w:tc>
        <w:tc>
          <w:tcPr>
            <w:tcW w:w="60" w:type="dxa"/>
            <w:tcBorders/>
            <w:shd w:fill="FFFFFF" w:val="clear"/>
            <w:vAlign w:val="center"/>
          </w:tcPr>
          <w:p>
            <w:pPr>
              <w:pStyle w:val="TableContents"/>
              <w:spacing w:before="0" w:after="283"/>
              <w:rPr/>
            </w:pPr>
            <w:r>
              <w:rPr/>
              <w:t> </w:t>
            </w:r>
          </w:p>
        </w:tc>
        <w:tc>
          <w:tcPr>
            <w:tcW w:w="148" w:type="dxa"/>
            <w:tcBorders/>
            <w:shd w:fill="FFFFFF" w:val="clear"/>
            <w:vAlign w:val="center"/>
          </w:tcPr>
          <w:p>
            <w:pPr>
              <w:pStyle w:val="TableContents"/>
              <w:spacing w:before="0" w:after="283"/>
              <w:ind w:left="0" w:right="0" w:hanging="0"/>
              <w:rPr/>
            </w:pPr>
            <w:r>
              <w:rPr/>
              <w:t> </w:t>
            </w:r>
          </w:p>
        </w:tc>
        <w:tc>
          <w:tcPr>
            <w:tcW w:w="829"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9" w:type="dxa"/>
            <w:tcBorders/>
            <w:shd w:fill="FFFFFF" w:val="clear"/>
            <w:vAlign w:val="center"/>
          </w:tcPr>
          <w:p>
            <w:pPr>
              <w:pStyle w:val="TableContents"/>
              <w:spacing w:before="0" w:after="283"/>
              <w:ind w:left="0" w:right="0" w:hanging="0"/>
              <w:rPr/>
            </w:pPr>
            <w:r>
              <w:rPr/>
              <w:t> </w:t>
            </w:r>
          </w:p>
        </w:tc>
        <w:tc>
          <w:tcPr>
            <w:tcW w:w="837"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spacing w:before="0" w:after="283"/>
              <w:rPr/>
            </w:pPr>
            <w:r>
              <w:rPr/>
              <w:t> </w:t>
            </w:r>
          </w:p>
        </w:tc>
      </w:tr>
      <w:tr>
        <w:trPr/>
        <w:tc>
          <w:tcPr>
            <w:tcW w:w="7959" w:type="dxa"/>
            <w:tcBorders/>
            <w:shd w:fill="CCEEFF" w:val="clear"/>
            <w:vAlign w:val="center"/>
          </w:tcPr>
          <w:p>
            <w:pPr>
              <w:pStyle w:val="TableContents"/>
              <w:spacing w:before="0" w:after="0"/>
              <w:ind w:left="360" w:right="0" w:hanging="0"/>
              <w:jc w:val="both"/>
              <w:rPr>
                <w:rFonts w:ascii="Times New Roman;Times;serif" w:hAnsi="Times New Roman;Times;serif"/>
                <w:sz w:val="20"/>
              </w:rPr>
            </w:pPr>
            <w:r>
              <w:rPr>
                <w:rFonts w:ascii="Times New Roman;Times;serif" w:hAnsi="Times New Roman;Times;serif"/>
                <w:sz w:val="20"/>
              </w:rPr>
              <w:t>Common stock, $0.001 par value, authorized 150,000,000 shares; issued and outstanding 26,202,723 and 26,888,425 shares as of March 31, 2023, and December 31, 2022, respectively</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829"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837"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27</w:t>
            </w:r>
          </w:p>
        </w:tc>
        <w:tc>
          <w:tcPr>
            <w:tcW w:w="83" w:type="dxa"/>
            <w:tcBorders/>
            <w:shd w:fill="CCEEFF" w:val="clear"/>
            <w:vAlign w:val="center"/>
          </w:tcPr>
          <w:p>
            <w:pPr>
              <w:pStyle w:val="TableContents"/>
              <w:spacing w:before="0" w:after="283"/>
              <w:rPr/>
            </w:pPr>
            <w:r>
              <w:rPr/>
              <w:t> </w:t>
            </w:r>
          </w:p>
        </w:tc>
      </w:tr>
      <w:tr>
        <w:trPr/>
        <w:tc>
          <w:tcPr>
            <w:tcW w:w="7959" w:type="dxa"/>
            <w:tcBorders/>
            <w:shd w:fill="FFFFFF" w:val="clear"/>
            <w:vAlign w:val="center"/>
          </w:tcPr>
          <w:p>
            <w:pPr>
              <w:pStyle w:val="TableContents"/>
              <w:spacing w:before="0" w:after="0"/>
              <w:ind w:left="0" w:right="0" w:firstLine="360"/>
              <w:rPr>
                <w:rFonts w:ascii="Times New Roman;Times;serif" w:hAnsi="Times New Roman;Times;serif"/>
                <w:sz w:val="20"/>
              </w:rPr>
            </w:pPr>
            <w:r>
              <w:rPr>
                <w:rFonts w:ascii="Times New Roman;Times;serif" w:hAnsi="Times New Roman;Times;serif"/>
                <w:sz w:val="20"/>
              </w:rPr>
              <w:t>Additional paid-in capital</w:t>
            </w:r>
          </w:p>
        </w:tc>
        <w:tc>
          <w:tcPr>
            <w:tcW w:w="60" w:type="dxa"/>
            <w:tcBorders/>
            <w:shd w:fill="FFFFFF" w:val="clear"/>
            <w:vAlign w:val="center"/>
          </w:tcPr>
          <w:p>
            <w:pPr>
              <w:pStyle w:val="TableContents"/>
              <w:spacing w:before="0" w:after="283"/>
              <w:rPr/>
            </w:pPr>
            <w:r>
              <w:rPr/>
              <w:t> </w:t>
            </w:r>
          </w:p>
        </w:tc>
        <w:tc>
          <w:tcPr>
            <w:tcW w:w="148" w:type="dxa"/>
            <w:tcBorders/>
            <w:shd w:fill="FFFFFF" w:val="clear"/>
            <w:vAlign w:val="center"/>
          </w:tcPr>
          <w:p>
            <w:pPr>
              <w:pStyle w:val="TableContents"/>
              <w:spacing w:before="0" w:after="283"/>
              <w:rPr/>
            </w:pPr>
            <w:r>
              <w:rPr/>
              <w:t> </w:t>
            </w:r>
          </w:p>
        </w:tc>
        <w:tc>
          <w:tcPr>
            <w:tcW w:w="829"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465,185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9" w:type="dxa"/>
            <w:tcBorders/>
            <w:shd w:fill="FFFFFF" w:val="clear"/>
            <w:vAlign w:val="center"/>
          </w:tcPr>
          <w:p>
            <w:pPr>
              <w:pStyle w:val="TableContents"/>
              <w:spacing w:before="0" w:after="283"/>
              <w:rPr/>
            </w:pPr>
            <w:r>
              <w:rPr/>
              <w:t> </w:t>
            </w:r>
          </w:p>
        </w:tc>
        <w:tc>
          <w:tcPr>
            <w:tcW w:w="837"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473,740</w:t>
            </w:r>
          </w:p>
        </w:tc>
        <w:tc>
          <w:tcPr>
            <w:tcW w:w="83" w:type="dxa"/>
            <w:tcBorders/>
            <w:shd w:fill="FFFFFF" w:val="clear"/>
            <w:vAlign w:val="center"/>
          </w:tcPr>
          <w:p>
            <w:pPr>
              <w:pStyle w:val="TableContents"/>
              <w:spacing w:before="0" w:after="283"/>
              <w:rPr/>
            </w:pPr>
            <w:r>
              <w:rPr/>
              <w:t> </w:t>
            </w:r>
          </w:p>
        </w:tc>
      </w:tr>
      <w:tr>
        <w:trPr/>
        <w:tc>
          <w:tcPr>
            <w:tcW w:w="7959" w:type="dxa"/>
            <w:tcBorders/>
            <w:shd w:fill="CCEEFF" w:val="clear"/>
            <w:vAlign w:val="center"/>
          </w:tcPr>
          <w:p>
            <w:pPr>
              <w:pStyle w:val="TableContents"/>
              <w:spacing w:before="0" w:after="0"/>
              <w:ind w:left="0" w:right="0" w:firstLine="360"/>
              <w:rPr>
                <w:rFonts w:ascii="Times New Roman;Times;serif" w:hAnsi="Times New Roman;Times;serif"/>
                <w:sz w:val="20"/>
              </w:rPr>
            </w:pPr>
            <w:r>
              <w:rPr>
                <w:rFonts w:ascii="Times New Roman;Times;serif" w:hAnsi="Times New Roman;Times;serif"/>
                <w:sz w:val="20"/>
              </w:rPr>
              <w:t>Retained earnings</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829"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251,420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837"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258,236</w:t>
            </w:r>
          </w:p>
        </w:tc>
        <w:tc>
          <w:tcPr>
            <w:tcW w:w="83" w:type="dxa"/>
            <w:tcBorders/>
            <w:shd w:fill="CCEEFF" w:val="clear"/>
            <w:vAlign w:val="center"/>
          </w:tcPr>
          <w:p>
            <w:pPr>
              <w:pStyle w:val="TableContents"/>
              <w:spacing w:before="0" w:after="283"/>
              <w:rPr/>
            </w:pPr>
            <w:r>
              <w:rPr/>
              <w:t> </w:t>
            </w:r>
          </w:p>
        </w:tc>
      </w:tr>
      <w:tr>
        <w:trPr/>
        <w:tc>
          <w:tcPr>
            <w:tcW w:w="7959" w:type="dxa"/>
            <w:tcBorders/>
            <w:shd w:fill="FFFFFF" w:val="clear"/>
            <w:vAlign w:val="center"/>
          </w:tcPr>
          <w:p>
            <w:pPr>
              <w:pStyle w:val="TableContents"/>
              <w:spacing w:before="0" w:after="0"/>
              <w:ind w:left="0" w:right="0" w:firstLine="360"/>
              <w:rPr>
                <w:rFonts w:ascii="Times New Roman;Times;serif" w:hAnsi="Times New Roman;Times;serif"/>
                <w:sz w:val="20"/>
              </w:rPr>
            </w:pPr>
            <w:r>
              <w:rPr>
                <w:rFonts w:ascii="Times New Roman;Times;serif" w:hAnsi="Times New Roman;Times;serif"/>
                <w:sz w:val="20"/>
              </w:rPr>
              <w:t>Accumulated other comprehensive loss</w:t>
            </w:r>
          </w:p>
        </w:tc>
        <w:tc>
          <w:tcPr>
            <w:tcW w:w="60" w:type="dxa"/>
            <w:tcBorders/>
            <w:shd w:fill="FFFFFF" w:val="clear"/>
            <w:vAlign w:val="center"/>
          </w:tcPr>
          <w:p>
            <w:pPr>
              <w:pStyle w:val="TableContents"/>
              <w:spacing w:before="0" w:after="283"/>
              <w:ind w:left="0" w:right="0" w:hanging="0"/>
              <w:rPr/>
            </w:pPr>
            <w:r>
              <w:rPr/>
              <w:t> </w:t>
            </w:r>
          </w:p>
        </w:tc>
        <w:tc>
          <w:tcPr>
            <w:tcW w:w="148"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29"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(33,494</w:t>
            </w:r>
          </w:p>
        </w:tc>
        <w:tc>
          <w:tcPr>
            <w:tcW w:w="80" w:type="dxa"/>
            <w:tcBorders>
              <w:bottom w:val="single" w:sz="2" w:space="0" w:color="000000"/>
            </w:tcBorders>
            <w:shd w:fill="FFFFFF" w:val="clear"/>
            <w:tcMar>
              <w:bottom w:w="28" w:type="dxa"/>
            </w:tcM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ind w:left="0" w:right="0" w:hanging="0"/>
              <w:rPr/>
            </w:pPr>
            <w:r>
              <w:rPr/>
              <w:t> </w:t>
            </w:r>
          </w:p>
        </w:tc>
        <w:tc>
          <w:tcPr>
            <w:tcW w:w="149"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7"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(34,355</w:t>
            </w:r>
          </w:p>
        </w:tc>
        <w:tc>
          <w:tcPr>
            <w:tcW w:w="83" w:type="dxa"/>
            <w:tcBorders>
              <w:bottom w:val="single" w:sz="2" w:space="0" w:color="000000"/>
            </w:tcBorders>
            <w:shd w:fill="FFFFFF" w:val="clear"/>
            <w:tcMar>
              <w:bottom w:w="28" w:type="dxa"/>
            </w:tcM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r>
      <w:tr>
        <w:trPr/>
        <w:tc>
          <w:tcPr>
            <w:tcW w:w="7959" w:type="dxa"/>
            <w:tcBorders/>
            <w:shd w:fill="CCEEFF" w:val="clear"/>
            <w:vAlign w:val="center"/>
          </w:tcPr>
          <w:p>
            <w:pPr>
              <w:pStyle w:val="TableContents"/>
              <w:spacing w:before="0" w:after="0"/>
              <w:ind w:left="720" w:right="0" w:hanging="0"/>
              <w:rPr>
                <w:rFonts w:ascii="Times New Roman;Times;serif" w:hAnsi="Times New Roman;Times;serif"/>
                <w:sz w:val="20"/>
              </w:rPr>
            </w:pPr>
            <w:r>
              <w:rPr>
                <w:rFonts w:ascii="Times New Roman;Times;serif" w:hAnsi="Times New Roman;Times;serif"/>
                <w:sz w:val="20"/>
              </w:rPr>
              <w:t>Total shareholders' equity</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ind w:left="0" w:right="0" w:hanging="0"/>
              <w:rPr>
                <w:color w:val="000000"/>
              </w:rPr>
            </w:pPr>
            <w:r>
              <w:rPr>
                <w:color w:val="000000"/>
              </w:rPr>
              <w:t> </w:t>
            </w:r>
          </w:p>
        </w:tc>
        <w:tc>
          <w:tcPr>
            <w:tcW w:w="82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683,137</w:t>
            </w:r>
          </w:p>
        </w:tc>
        <w:tc>
          <w:tcPr>
            <w:tcW w:w="80" w:type="dxa"/>
            <w:tcBorders/>
            <w:shd w:fill="CCEEFF" w:val="clear"/>
            <w:vAlign w:val="center"/>
          </w:tcPr>
          <w:p>
            <w:pPr>
              <w:pStyle w:val="TableContents"/>
              <w:spacing w:before="0" w:after="283"/>
              <w:rPr>
                <w:color w:val="000000"/>
              </w:rPr>
            </w:pPr>
            <w:r>
              <w:rPr>
                <w:color w:val="000000"/>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ind w:left="0" w:right="0" w:hanging="0"/>
              <w:rPr>
                <w:color w:val="000000"/>
              </w:rPr>
            </w:pPr>
            <w:r>
              <w:rPr>
                <w:color w:val="000000"/>
              </w:rPr>
              <w:t> </w:t>
            </w:r>
          </w:p>
        </w:tc>
        <w:tc>
          <w:tcPr>
            <w:tcW w:w="837"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697,648</w:t>
            </w:r>
          </w:p>
        </w:tc>
        <w:tc>
          <w:tcPr>
            <w:tcW w:w="83" w:type="dxa"/>
            <w:tcBorders/>
            <w:shd w:fill="CCEEFF" w:val="clear"/>
            <w:vAlign w:val="center"/>
          </w:tcPr>
          <w:p>
            <w:pPr>
              <w:pStyle w:val="TableContents"/>
              <w:spacing w:before="0" w:after="283"/>
              <w:rPr>
                <w:color w:val="000000"/>
              </w:rPr>
            </w:pPr>
            <w:r>
              <w:rPr>
                <w:color w:val="000000"/>
              </w:rPr>
              <w:t> </w:t>
            </w:r>
          </w:p>
        </w:tc>
      </w:tr>
      <w:tr>
        <w:trPr/>
        <w:tc>
          <w:tcPr>
            <w:tcW w:w="7959" w:type="dxa"/>
            <w:tcBorders/>
            <w:shd w:fill="FFFFFF" w:val="clear"/>
            <w:vAlign w:val="center"/>
          </w:tcPr>
          <w:p>
            <w:pPr>
              <w:pStyle w:val="TableContents"/>
              <w:spacing w:before="0" w:after="0"/>
              <w:ind w:left="720" w:right="0" w:hanging="0"/>
              <w:rPr>
                <w:rFonts w:ascii="Times New Roman;Times;serif" w:hAnsi="Times New Roman;Times;serif"/>
                <w:sz w:val="20"/>
              </w:rPr>
            </w:pPr>
            <w:r>
              <w:rPr>
                <w:rFonts w:ascii="Times New Roman;Times;serif" w:hAnsi="Times New Roman;Times;serif"/>
                <w:sz w:val="20"/>
              </w:rPr>
              <w:t>Total liabilities and shareholders' equity</w:t>
            </w:r>
          </w:p>
        </w:tc>
        <w:tc>
          <w:tcPr>
            <w:tcW w:w="60" w:type="dxa"/>
            <w:tcBorders/>
            <w:shd w:fill="FFFFFF" w:val="clear"/>
            <w:vAlign w:val="center"/>
          </w:tcPr>
          <w:p>
            <w:pPr>
              <w:pStyle w:val="TableContents"/>
              <w:spacing w:before="0" w:after="283"/>
              <w:ind w:left="0" w:right="0" w:hanging="0"/>
              <w:rPr/>
            </w:pPr>
            <w:r>
              <w:rPr/>
              <w:t> </w:t>
            </w:r>
          </w:p>
        </w:tc>
        <w:tc>
          <w:tcPr>
            <w:tcW w:w="148" w:type="dxa"/>
            <w:tcBorders/>
            <w:shd w:fill="FFFFFF" w:val="clear"/>
            <w:vAlign w:val="center"/>
          </w:tcPr>
          <w:p>
            <w:pPr>
              <w:pStyle w:val="TableContents"/>
              <w:spacing w:before="0" w:after="283"/>
              <w:ind w:left="0" w:right="0" w:hanging="0"/>
              <w:rPr>
                <w:rFonts w:ascii="Times New Roman;Times;serif" w:hAnsi="Times New Roman;Times;serif"/>
                <w:color w:val="000000"/>
                <w:sz w:val="20"/>
              </w:rPr>
            </w:pPr>
            <w:r>
              <w:rPr>
                <w:rFonts w:ascii="Times New Roman;Times;serif" w:hAnsi="Times New Roman;Times;serif"/>
                <w:color w:val="000000"/>
                <w:sz w:val="20"/>
              </w:rPr>
              <w:t>$</w:t>
            </w:r>
          </w:p>
        </w:tc>
        <w:tc>
          <w:tcPr>
            <w:tcW w:w="82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791,373</w:t>
            </w:r>
          </w:p>
        </w:tc>
        <w:tc>
          <w:tcPr>
            <w:tcW w:w="80" w:type="dxa"/>
            <w:tcBorders/>
            <w:shd w:fill="FFFFFF" w:val="clear"/>
            <w:vAlign w:val="center"/>
          </w:tcPr>
          <w:p>
            <w:pPr>
              <w:pStyle w:val="TableContents"/>
              <w:spacing w:before="0" w:after="283"/>
              <w:rPr>
                <w:color w:val="000000"/>
              </w:rPr>
            </w:pPr>
            <w:r>
              <w:rPr>
                <w:color w:val="000000"/>
              </w:rPr>
              <w:t> </w:t>
            </w:r>
          </w:p>
        </w:tc>
        <w:tc>
          <w:tcPr>
            <w:tcW w:w="60" w:type="dxa"/>
            <w:tcBorders/>
            <w:shd w:fill="FFFFFF" w:val="clear"/>
            <w:vAlign w:val="center"/>
          </w:tcPr>
          <w:p>
            <w:pPr>
              <w:pStyle w:val="TableContents"/>
              <w:spacing w:before="0" w:after="283"/>
              <w:ind w:left="0" w:right="0" w:hanging="0"/>
              <w:rPr/>
            </w:pPr>
            <w:r>
              <w:rPr/>
              <w:t> </w:t>
            </w:r>
          </w:p>
        </w:tc>
        <w:tc>
          <w:tcPr>
            <w:tcW w:w="149" w:type="dxa"/>
            <w:tcBorders/>
            <w:shd w:fill="FFFFFF" w:val="clear"/>
            <w:vAlign w:val="center"/>
          </w:tcPr>
          <w:p>
            <w:pPr>
              <w:pStyle w:val="TableContents"/>
              <w:spacing w:before="0" w:after="283"/>
              <w:ind w:left="0" w:right="0" w:hanging="0"/>
              <w:rPr>
                <w:rFonts w:ascii="Times New Roman;Times;serif" w:hAnsi="Times New Roman;Times;serif"/>
                <w:color w:val="000000"/>
                <w:sz w:val="20"/>
              </w:rPr>
            </w:pPr>
            <w:r>
              <w:rPr>
                <w:rFonts w:ascii="Times New Roman;Times;serif" w:hAnsi="Times New Roman;Times;serif"/>
                <w:color w:val="000000"/>
                <w:sz w:val="20"/>
              </w:rPr>
              <w:t>$</w:t>
            </w:r>
          </w:p>
        </w:tc>
        <w:tc>
          <w:tcPr>
            <w:tcW w:w="837"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802,168</w:t>
            </w:r>
          </w:p>
        </w:tc>
        <w:tc>
          <w:tcPr>
            <w:tcW w:w="83" w:type="dxa"/>
            <w:tcBorders/>
            <w:shd w:fill="FFFFFF" w:val="clear"/>
            <w:vAlign w:val="center"/>
          </w:tcPr>
          <w:p>
            <w:pPr>
              <w:pStyle w:val="TableContents"/>
              <w:spacing w:before="0" w:after="283"/>
              <w:rPr>
                <w:color w:val="000000"/>
              </w:rPr>
            </w:pPr>
            <w:r>
              <w:rPr>
                <w:color w:val="000000"/>
              </w:rPr>
              <w:t> </w:t>
            </w:r>
          </w:p>
        </w:tc>
      </w:tr>
    </w:tbl>
    <w:p>
      <w:pPr>
        <w:pStyle w:val="TextBody"/>
        <w:spacing w:before="0" w:after="0"/>
        <w:ind w:left="144" w:right="144" w:hanging="0"/>
        <w:jc w:val="center"/>
        <w:rPr/>
      </w:pPr>
      <w:r>
        <w:rPr/>
        <w:t> </w:t>
      </w:r>
    </w:p>
    <w:p>
      <w:pPr>
        <w:pStyle w:val="HorizontalLine"/>
        <w:rPr/>
      </w:pPr>
      <w:r>
        <w:rPr/>
      </w:r>
    </w:p>
    <w:p>
      <w:pPr>
        <w:pStyle w:val="TextBody"/>
        <w:spacing w:before="0" w:after="0"/>
        <w:ind w:left="144" w:right="144" w:hanging="0"/>
        <w:jc w:val="center"/>
        <w:rPr/>
      </w:pPr>
      <w:r>
        <w:rPr/>
        <w:t> </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spacing w:before="0" w:after="0"/>
        <w:ind w:left="144" w:right="144"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left"/>
        <w:rPr/>
      </w:pPr>
      <w:r>
        <w:rPr/>
        <w:t> </w:t>
      </w:r>
    </w:p>
    <w:p>
      <w:pPr>
        <w:pStyle w:val="TextBody"/>
        <w:spacing w:before="0" w:after="0"/>
        <w:ind w:left="0" w:right="0" w:hanging="0"/>
        <w:jc w:val="left"/>
        <w:rPr/>
      </w:pPr>
      <w:r>
        <w:rPr/>
        <w:t> </w:t>
      </w:r>
    </w:p>
    <w:tbl>
      <w:tblPr>
        <w:tblW w:w="4340" w:type="dxa"/>
        <w:jc w:val="left"/>
        <w:tblInd w:w="0" w:type="dxa"/>
        <w:tblCellMar>
          <w:top w:w="0" w:type="dxa"/>
          <w:left w:w="0" w:type="dxa"/>
          <w:bottom w:w="0" w:type="dxa"/>
          <w:right w:w="0" w:type="dxa"/>
        </w:tblCellMar>
      </w:tblPr>
      <w:tblGrid>
        <w:gridCol w:w="4340"/>
      </w:tblGrid>
      <w:tr>
        <w:trPr/>
        <w:tc>
          <w:tcPr>
            <w:tcW w:w="4340"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Proto Labs, Inc.</w:t>
            </w:r>
          </w:p>
        </w:tc>
      </w:tr>
      <w:tr>
        <w:trPr/>
        <w:tc>
          <w:tcPr>
            <w:tcW w:w="4340"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Comprehensive Income</w:t>
            </w:r>
          </w:p>
        </w:tc>
      </w:tr>
      <w:tr>
        <w:trPr/>
        <w:tc>
          <w:tcPr>
            <w:tcW w:w="4340"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tc>
      </w:tr>
      <w:tr>
        <w:trPr/>
        <w:tc>
          <w:tcPr>
            <w:tcW w:w="4340"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c>
      </w:tr>
    </w:tbl>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tbl>
      <w:tblPr>
        <w:tblW w:w="6105" w:type="dxa"/>
        <w:jc w:val="left"/>
        <w:tblInd w:w="0" w:type="dxa"/>
        <w:tblCellMar>
          <w:top w:w="0" w:type="dxa"/>
          <w:left w:w="0" w:type="dxa"/>
          <w:bottom w:w="0" w:type="dxa"/>
          <w:right w:w="0" w:type="dxa"/>
        </w:tblCellMar>
      </w:tblPr>
      <w:tblGrid>
        <w:gridCol w:w="3695"/>
        <w:gridCol w:w="60"/>
        <w:gridCol w:w="125"/>
        <w:gridCol w:w="950"/>
        <w:gridCol w:w="60"/>
        <w:gridCol w:w="60"/>
        <w:gridCol w:w="125"/>
        <w:gridCol w:w="950"/>
        <w:gridCol w:w="80"/>
      </w:tblGrid>
      <w:tr>
        <w:trPr/>
        <w:tc>
          <w:tcPr>
            <w:tcW w:w="36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270" w:type="dxa"/>
            <w:gridSpan w:val="6"/>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w:t>
            </w:r>
          </w:p>
        </w:tc>
        <w:tc>
          <w:tcPr>
            <w:tcW w:w="80" w:type="dxa"/>
            <w:tcBorders/>
            <w:shd w:fill="FFFFFF" w:val="clear"/>
            <w:vAlign w:val="center"/>
          </w:tcPr>
          <w:p>
            <w:pPr>
              <w:pStyle w:val="TableContents"/>
              <w:spacing w:before="0" w:after="283"/>
              <w:rPr/>
            </w:pPr>
            <w:r>
              <w:rPr/>
              <w:t> </w:t>
            </w:r>
          </w:p>
        </w:tc>
      </w:tr>
      <w:tr>
        <w:trPr/>
        <w:tc>
          <w:tcPr>
            <w:tcW w:w="36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270"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March 31,</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36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2023</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36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3695"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Statements of Operations: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369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Revenue</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125,859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124,168</w:t>
            </w:r>
          </w:p>
        </w:tc>
        <w:tc>
          <w:tcPr>
            <w:tcW w:w="80" w:type="dxa"/>
            <w:tcBorders/>
            <w:shd w:fill="FFFFFF" w:val="clear"/>
            <w:vAlign w:val="center"/>
          </w:tcPr>
          <w:p>
            <w:pPr>
              <w:pStyle w:val="TableContents"/>
              <w:spacing w:before="0" w:after="283"/>
              <w:rPr/>
            </w:pPr>
            <w:r>
              <w:rPr/>
              <w:t> </w:t>
            </w:r>
          </w:p>
        </w:tc>
      </w:tr>
      <w:tr>
        <w:trPr/>
        <w:tc>
          <w:tcPr>
            <w:tcW w:w="369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Cost of revenue</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72,083</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68,364</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369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53,776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55,804</w:t>
            </w:r>
          </w:p>
        </w:tc>
        <w:tc>
          <w:tcPr>
            <w:tcW w:w="80" w:type="dxa"/>
            <w:tcBorders/>
            <w:shd w:fill="FFFFFF" w:val="clear"/>
            <w:vAlign w:val="center"/>
          </w:tcPr>
          <w:p>
            <w:pPr>
              <w:pStyle w:val="TableContents"/>
              <w:spacing w:before="0" w:after="283"/>
              <w:rPr/>
            </w:pPr>
            <w:r>
              <w:rPr/>
              <w:t> </w:t>
            </w:r>
          </w:p>
        </w:tc>
      </w:tr>
      <w:tr>
        <w:trPr/>
        <w:tc>
          <w:tcPr>
            <w:tcW w:w="369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369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Marketing and sales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22,451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20,586</w:t>
            </w:r>
          </w:p>
        </w:tc>
        <w:tc>
          <w:tcPr>
            <w:tcW w:w="80" w:type="dxa"/>
            <w:tcBorders/>
            <w:shd w:fill="FFFFFF" w:val="clear"/>
            <w:vAlign w:val="center"/>
          </w:tcPr>
          <w:p>
            <w:pPr>
              <w:pStyle w:val="TableContents"/>
              <w:spacing w:before="0" w:after="283"/>
              <w:rPr/>
            </w:pPr>
            <w:r>
              <w:rPr/>
              <w:t> </w:t>
            </w:r>
          </w:p>
        </w:tc>
      </w:tr>
      <w:tr>
        <w:trPr/>
        <w:tc>
          <w:tcPr>
            <w:tcW w:w="3695"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10,677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10,557</w:t>
            </w:r>
          </w:p>
        </w:tc>
        <w:tc>
          <w:tcPr>
            <w:tcW w:w="80" w:type="dxa"/>
            <w:tcBorders/>
            <w:shd w:fill="CCEEFF" w:val="clear"/>
            <w:vAlign w:val="center"/>
          </w:tcPr>
          <w:p>
            <w:pPr>
              <w:pStyle w:val="TableContents"/>
              <w:spacing w:before="0" w:after="283"/>
              <w:rPr/>
            </w:pPr>
            <w:r>
              <w:rPr/>
              <w:t> </w:t>
            </w:r>
          </w:p>
        </w:tc>
      </w:tr>
      <w:tr>
        <w:trPr/>
        <w:tc>
          <w:tcPr>
            <w:tcW w:w="369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16,833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16,771</w:t>
            </w:r>
          </w:p>
        </w:tc>
        <w:tc>
          <w:tcPr>
            <w:tcW w:w="80" w:type="dxa"/>
            <w:tcBorders/>
            <w:shd w:fill="FFFFFF" w:val="clear"/>
            <w:vAlign w:val="center"/>
          </w:tcPr>
          <w:p>
            <w:pPr>
              <w:pStyle w:val="TableContents"/>
              <w:spacing w:before="0" w:after="283"/>
              <w:rPr/>
            </w:pPr>
            <w:r>
              <w:rPr/>
              <w:t> </w:t>
            </w:r>
          </w:p>
        </w:tc>
      </w:tr>
      <w:tr>
        <w:trPr/>
        <w:tc>
          <w:tcPr>
            <w:tcW w:w="3695"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Closure of Japan business</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66</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3695" w:type="dxa"/>
            <w:tcBorders/>
            <w:shd w:fill="FFFF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50,027</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47,914</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369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Income from operations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3,749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7,890</w:t>
            </w:r>
          </w:p>
        </w:tc>
        <w:tc>
          <w:tcPr>
            <w:tcW w:w="80" w:type="dxa"/>
            <w:tcBorders/>
            <w:shd w:fill="CCEEFF" w:val="clear"/>
            <w:vAlign w:val="center"/>
          </w:tcPr>
          <w:p>
            <w:pPr>
              <w:pStyle w:val="TableContents"/>
              <w:spacing w:before="0" w:after="283"/>
              <w:rPr/>
            </w:pPr>
            <w:r>
              <w:rPr/>
              <w:t> </w:t>
            </w:r>
          </w:p>
        </w:tc>
      </w:tr>
      <w:tr>
        <w:trPr/>
        <w:tc>
          <w:tcPr>
            <w:tcW w:w="369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Other income (loss), net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1,290</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(300</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69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Income before income taxes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5,039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7,590</w:t>
            </w:r>
          </w:p>
        </w:tc>
        <w:tc>
          <w:tcPr>
            <w:tcW w:w="80" w:type="dxa"/>
            <w:tcBorders/>
            <w:shd w:fill="CCEEFF" w:val="clear"/>
            <w:vAlign w:val="center"/>
          </w:tcPr>
          <w:p>
            <w:pPr>
              <w:pStyle w:val="TableContents"/>
              <w:spacing w:before="0" w:after="283"/>
              <w:rPr/>
            </w:pPr>
            <w:r>
              <w:rPr/>
              <w:t> </w:t>
            </w:r>
          </w:p>
        </w:tc>
      </w:tr>
      <w:tr>
        <w:trPr/>
        <w:tc>
          <w:tcPr>
            <w:tcW w:w="369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Provision for income taxes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2,380</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2,495</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369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2,659</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5,095</w:t>
            </w:r>
          </w:p>
        </w:tc>
        <w:tc>
          <w:tcPr>
            <w:tcW w:w="80" w:type="dxa"/>
            <w:tcBorders>
              <w:bottom w:val="double" w:sz="6" w:space="0" w:color="000000"/>
            </w:tcBorders>
            <w:shd w:fill="CCEEFF" w:val="clear"/>
            <w:tcMar>
              <w:bottom w:w="28" w:type="dxa"/>
            </w:tcMar>
            <w:vAlign w:val="center"/>
          </w:tcPr>
          <w:p>
            <w:pPr>
              <w:pStyle w:val="TableContents"/>
              <w:spacing w:before="0" w:after="283"/>
              <w:rPr/>
            </w:pPr>
            <w:r>
              <w:rPr/>
              <w:t> </w:t>
            </w:r>
          </w:p>
        </w:tc>
      </w:tr>
      <w:tr>
        <w:trPr/>
        <w:tc>
          <w:tcPr>
            <w:tcW w:w="36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369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income per share: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369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0.10</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0.19</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r>
      <w:tr>
        <w:trPr/>
        <w:tc>
          <w:tcPr>
            <w:tcW w:w="3695"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0.10</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0.19</w:t>
            </w:r>
          </w:p>
        </w:tc>
        <w:tc>
          <w:tcPr>
            <w:tcW w:w="80" w:type="dxa"/>
            <w:tcBorders>
              <w:bottom w:val="double" w:sz="6" w:space="0" w:color="000000"/>
            </w:tcBorders>
            <w:shd w:fill="CCEEFF" w:val="clear"/>
            <w:tcMar>
              <w:bottom w:w="28" w:type="dxa"/>
            </w:tcMar>
            <w:vAlign w:val="center"/>
          </w:tcPr>
          <w:p>
            <w:pPr>
              <w:pStyle w:val="TableContents"/>
              <w:spacing w:before="0" w:after="283"/>
              <w:rPr/>
            </w:pPr>
            <w:r>
              <w:rPr/>
              <w:t> </w:t>
            </w:r>
          </w:p>
        </w:tc>
      </w:tr>
      <w:tr>
        <w:trPr/>
        <w:tc>
          <w:tcPr>
            <w:tcW w:w="36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369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Shares used to compute net income per share: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369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26,580,279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27,502,941</w:t>
            </w:r>
          </w:p>
        </w:tc>
        <w:tc>
          <w:tcPr>
            <w:tcW w:w="80" w:type="dxa"/>
            <w:tcBorders/>
            <w:shd w:fill="FFFFFF" w:val="clear"/>
            <w:vAlign w:val="center"/>
          </w:tcPr>
          <w:p>
            <w:pPr>
              <w:pStyle w:val="TableContents"/>
              <w:spacing w:before="0" w:after="283"/>
              <w:rPr/>
            </w:pPr>
            <w:r>
              <w:rPr/>
              <w:t> </w:t>
            </w:r>
          </w:p>
        </w:tc>
      </w:tr>
      <w:tr>
        <w:trPr/>
        <w:tc>
          <w:tcPr>
            <w:tcW w:w="3695"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26,605,787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27,510,477</w:t>
            </w:r>
          </w:p>
        </w:tc>
        <w:tc>
          <w:tcPr>
            <w:tcW w:w="80" w:type="dxa"/>
            <w:tcBorders/>
            <w:shd w:fill="CCEEFF" w:val="clear"/>
            <w:vAlign w:val="center"/>
          </w:tcPr>
          <w:p>
            <w:pPr>
              <w:pStyle w:val="TableContents"/>
              <w:spacing w:before="0" w:after="283"/>
              <w:rPr/>
            </w:pPr>
            <w:r>
              <w:rPr/>
              <w:t> </w:t>
            </w:r>
          </w:p>
        </w:tc>
      </w:tr>
      <w:tr>
        <w:trPr/>
        <w:tc>
          <w:tcPr>
            <w:tcW w:w="36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3695"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Comprehensive Income (Loss) (net of tax)</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369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Comprehensive income (loss)</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3,520</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(393</w:t>
            </w:r>
          </w:p>
        </w:tc>
        <w:tc>
          <w:tcPr>
            <w:tcW w:w="80" w:type="dxa"/>
            <w:tcBorders>
              <w:bottom w:val="double" w:sz="6"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tbl>
      <w:tblPr>
        <w:tblW w:w="7100" w:type="dxa"/>
        <w:jc w:val="left"/>
        <w:tblInd w:w="0" w:type="dxa"/>
        <w:tblCellMar>
          <w:top w:w="0" w:type="dxa"/>
          <w:left w:w="0" w:type="dxa"/>
          <w:bottom w:w="0" w:type="dxa"/>
          <w:right w:w="0" w:type="dxa"/>
        </w:tblCellMar>
      </w:tblPr>
      <w:tblGrid>
        <w:gridCol w:w="7100"/>
      </w:tblGrid>
      <w:tr>
        <w:trPr/>
        <w:tc>
          <w:tcPr>
            <w:tcW w:w="710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tc>
      </w:tr>
    </w:tbl>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left"/>
        <w:rPr/>
      </w:pPr>
      <w:r>
        <w:rPr/>
        <w:t> </w:t>
      </w:r>
    </w:p>
    <w:p>
      <w:pPr>
        <w:pStyle w:val="TextBody"/>
        <w:spacing w:before="0" w:after="0"/>
        <w:ind w:left="0" w:right="0" w:hanging="0"/>
        <w:jc w:val="left"/>
        <w:rPr/>
      </w:pPr>
      <w:r>
        <w:rPr/>
        <w:t> </w:t>
      </w:r>
    </w:p>
    <w:tbl>
      <w:tblPr>
        <w:tblW w:w="4145" w:type="dxa"/>
        <w:jc w:val="left"/>
        <w:tblInd w:w="0" w:type="dxa"/>
        <w:tblCellMar>
          <w:top w:w="0" w:type="dxa"/>
          <w:left w:w="0" w:type="dxa"/>
          <w:bottom w:w="0" w:type="dxa"/>
          <w:right w:w="0" w:type="dxa"/>
        </w:tblCellMar>
      </w:tblPr>
      <w:tblGrid>
        <w:gridCol w:w="4145"/>
      </w:tblGrid>
      <w:tr>
        <w:trPr/>
        <w:tc>
          <w:tcPr>
            <w:tcW w:w="4145"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Proto Labs, Inc.</w:t>
            </w:r>
          </w:p>
        </w:tc>
      </w:tr>
      <w:tr>
        <w:trPr/>
        <w:tc>
          <w:tcPr>
            <w:tcW w:w="4145"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Shareholders' Equity</w:t>
            </w:r>
          </w:p>
        </w:tc>
      </w:tr>
      <w:tr>
        <w:trPr/>
        <w:tc>
          <w:tcPr>
            <w:tcW w:w="4145"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tc>
      </w:tr>
    </w:tbl>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3700"/>
        <w:gridCol w:w="60"/>
        <w:gridCol w:w="60"/>
        <w:gridCol w:w="950"/>
        <w:gridCol w:w="80"/>
        <w:gridCol w:w="60"/>
        <w:gridCol w:w="239"/>
        <w:gridCol w:w="441"/>
        <w:gridCol w:w="80"/>
        <w:gridCol w:w="60"/>
        <w:gridCol w:w="140"/>
        <w:gridCol w:w="780"/>
        <w:gridCol w:w="80"/>
        <w:gridCol w:w="60"/>
        <w:gridCol w:w="125"/>
        <w:gridCol w:w="695"/>
        <w:gridCol w:w="80"/>
        <w:gridCol w:w="60"/>
        <w:gridCol w:w="260"/>
        <w:gridCol w:w="1154"/>
        <w:gridCol w:w="80"/>
        <w:gridCol w:w="60"/>
        <w:gridCol w:w="125"/>
        <w:gridCol w:w="695"/>
        <w:gridCol w:w="81"/>
      </w:tblGrid>
      <w:tr>
        <w:trPr/>
        <w:tc>
          <w:tcPr>
            <w:tcW w:w="37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830"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Common Stock</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20"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Additional</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jc w:val="center"/>
              <w:rPr/>
            </w:pPr>
            <w:r>
              <w:rPr>
                <w:rStyle w:val="Emphasis"/>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1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Accumulated Other</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jc w:val="center"/>
              <w:rPr/>
            </w:pPr>
            <w:r>
              <w:rPr>
                <w:rStyle w:val="Emphasis"/>
              </w:rPr>
              <w:t> </w:t>
            </w:r>
          </w:p>
        </w:tc>
        <w:tc>
          <w:tcPr>
            <w:tcW w:w="81" w:type="dxa"/>
            <w:tcBorders/>
            <w:shd w:fill="FFFFFF" w:val="clear"/>
            <w:vAlign w:val="center"/>
          </w:tcPr>
          <w:p>
            <w:pPr>
              <w:pStyle w:val="TableContents"/>
              <w:spacing w:before="0" w:after="283"/>
              <w:rPr/>
            </w:pPr>
            <w:r>
              <w:rPr/>
              <w:t> </w:t>
            </w:r>
          </w:p>
        </w:tc>
      </w:tr>
      <w:tr>
        <w:trPr/>
        <w:tc>
          <w:tcPr>
            <w:tcW w:w="37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jc w:val="center"/>
              <w:rPr/>
            </w:pPr>
            <w:r>
              <w:rPr>
                <w:rStyle w:val="Emphasis"/>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9" w:type="dxa"/>
            <w:tcBorders/>
            <w:shd w:fill="FFFFFF" w:val="clear"/>
            <w:vAlign w:val="center"/>
          </w:tcPr>
          <w:p>
            <w:pPr>
              <w:pStyle w:val="TableContents"/>
              <w:spacing w:before="0" w:after="283"/>
              <w:rPr/>
            </w:pPr>
            <w:r>
              <w:rPr/>
              <w:t> </w:t>
            </w:r>
          </w:p>
        </w:tc>
        <w:tc>
          <w:tcPr>
            <w:tcW w:w="441" w:type="dxa"/>
            <w:tcBorders/>
            <w:shd w:fill="FFFFFF" w:val="clear"/>
            <w:vAlign w:val="center"/>
          </w:tcPr>
          <w:p>
            <w:pPr>
              <w:pStyle w:val="TableContents"/>
              <w:spacing w:before="0" w:after="283"/>
              <w:jc w:val="center"/>
              <w:rPr/>
            </w:pPr>
            <w:r>
              <w:rPr>
                <w:rStyle w:val="Emphasis"/>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20"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Paid-In</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Retained</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1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Comprehensive</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jc w:val="center"/>
              <w:rPr/>
            </w:pPr>
            <w:r>
              <w:rPr>
                <w:rStyle w:val="Emphasis"/>
              </w:rPr>
              <w:t> </w:t>
            </w:r>
          </w:p>
        </w:tc>
        <w:tc>
          <w:tcPr>
            <w:tcW w:w="81" w:type="dxa"/>
            <w:tcBorders/>
            <w:shd w:fill="FFFFFF" w:val="clear"/>
            <w:vAlign w:val="center"/>
          </w:tcPr>
          <w:p>
            <w:pPr>
              <w:pStyle w:val="TableContents"/>
              <w:spacing w:before="0" w:after="283"/>
              <w:rPr/>
            </w:pPr>
            <w:r>
              <w:rPr/>
              <w:t> </w:t>
            </w:r>
          </w:p>
        </w:tc>
      </w:tr>
      <w:tr>
        <w:trPr/>
        <w:tc>
          <w:tcPr>
            <w:tcW w:w="37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1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Shares</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8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Amount</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Capital</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Earnings</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1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Loss</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Total</w:t>
            </w:r>
          </w:p>
        </w:tc>
        <w:tc>
          <w:tcPr>
            <w:tcW w:w="81"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37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9" w:type="dxa"/>
            <w:tcBorders/>
            <w:shd w:fill="FFFFFF" w:val="clear"/>
            <w:vAlign w:val="center"/>
          </w:tcPr>
          <w:p>
            <w:pPr>
              <w:pStyle w:val="TableContents"/>
              <w:spacing w:before="0" w:after="283"/>
              <w:rPr/>
            </w:pPr>
            <w:r>
              <w:rPr/>
              <w:t> </w:t>
            </w:r>
          </w:p>
        </w:tc>
        <w:tc>
          <w:tcPr>
            <w:tcW w:w="441"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78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0" w:type="dxa"/>
            <w:tcBorders/>
            <w:shd w:fill="FFFFFF" w:val="clear"/>
            <w:vAlign w:val="center"/>
          </w:tcPr>
          <w:p>
            <w:pPr>
              <w:pStyle w:val="TableContents"/>
              <w:spacing w:before="0" w:after="283"/>
              <w:rPr/>
            </w:pPr>
            <w:r>
              <w:rPr/>
              <w:t> </w:t>
            </w:r>
          </w:p>
        </w:tc>
        <w:tc>
          <w:tcPr>
            <w:tcW w:w="1154"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81" w:type="dxa"/>
            <w:tcBorders/>
            <w:shd w:fill="FFFFFF" w:val="clear"/>
            <w:vAlign w:val="center"/>
          </w:tcPr>
          <w:p>
            <w:pPr>
              <w:pStyle w:val="TableContents"/>
              <w:spacing w:before="0" w:after="283"/>
              <w:rPr/>
            </w:pPr>
            <w:r>
              <w:rPr/>
              <w:t> </w:t>
            </w:r>
          </w:p>
        </w:tc>
      </w:tr>
      <w:tr>
        <w:trPr/>
        <w:tc>
          <w:tcPr>
            <w:tcW w:w="3700"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Balance at December 31, 2022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26,888,425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ind w:left="0" w:right="0" w:hanging="0"/>
              <w:rPr/>
            </w:pPr>
            <w:r>
              <w:rPr/>
              <w:t> </w:t>
            </w:r>
          </w:p>
        </w:tc>
        <w:tc>
          <w:tcPr>
            <w:tcW w:w="44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ind w:left="0" w:right="0" w:hanging="0"/>
              <w:rPr/>
            </w:pPr>
            <w:r>
              <w:rPr/>
              <w:t> </w:t>
            </w:r>
          </w:p>
        </w:tc>
        <w:tc>
          <w:tcPr>
            <w:tcW w:w="78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473,740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258,236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0" w:type="dxa"/>
            <w:tcBorders/>
            <w:shd w:fill="CCEEFF" w:val="clear"/>
            <w:vAlign w:val="center"/>
          </w:tcPr>
          <w:p>
            <w:pPr>
              <w:pStyle w:val="TableContents"/>
              <w:spacing w:before="0" w:after="283"/>
              <w:ind w:left="0" w:right="0" w:hanging="0"/>
              <w:rPr/>
            </w:pPr>
            <w:r>
              <w:rPr/>
              <w:t> </w:t>
            </w:r>
          </w:p>
        </w:tc>
        <w:tc>
          <w:tcPr>
            <w:tcW w:w="115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(34,355</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697,648</w:t>
            </w:r>
          </w:p>
        </w:tc>
        <w:tc>
          <w:tcPr>
            <w:tcW w:w="81" w:type="dxa"/>
            <w:tcBorders/>
            <w:shd w:fill="CCEEFF" w:val="clear"/>
            <w:vAlign w:val="center"/>
          </w:tcPr>
          <w:p>
            <w:pPr>
              <w:pStyle w:val="TableContents"/>
              <w:spacing w:before="0" w:after="283"/>
              <w:rPr/>
            </w:pPr>
            <w:r>
              <w:rPr/>
              <w:t> </w:t>
            </w:r>
          </w:p>
        </w:tc>
      </w:tr>
      <w:tr>
        <w:trPr/>
        <w:tc>
          <w:tcPr>
            <w:tcW w:w="370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Common shares issued on exercise of options and other, net of shares withheld for tax obligations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26,798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9" w:type="dxa"/>
            <w:tcBorders/>
            <w:shd w:fill="FFFFFF" w:val="clear"/>
            <w:vAlign w:val="center"/>
          </w:tcPr>
          <w:p>
            <w:pPr>
              <w:pStyle w:val="TableContents"/>
              <w:spacing w:before="0" w:after="283"/>
              <w:rPr/>
            </w:pPr>
            <w:r>
              <w:rPr/>
              <w:t> </w:t>
            </w:r>
          </w:p>
        </w:tc>
        <w:tc>
          <w:tcPr>
            <w:tcW w:w="441"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78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(401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0" w:type="dxa"/>
            <w:tcBorders/>
            <w:shd w:fill="FFFFFF" w:val="clear"/>
            <w:vAlign w:val="center"/>
          </w:tcPr>
          <w:p>
            <w:pPr>
              <w:pStyle w:val="TableContents"/>
              <w:spacing w:before="0" w:after="283"/>
              <w:rPr/>
            </w:pPr>
            <w:r>
              <w:rPr/>
              <w:t> </w:t>
            </w:r>
          </w:p>
        </w:tc>
        <w:tc>
          <w:tcPr>
            <w:tcW w:w="1154"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(401</w:t>
            </w:r>
          </w:p>
        </w:tc>
        <w:tc>
          <w:tcPr>
            <w:tcW w:w="81"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70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Stock-based compensation expense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jc w:val="right"/>
              <w:rPr/>
            </w:pPr>
            <w:r>
              <w:rPr>
                <w:rStyle w:val="Emphasis"/>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rPr/>
            </w:pPr>
            <w:r>
              <w:rPr/>
              <w:t> </w:t>
            </w:r>
          </w:p>
        </w:tc>
        <w:tc>
          <w:tcPr>
            <w:tcW w:w="441"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8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3,695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0" w:type="dxa"/>
            <w:tcBorders/>
            <w:shd w:fill="CCEEFF" w:val="clear"/>
            <w:vAlign w:val="center"/>
          </w:tcPr>
          <w:p>
            <w:pPr>
              <w:pStyle w:val="TableContents"/>
              <w:spacing w:before="0" w:after="283"/>
              <w:rPr/>
            </w:pPr>
            <w:r>
              <w:rPr/>
              <w:t> </w:t>
            </w:r>
          </w:p>
        </w:tc>
        <w:tc>
          <w:tcPr>
            <w:tcW w:w="1154"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3,695</w:t>
            </w:r>
          </w:p>
        </w:tc>
        <w:tc>
          <w:tcPr>
            <w:tcW w:w="81" w:type="dxa"/>
            <w:tcBorders/>
            <w:shd w:fill="CCEEFF" w:val="clear"/>
            <w:vAlign w:val="center"/>
          </w:tcPr>
          <w:p>
            <w:pPr>
              <w:pStyle w:val="TableContents"/>
              <w:spacing w:before="0" w:after="283"/>
              <w:rPr/>
            </w:pPr>
            <w:r>
              <w:rPr/>
              <w:t> </w:t>
            </w:r>
          </w:p>
        </w:tc>
      </w:tr>
      <w:tr>
        <w:trPr/>
        <w:tc>
          <w:tcPr>
            <w:tcW w:w="370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Repurchases of common stock and other</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(712,500</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239" w:type="dxa"/>
            <w:tcBorders/>
            <w:shd w:fill="FFFFFF" w:val="clear"/>
            <w:vAlign w:val="center"/>
          </w:tcPr>
          <w:p>
            <w:pPr>
              <w:pStyle w:val="TableContents"/>
              <w:spacing w:before="0" w:after="283"/>
              <w:ind w:left="0" w:right="0" w:hanging="0"/>
              <w:rPr/>
            </w:pPr>
            <w:r>
              <w:rPr/>
              <w:t> </w:t>
            </w:r>
          </w:p>
        </w:tc>
        <w:tc>
          <w:tcPr>
            <w:tcW w:w="44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ind w:left="0" w:right="0" w:hanging="0"/>
              <w:rPr/>
            </w:pPr>
            <w:r>
              <w:rPr/>
              <w:t> </w:t>
            </w:r>
          </w:p>
        </w:tc>
        <w:tc>
          <w:tcPr>
            <w:tcW w:w="78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(11,849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(9,475</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260" w:type="dxa"/>
            <w:tcBorders/>
            <w:shd w:fill="FFFFFF" w:val="clear"/>
            <w:vAlign w:val="center"/>
          </w:tcPr>
          <w:p>
            <w:pPr>
              <w:pStyle w:val="TableContents"/>
              <w:spacing w:before="0" w:after="283"/>
              <w:ind w:left="0" w:right="0" w:hanging="0"/>
              <w:rPr/>
            </w:pPr>
            <w:r>
              <w:rPr/>
              <w:t> </w:t>
            </w:r>
          </w:p>
        </w:tc>
        <w:tc>
          <w:tcPr>
            <w:tcW w:w="115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(21,325</w:t>
            </w:r>
          </w:p>
        </w:tc>
        <w:tc>
          <w:tcPr>
            <w:tcW w:w="81"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70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Net income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jc w:val="right"/>
              <w:rPr/>
            </w:pPr>
            <w:r>
              <w:rPr>
                <w:rStyle w:val="Emphasis"/>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rPr/>
            </w:pPr>
            <w:r>
              <w:rPr/>
              <w:t> </w:t>
            </w:r>
          </w:p>
        </w:tc>
        <w:tc>
          <w:tcPr>
            <w:tcW w:w="441"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8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2,659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0" w:type="dxa"/>
            <w:tcBorders/>
            <w:shd w:fill="CCEEFF" w:val="clear"/>
            <w:vAlign w:val="center"/>
          </w:tcPr>
          <w:p>
            <w:pPr>
              <w:pStyle w:val="TableContents"/>
              <w:spacing w:before="0" w:after="283"/>
              <w:rPr/>
            </w:pPr>
            <w:r>
              <w:rPr/>
              <w:t> </w:t>
            </w:r>
          </w:p>
        </w:tc>
        <w:tc>
          <w:tcPr>
            <w:tcW w:w="1154"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2,659</w:t>
            </w:r>
          </w:p>
        </w:tc>
        <w:tc>
          <w:tcPr>
            <w:tcW w:w="81" w:type="dxa"/>
            <w:tcBorders/>
            <w:shd w:fill="CCEEFF" w:val="clear"/>
            <w:vAlign w:val="center"/>
          </w:tcPr>
          <w:p>
            <w:pPr>
              <w:pStyle w:val="TableContents"/>
              <w:spacing w:before="0" w:after="283"/>
              <w:rPr/>
            </w:pPr>
            <w:r>
              <w:rPr/>
              <w:t> </w:t>
            </w:r>
          </w:p>
        </w:tc>
      </w:tr>
      <w:tr>
        <w:trPr/>
        <w:tc>
          <w:tcPr>
            <w:tcW w:w="3700" w:type="dxa"/>
            <w:tcBorders/>
            <w:shd w:fill="FFFFFF" w:val="clear"/>
            <w:vAlign w:val="center"/>
          </w:tcPr>
          <w:p>
            <w:pPr>
              <w:pStyle w:val="TableContents"/>
              <w:spacing w:before="0" w:after="0"/>
              <w:ind w:left="180" w:right="0" w:hanging="0"/>
              <w:rPr>
                <w:rFonts w:ascii="Times New Roman" w:hAnsi="Times New Roman"/>
                <w:i/>
                <w:caps w:val="false"/>
                <w:smallCaps w:val="false"/>
                <w:sz w:val="20"/>
              </w:rPr>
            </w:pPr>
            <w:r>
              <w:rPr>
                <w:rFonts w:ascii="Times New Roman" w:hAnsi="Times New Roman"/>
                <w:i/>
                <w:caps w:val="false"/>
                <w:smallCaps w:val="false"/>
                <w:sz w:val="20"/>
              </w:rPr>
              <w:t>Other comprehensive loss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9" w:type="dxa"/>
            <w:tcBorders/>
            <w:shd w:fill="FFFFFF" w:val="clear"/>
            <w:vAlign w:val="center"/>
          </w:tcPr>
          <w:p>
            <w:pPr>
              <w:pStyle w:val="TableContents"/>
              <w:spacing w:before="0" w:after="283"/>
              <w:rPr/>
            </w:pPr>
            <w:r>
              <w:rPr/>
              <w:t> </w:t>
            </w:r>
          </w:p>
        </w:tc>
        <w:tc>
          <w:tcPr>
            <w:tcW w:w="441"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78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0" w:type="dxa"/>
            <w:tcBorders/>
            <w:shd w:fill="FFFFFF" w:val="clear"/>
            <w:vAlign w:val="center"/>
          </w:tcPr>
          <w:p>
            <w:pPr>
              <w:pStyle w:val="TableContents"/>
              <w:spacing w:before="0" w:after="283"/>
              <w:rPr/>
            </w:pPr>
            <w:r>
              <w:rPr/>
              <w:t> </w:t>
            </w:r>
          </w:p>
        </w:tc>
        <w:tc>
          <w:tcPr>
            <w:tcW w:w="1154"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81" w:type="dxa"/>
            <w:tcBorders/>
            <w:shd w:fill="FFFFFF" w:val="clear"/>
            <w:vAlign w:val="center"/>
          </w:tcPr>
          <w:p>
            <w:pPr>
              <w:pStyle w:val="TableContents"/>
              <w:spacing w:before="0" w:after="283"/>
              <w:rPr/>
            </w:pPr>
            <w:r>
              <w:rPr/>
              <w:t> </w:t>
            </w:r>
          </w:p>
        </w:tc>
      </w:tr>
      <w:tr>
        <w:trPr/>
        <w:tc>
          <w:tcPr>
            <w:tcW w:w="370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Foreign currency translation adjustment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jc w:val="right"/>
              <w:rPr/>
            </w:pPr>
            <w:r>
              <w:rPr>
                <w:rStyle w:val="Emphasis"/>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rPr/>
            </w:pPr>
            <w:r>
              <w:rPr/>
              <w:t> </w:t>
            </w:r>
          </w:p>
        </w:tc>
        <w:tc>
          <w:tcPr>
            <w:tcW w:w="441"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8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0" w:type="dxa"/>
            <w:tcBorders/>
            <w:shd w:fill="CCEEFF" w:val="clear"/>
            <w:vAlign w:val="center"/>
          </w:tcPr>
          <w:p>
            <w:pPr>
              <w:pStyle w:val="TableContents"/>
              <w:spacing w:before="0" w:after="283"/>
              <w:rPr/>
            </w:pPr>
            <w:r>
              <w:rPr/>
              <w:t> </w:t>
            </w:r>
          </w:p>
        </w:tc>
        <w:tc>
          <w:tcPr>
            <w:tcW w:w="1154"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527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527</w:t>
            </w:r>
          </w:p>
        </w:tc>
        <w:tc>
          <w:tcPr>
            <w:tcW w:w="81" w:type="dxa"/>
            <w:tcBorders/>
            <w:shd w:fill="CCEEFF" w:val="clear"/>
            <w:vAlign w:val="center"/>
          </w:tcPr>
          <w:p>
            <w:pPr>
              <w:pStyle w:val="TableContents"/>
              <w:spacing w:before="0" w:after="283"/>
              <w:rPr/>
            </w:pPr>
            <w:r>
              <w:rPr/>
              <w:t> </w:t>
            </w:r>
          </w:p>
        </w:tc>
      </w:tr>
      <w:tr>
        <w:trPr/>
        <w:tc>
          <w:tcPr>
            <w:tcW w:w="370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Net unrealized gains (losses) on investments in securities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jc w:val="right"/>
              <w:rPr/>
            </w:pPr>
            <w:r>
              <w:rPr>
                <w:rStyle w:val="Emphasis"/>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9" w:type="dxa"/>
            <w:tcBorders/>
            <w:shd w:fill="FFFFFF" w:val="clear"/>
            <w:vAlign w:val="center"/>
          </w:tcPr>
          <w:p>
            <w:pPr>
              <w:pStyle w:val="TableContents"/>
              <w:spacing w:before="0" w:after="283"/>
              <w:rPr/>
            </w:pPr>
            <w:r>
              <w:rPr/>
              <w:t> </w:t>
            </w:r>
          </w:p>
        </w:tc>
        <w:tc>
          <w:tcPr>
            <w:tcW w:w="441"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78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0" w:type="dxa"/>
            <w:tcBorders/>
            <w:shd w:fill="FFFFFF" w:val="clear"/>
            <w:vAlign w:val="center"/>
          </w:tcPr>
          <w:p>
            <w:pPr>
              <w:pStyle w:val="TableContents"/>
              <w:spacing w:before="0" w:after="283"/>
              <w:rPr/>
            </w:pPr>
            <w:r>
              <w:rPr/>
              <w:t> </w:t>
            </w:r>
          </w:p>
        </w:tc>
        <w:tc>
          <w:tcPr>
            <w:tcW w:w="1154"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334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334</w:t>
            </w:r>
          </w:p>
        </w:tc>
        <w:tc>
          <w:tcPr>
            <w:tcW w:w="81" w:type="dxa"/>
            <w:tcBorders/>
            <w:shd w:fill="FFFFFF" w:val="clear"/>
            <w:vAlign w:val="center"/>
          </w:tcPr>
          <w:p>
            <w:pPr>
              <w:pStyle w:val="TableContents"/>
              <w:spacing w:before="0" w:after="283"/>
              <w:rPr/>
            </w:pPr>
            <w:r>
              <w:rPr/>
              <w:t> </w:t>
            </w:r>
          </w:p>
        </w:tc>
      </w:tr>
      <w:tr>
        <w:trPr/>
        <w:tc>
          <w:tcPr>
            <w:tcW w:w="370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Comprehensive loss</w:t>
            </w:r>
          </w:p>
        </w:tc>
        <w:tc>
          <w:tcPr>
            <w:tcW w:w="60" w:type="dxa"/>
            <w:tcBorders/>
            <w:shd w:fill="CCEEFF" w:val="clear"/>
            <w:vAlign w:val="center"/>
          </w:tcPr>
          <w:p>
            <w:pPr>
              <w:pStyle w:val="TableContents"/>
              <w:spacing w:before="0" w:after="283"/>
              <w:rPr/>
            </w:pPr>
            <w:r>
              <w:rPr/>
              <w:t> </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950" w:type="dxa"/>
            <w:tcBorders>
              <w:bottom w:val="single" w:sz="2" w:space="0" w:color="000000"/>
            </w:tcBorders>
            <w:shd w:fill="CCEEFF" w:val="clear"/>
            <w:tcMar>
              <w:bottom w:w="28" w:type="dxa"/>
            </w:tcMar>
            <w:vAlign w:val="center"/>
          </w:tcPr>
          <w:p>
            <w:pPr>
              <w:pStyle w:val="TableContents"/>
              <w:spacing w:before="0" w:after="283"/>
              <w:jc w:val="right"/>
              <w:rPr/>
            </w:pPr>
            <w:r>
              <w:rPr>
                <w:rStyle w:val="Emphasis"/>
              </w:rPr>
              <w:t> </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9" w:type="dxa"/>
            <w:tcBorders>
              <w:bottom w:val="single" w:sz="2" w:space="0" w:color="000000"/>
            </w:tcBorders>
            <w:shd w:fill="CCEEFF" w:val="clear"/>
            <w:tcMar>
              <w:bottom w:w="28" w:type="dxa"/>
            </w:tcMar>
            <w:vAlign w:val="center"/>
          </w:tcPr>
          <w:p>
            <w:pPr>
              <w:pStyle w:val="TableContents"/>
              <w:spacing w:before="0" w:after="283"/>
              <w:rPr/>
            </w:pPr>
            <w:r>
              <w:rPr/>
              <w:t> </w:t>
            </w:r>
          </w:p>
        </w:tc>
        <w:tc>
          <w:tcPr>
            <w:tcW w:w="441" w:type="dxa"/>
            <w:tcBorders>
              <w:bottom w:val="single" w:sz="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2" w:space="0" w:color="000000"/>
            </w:tcBorders>
            <w:shd w:fill="CCEEFF" w:val="clear"/>
            <w:tcMar>
              <w:bottom w:w="28" w:type="dxa"/>
            </w:tcMar>
            <w:vAlign w:val="center"/>
          </w:tcPr>
          <w:p>
            <w:pPr>
              <w:pStyle w:val="TableContents"/>
              <w:spacing w:before="0" w:after="283"/>
              <w:rPr/>
            </w:pPr>
            <w:r>
              <w:rPr/>
              <w:t> </w:t>
            </w:r>
          </w:p>
        </w:tc>
        <w:tc>
          <w:tcPr>
            <w:tcW w:w="780" w:type="dxa"/>
            <w:tcBorders>
              <w:bottom w:val="single" w:sz="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1154" w:type="dxa"/>
            <w:tcBorders>
              <w:bottom w:val="single" w:sz="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3,520</w:t>
            </w:r>
          </w:p>
        </w:tc>
        <w:tc>
          <w:tcPr>
            <w:tcW w:w="81"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3700" w:type="dxa"/>
            <w:tcBorders/>
            <w:shd w:fill="FFFF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Balance at March 31, 2023</w:t>
            </w:r>
          </w:p>
        </w:tc>
        <w:tc>
          <w:tcPr>
            <w:tcW w:w="60" w:type="dxa"/>
            <w:tcBorders/>
            <w:shd w:fill="FFFFFF" w:val="clear"/>
            <w:vAlign w:val="center"/>
          </w:tcPr>
          <w:p>
            <w:pPr>
              <w:pStyle w:val="TableContents"/>
              <w:spacing w:before="0" w:after="283"/>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9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26,202,723</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3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4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8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465,185</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251,420</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6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54"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(33,494</w:t>
            </w:r>
          </w:p>
        </w:tc>
        <w:tc>
          <w:tcPr>
            <w:tcW w:w="80" w:type="dxa"/>
            <w:tcBorders>
              <w:bottom w:val="double" w:sz="6"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683,137</w:t>
            </w:r>
          </w:p>
        </w:tc>
        <w:tc>
          <w:tcPr>
            <w:tcW w:w="81" w:type="dxa"/>
            <w:tcBorders>
              <w:bottom w:val="double" w:sz="6" w:space="0" w:color="000000"/>
            </w:tcBorders>
            <w:shd w:fill="FFFFFF" w:val="clear"/>
            <w:tcMar>
              <w:bottom w:w="28" w:type="dxa"/>
            </w:tcMar>
            <w:vAlign w:val="center"/>
          </w:tcPr>
          <w:p>
            <w:pPr>
              <w:pStyle w:val="TableContents"/>
              <w:spacing w:before="0" w:after="283"/>
              <w:rPr/>
            </w:pPr>
            <w:r>
              <w:rPr/>
              <w:t> </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3757"/>
        <w:gridCol w:w="60"/>
        <w:gridCol w:w="60"/>
        <w:gridCol w:w="950"/>
        <w:gridCol w:w="60"/>
        <w:gridCol w:w="60"/>
        <w:gridCol w:w="239"/>
        <w:gridCol w:w="441"/>
        <w:gridCol w:w="60"/>
        <w:gridCol w:w="60"/>
        <w:gridCol w:w="140"/>
        <w:gridCol w:w="780"/>
        <w:gridCol w:w="80"/>
        <w:gridCol w:w="60"/>
        <w:gridCol w:w="125"/>
        <w:gridCol w:w="695"/>
        <w:gridCol w:w="60"/>
        <w:gridCol w:w="60"/>
        <w:gridCol w:w="260"/>
        <w:gridCol w:w="1157"/>
        <w:gridCol w:w="80"/>
        <w:gridCol w:w="60"/>
        <w:gridCol w:w="125"/>
        <w:gridCol w:w="695"/>
        <w:gridCol w:w="81"/>
      </w:tblGrid>
      <w:tr>
        <w:trPr/>
        <w:tc>
          <w:tcPr>
            <w:tcW w:w="3757"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810"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20"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Additional</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17"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Accumulated Other</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jc w:val="center"/>
              <w:rPr/>
            </w:pPr>
            <w:r>
              <w:rPr>
                <w:rStyle w:val="Emphasis"/>
              </w:rPr>
              <w:t> </w:t>
            </w:r>
          </w:p>
        </w:tc>
        <w:tc>
          <w:tcPr>
            <w:tcW w:w="81" w:type="dxa"/>
            <w:tcBorders/>
            <w:shd w:fill="FFFFFF" w:val="clear"/>
            <w:vAlign w:val="center"/>
          </w:tcPr>
          <w:p>
            <w:pPr>
              <w:pStyle w:val="TableContents"/>
              <w:spacing w:before="0" w:after="283"/>
              <w:rPr/>
            </w:pPr>
            <w:r>
              <w:rPr/>
              <w:t> </w:t>
            </w:r>
          </w:p>
        </w:tc>
      </w:tr>
      <w:tr>
        <w:trPr/>
        <w:tc>
          <w:tcPr>
            <w:tcW w:w="3757"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9" w:type="dxa"/>
            <w:tcBorders/>
            <w:shd w:fill="FFFFFF" w:val="clear"/>
            <w:vAlign w:val="center"/>
          </w:tcPr>
          <w:p>
            <w:pPr>
              <w:pStyle w:val="TableContents"/>
              <w:spacing w:before="0" w:after="283"/>
              <w:rPr/>
            </w:pPr>
            <w:r>
              <w:rPr/>
              <w:t> </w:t>
            </w:r>
          </w:p>
        </w:tc>
        <w:tc>
          <w:tcPr>
            <w:tcW w:w="441"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20"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Paid-In</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Retained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17"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Comprehensive</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jc w:val="center"/>
              <w:rPr/>
            </w:pPr>
            <w:r>
              <w:rPr>
                <w:rStyle w:val="Emphasis"/>
              </w:rPr>
              <w:t> </w:t>
            </w:r>
          </w:p>
        </w:tc>
        <w:tc>
          <w:tcPr>
            <w:tcW w:w="81" w:type="dxa"/>
            <w:tcBorders/>
            <w:shd w:fill="FFFFFF" w:val="clear"/>
            <w:vAlign w:val="center"/>
          </w:tcPr>
          <w:p>
            <w:pPr>
              <w:pStyle w:val="TableContents"/>
              <w:spacing w:before="0" w:after="283"/>
              <w:rPr/>
            </w:pPr>
            <w:r>
              <w:rPr/>
              <w:t> </w:t>
            </w:r>
          </w:p>
        </w:tc>
      </w:tr>
      <w:tr>
        <w:trPr/>
        <w:tc>
          <w:tcPr>
            <w:tcW w:w="3757"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1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Shares</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8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Capital</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Earnings</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17"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Loss</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Total</w:t>
            </w:r>
          </w:p>
        </w:tc>
        <w:tc>
          <w:tcPr>
            <w:tcW w:w="81"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3757"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9" w:type="dxa"/>
            <w:tcBorders/>
            <w:shd w:fill="FFFFFF" w:val="clear"/>
            <w:vAlign w:val="center"/>
          </w:tcPr>
          <w:p>
            <w:pPr>
              <w:pStyle w:val="TableContents"/>
              <w:spacing w:before="0" w:after="283"/>
              <w:rPr/>
            </w:pPr>
            <w:r>
              <w:rPr/>
              <w:t> </w:t>
            </w:r>
          </w:p>
        </w:tc>
        <w:tc>
          <w:tcPr>
            <w:tcW w:w="441"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78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0" w:type="dxa"/>
            <w:tcBorders/>
            <w:shd w:fill="FFFFFF" w:val="clear"/>
            <w:vAlign w:val="center"/>
          </w:tcPr>
          <w:p>
            <w:pPr>
              <w:pStyle w:val="TableContents"/>
              <w:spacing w:before="0" w:after="283"/>
              <w:rPr/>
            </w:pPr>
            <w:r>
              <w:rPr/>
              <w:t> </w:t>
            </w:r>
          </w:p>
        </w:tc>
        <w:tc>
          <w:tcPr>
            <w:tcW w:w="1157"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81" w:type="dxa"/>
            <w:tcBorders/>
            <w:shd w:fill="FFFFFF" w:val="clear"/>
            <w:vAlign w:val="center"/>
          </w:tcPr>
          <w:p>
            <w:pPr>
              <w:pStyle w:val="TableContents"/>
              <w:spacing w:before="0" w:after="283"/>
              <w:rPr/>
            </w:pPr>
            <w:r>
              <w:rPr/>
              <w:t> </w:t>
            </w:r>
          </w:p>
        </w:tc>
      </w:tr>
      <w:tr>
        <w:trPr/>
        <w:tc>
          <w:tcPr>
            <w:tcW w:w="3757"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Balance at December 31, 2021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27,465,945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ind w:left="0" w:right="0" w:hanging="0"/>
              <w:rPr/>
            </w:pPr>
            <w:r>
              <w:rPr/>
              <w:t> </w:t>
            </w:r>
          </w:p>
        </w:tc>
        <w:tc>
          <w:tcPr>
            <w:tcW w:w="44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ind w:left="0" w:right="0" w:hanging="0"/>
              <w:rPr/>
            </w:pPr>
            <w:r>
              <w:rPr/>
              <w:t> </w:t>
            </w:r>
          </w:p>
        </w:tc>
        <w:tc>
          <w:tcPr>
            <w:tcW w:w="78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468,548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376,734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0" w:type="dxa"/>
            <w:tcBorders/>
            <w:shd w:fill="CCEEFF" w:val="clear"/>
            <w:vAlign w:val="center"/>
          </w:tcPr>
          <w:p>
            <w:pPr>
              <w:pStyle w:val="TableContents"/>
              <w:spacing w:before="0" w:after="283"/>
              <w:ind w:left="0" w:right="0" w:hanging="0"/>
              <w:rPr/>
            </w:pPr>
            <w:r>
              <w:rPr/>
              <w:t> </w:t>
            </w:r>
          </w:p>
        </w:tc>
        <w:tc>
          <w:tcPr>
            <w:tcW w:w="115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(16,817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828,493</w:t>
            </w:r>
          </w:p>
        </w:tc>
        <w:tc>
          <w:tcPr>
            <w:tcW w:w="81" w:type="dxa"/>
            <w:tcBorders/>
            <w:shd w:fill="CCEEFF" w:val="clear"/>
            <w:vAlign w:val="center"/>
          </w:tcPr>
          <w:p>
            <w:pPr>
              <w:pStyle w:val="TableContents"/>
              <w:spacing w:before="0" w:after="283"/>
              <w:rPr/>
            </w:pPr>
            <w:r>
              <w:rPr/>
              <w:t> </w:t>
            </w:r>
          </w:p>
        </w:tc>
      </w:tr>
      <w:tr>
        <w:trPr/>
        <w:tc>
          <w:tcPr>
            <w:tcW w:w="3757"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Common shares issued on exercise of options and other, net of shares withheld for tax obligations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27,716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9" w:type="dxa"/>
            <w:tcBorders/>
            <w:shd w:fill="FFFFFF" w:val="clear"/>
            <w:vAlign w:val="center"/>
          </w:tcPr>
          <w:p>
            <w:pPr>
              <w:pStyle w:val="TableContents"/>
              <w:spacing w:before="0" w:after="283"/>
              <w:ind w:left="0" w:right="0" w:hanging="0"/>
              <w:rPr/>
            </w:pPr>
            <w:r>
              <w:rPr/>
              <w:t> </w:t>
            </w:r>
          </w:p>
        </w:tc>
        <w:tc>
          <w:tcPr>
            <w:tcW w:w="44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ind w:left="0" w:right="0" w:hanging="0"/>
              <w:rPr/>
            </w:pPr>
            <w:r>
              <w:rPr/>
              <w:t> </w:t>
            </w:r>
          </w:p>
        </w:tc>
        <w:tc>
          <w:tcPr>
            <w:tcW w:w="78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(462</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0" w:type="dxa"/>
            <w:tcBorders/>
            <w:shd w:fill="FFFFFF" w:val="clear"/>
            <w:vAlign w:val="center"/>
          </w:tcPr>
          <w:p>
            <w:pPr>
              <w:pStyle w:val="TableContents"/>
              <w:spacing w:before="0" w:after="283"/>
              <w:ind w:left="0" w:right="0" w:hanging="0"/>
              <w:rPr/>
            </w:pPr>
            <w:r>
              <w:rPr/>
              <w:t> </w:t>
            </w:r>
          </w:p>
        </w:tc>
        <w:tc>
          <w:tcPr>
            <w:tcW w:w="115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(462</w:t>
            </w:r>
          </w:p>
        </w:tc>
        <w:tc>
          <w:tcPr>
            <w:tcW w:w="81"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757"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pPr>
            <w:r>
              <w:rPr>
                <w:rStyle w:val="Emphasis"/>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ind w:left="0" w:right="0" w:hanging="0"/>
              <w:rPr/>
            </w:pPr>
            <w:r>
              <w:rPr/>
              <w:t> </w:t>
            </w:r>
          </w:p>
        </w:tc>
        <w:tc>
          <w:tcPr>
            <w:tcW w:w="44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ind w:left="0" w:right="0" w:hanging="0"/>
              <w:rPr/>
            </w:pPr>
            <w:r>
              <w:rPr/>
              <w:t> </w:t>
            </w:r>
          </w:p>
        </w:tc>
        <w:tc>
          <w:tcPr>
            <w:tcW w:w="78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4,397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0" w:type="dxa"/>
            <w:tcBorders/>
            <w:shd w:fill="CCEEFF" w:val="clear"/>
            <w:vAlign w:val="center"/>
          </w:tcPr>
          <w:p>
            <w:pPr>
              <w:pStyle w:val="TableContents"/>
              <w:spacing w:before="0" w:after="283"/>
              <w:ind w:left="0" w:right="0" w:hanging="0"/>
              <w:rPr/>
            </w:pPr>
            <w:r>
              <w:rPr/>
              <w:t> </w:t>
            </w:r>
          </w:p>
        </w:tc>
        <w:tc>
          <w:tcPr>
            <w:tcW w:w="115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4,397</w:t>
            </w:r>
          </w:p>
        </w:tc>
        <w:tc>
          <w:tcPr>
            <w:tcW w:w="81" w:type="dxa"/>
            <w:tcBorders/>
            <w:shd w:fill="CCEEFF" w:val="clear"/>
            <w:vAlign w:val="center"/>
          </w:tcPr>
          <w:p>
            <w:pPr>
              <w:pStyle w:val="TableContents"/>
              <w:spacing w:before="0" w:after="283"/>
              <w:rPr/>
            </w:pPr>
            <w:r>
              <w:rPr/>
              <w:t> </w:t>
            </w:r>
          </w:p>
        </w:tc>
      </w:tr>
      <w:tr>
        <w:trPr/>
        <w:tc>
          <w:tcPr>
            <w:tcW w:w="3757"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Repurchases of common stock</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9" w:type="dxa"/>
            <w:tcBorders/>
            <w:shd w:fill="FFFFFF" w:val="clear"/>
            <w:vAlign w:val="center"/>
          </w:tcPr>
          <w:p>
            <w:pPr>
              <w:pStyle w:val="TableContents"/>
              <w:spacing w:before="0" w:after="283"/>
              <w:ind w:left="0" w:right="0" w:hanging="0"/>
              <w:rPr/>
            </w:pPr>
            <w:r>
              <w:rPr/>
              <w:t> </w:t>
            </w:r>
          </w:p>
        </w:tc>
        <w:tc>
          <w:tcPr>
            <w:tcW w:w="44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ind w:left="0" w:right="0" w:hanging="0"/>
              <w:rPr/>
            </w:pPr>
            <w:r>
              <w:rPr/>
              <w:t> </w:t>
            </w:r>
          </w:p>
        </w:tc>
        <w:tc>
          <w:tcPr>
            <w:tcW w:w="78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0" w:type="dxa"/>
            <w:tcBorders/>
            <w:shd w:fill="FFFFFF" w:val="clear"/>
            <w:vAlign w:val="center"/>
          </w:tcPr>
          <w:p>
            <w:pPr>
              <w:pStyle w:val="TableContents"/>
              <w:spacing w:before="0" w:after="283"/>
              <w:ind w:left="0" w:right="0" w:hanging="0"/>
              <w:rPr/>
            </w:pPr>
            <w:r>
              <w:rPr/>
              <w:t> </w:t>
            </w:r>
          </w:p>
        </w:tc>
        <w:tc>
          <w:tcPr>
            <w:tcW w:w="115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spacing w:before="0" w:after="283"/>
              <w:rPr/>
            </w:pPr>
            <w:r>
              <w:rPr/>
              <w:t> </w:t>
            </w:r>
          </w:p>
        </w:tc>
      </w:tr>
      <w:tr>
        <w:trPr/>
        <w:tc>
          <w:tcPr>
            <w:tcW w:w="3757"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pPr>
            <w:r>
              <w:rPr>
                <w:rStyle w:val="Emphasis"/>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ind w:left="0" w:right="0" w:hanging="0"/>
              <w:rPr/>
            </w:pPr>
            <w:r>
              <w:rPr/>
              <w:t> </w:t>
            </w:r>
          </w:p>
        </w:tc>
        <w:tc>
          <w:tcPr>
            <w:tcW w:w="44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ind w:left="0" w:right="0" w:hanging="0"/>
              <w:rPr/>
            </w:pPr>
            <w:r>
              <w:rPr/>
              <w:t> </w:t>
            </w:r>
          </w:p>
        </w:tc>
        <w:tc>
          <w:tcPr>
            <w:tcW w:w="78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5,095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0" w:type="dxa"/>
            <w:tcBorders/>
            <w:shd w:fill="CCEEFF" w:val="clear"/>
            <w:vAlign w:val="center"/>
          </w:tcPr>
          <w:p>
            <w:pPr>
              <w:pStyle w:val="TableContents"/>
              <w:spacing w:before="0" w:after="283"/>
              <w:ind w:left="0" w:right="0" w:hanging="0"/>
              <w:rPr/>
            </w:pPr>
            <w:r>
              <w:rPr/>
              <w:t> </w:t>
            </w:r>
          </w:p>
        </w:tc>
        <w:tc>
          <w:tcPr>
            <w:tcW w:w="115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5,095</w:t>
            </w:r>
          </w:p>
        </w:tc>
        <w:tc>
          <w:tcPr>
            <w:tcW w:w="81" w:type="dxa"/>
            <w:tcBorders/>
            <w:shd w:fill="CCEEFF" w:val="clear"/>
            <w:vAlign w:val="center"/>
          </w:tcPr>
          <w:p>
            <w:pPr>
              <w:pStyle w:val="TableContents"/>
              <w:spacing w:before="0" w:after="283"/>
              <w:rPr/>
            </w:pPr>
            <w:r>
              <w:rPr/>
              <w:t> </w:t>
            </w:r>
          </w:p>
        </w:tc>
      </w:tr>
      <w:tr>
        <w:trPr/>
        <w:tc>
          <w:tcPr>
            <w:tcW w:w="3757" w:type="dxa"/>
            <w:tcBorders/>
            <w:shd w:fill="FFFFFF" w:val="clear"/>
            <w:vAlign w:val="center"/>
          </w:tcPr>
          <w:p>
            <w:pPr>
              <w:pStyle w:val="TableContents"/>
              <w:spacing w:before="0" w:after="0"/>
              <w:ind w:left="180" w:right="0" w:hanging="0"/>
              <w:rPr>
                <w:rFonts w:ascii="Times New Roman" w:hAnsi="Times New Roman"/>
                <w:i/>
                <w:caps w:val="false"/>
                <w:smallCaps w:val="false"/>
                <w:sz w:val="20"/>
              </w:rPr>
            </w:pPr>
            <w:r>
              <w:rPr>
                <w:rFonts w:ascii="Times New Roman" w:hAnsi="Times New Roman"/>
                <w:i/>
                <w:caps w:val="false"/>
                <w:smallCaps w:val="false"/>
                <w:sz w:val="20"/>
              </w:rPr>
              <w:t>Other comprehensive loss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9" w:type="dxa"/>
            <w:tcBorders/>
            <w:shd w:fill="FFFFFF" w:val="clear"/>
            <w:vAlign w:val="center"/>
          </w:tcPr>
          <w:p>
            <w:pPr>
              <w:pStyle w:val="TableContents"/>
              <w:spacing w:before="0" w:after="283"/>
              <w:rPr/>
            </w:pPr>
            <w:r>
              <w:rPr/>
              <w:t> </w:t>
            </w:r>
          </w:p>
        </w:tc>
        <w:tc>
          <w:tcPr>
            <w:tcW w:w="441"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78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0" w:type="dxa"/>
            <w:tcBorders/>
            <w:shd w:fill="FFFFFF" w:val="clear"/>
            <w:vAlign w:val="center"/>
          </w:tcPr>
          <w:p>
            <w:pPr>
              <w:pStyle w:val="TableContents"/>
              <w:spacing w:before="0" w:after="283"/>
              <w:rPr/>
            </w:pPr>
            <w:r>
              <w:rPr/>
              <w:t> </w:t>
            </w:r>
          </w:p>
        </w:tc>
        <w:tc>
          <w:tcPr>
            <w:tcW w:w="1157"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81" w:type="dxa"/>
            <w:tcBorders/>
            <w:shd w:fill="FFFFFF" w:val="clear"/>
            <w:vAlign w:val="center"/>
          </w:tcPr>
          <w:p>
            <w:pPr>
              <w:pStyle w:val="TableContents"/>
              <w:spacing w:before="0" w:after="283"/>
              <w:rPr/>
            </w:pPr>
            <w:r>
              <w:rPr/>
              <w:t> </w:t>
            </w:r>
          </w:p>
        </w:tc>
      </w:tr>
      <w:tr>
        <w:trPr/>
        <w:tc>
          <w:tcPr>
            <w:tcW w:w="3757"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Foreign currency translation adjustment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pPr>
            <w:r>
              <w:rPr>
                <w:rStyle w:val="Emphasis"/>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ind w:left="0" w:right="0" w:hanging="0"/>
              <w:rPr/>
            </w:pPr>
            <w:r>
              <w:rPr/>
              <w:t> </w:t>
            </w:r>
          </w:p>
        </w:tc>
        <w:tc>
          <w:tcPr>
            <w:tcW w:w="44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ind w:left="0" w:right="0" w:hanging="0"/>
              <w:rPr/>
            </w:pPr>
            <w:r>
              <w:rPr/>
              <w:t> </w:t>
            </w:r>
          </w:p>
        </w:tc>
        <w:tc>
          <w:tcPr>
            <w:tcW w:w="78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0" w:type="dxa"/>
            <w:tcBorders/>
            <w:shd w:fill="CCEEFF" w:val="clear"/>
            <w:vAlign w:val="center"/>
          </w:tcPr>
          <w:p>
            <w:pPr>
              <w:pStyle w:val="TableContents"/>
              <w:spacing w:before="0" w:after="283"/>
              <w:ind w:left="0" w:right="0" w:hanging="0"/>
              <w:rPr/>
            </w:pPr>
            <w:r>
              <w:rPr/>
              <w:t> </w:t>
            </w:r>
          </w:p>
        </w:tc>
        <w:tc>
          <w:tcPr>
            <w:tcW w:w="115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(4,972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(4,972</w:t>
            </w:r>
          </w:p>
        </w:tc>
        <w:tc>
          <w:tcPr>
            <w:tcW w:w="81"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757"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Net unrealized gains (losses) on investments in securities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50" w:type="dxa"/>
            <w:tcBorders/>
            <w:shd w:fill="FFFFFF" w:val="clear"/>
            <w:vAlign w:val="center"/>
          </w:tcPr>
          <w:p>
            <w:pPr>
              <w:pStyle w:val="TableContents"/>
              <w:spacing w:before="0" w:after="283"/>
              <w:ind w:left="0" w:right="0" w:hanging="0"/>
              <w:jc w:val="right"/>
              <w:rPr/>
            </w:pPr>
            <w:r>
              <w:rPr>
                <w:rStyle w:val="Emphasis"/>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9" w:type="dxa"/>
            <w:tcBorders/>
            <w:shd w:fill="FFFFFF" w:val="clear"/>
            <w:vAlign w:val="center"/>
          </w:tcPr>
          <w:p>
            <w:pPr>
              <w:pStyle w:val="TableContents"/>
              <w:spacing w:before="0" w:after="283"/>
              <w:ind w:left="0" w:right="0" w:hanging="0"/>
              <w:rPr/>
            </w:pPr>
            <w:r>
              <w:rPr/>
              <w:t> </w:t>
            </w:r>
          </w:p>
        </w:tc>
        <w:tc>
          <w:tcPr>
            <w:tcW w:w="44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ind w:left="0" w:right="0" w:hanging="0"/>
              <w:rPr/>
            </w:pPr>
            <w:r>
              <w:rPr/>
              <w:t> </w:t>
            </w:r>
          </w:p>
        </w:tc>
        <w:tc>
          <w:tcPr>
            <w:tcW w:w="78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0" w:type="dxa"/>
            <w:tcBorders/>
            <w:shd w:fill="FFFFFF" w:val="clear"/>
            <w:vAlign w:val="center"/>
          </w:tcPr>
          <w:p>
            <w:pPr>
              <w:pStyle w:val="TableContents"/>
              <w:spacing w:before="0" w:after="283"/>
              <w:ind w:left="0" w:right="0" w:hanging="0"/>
              <w:rPr/>
            </w:pPr>
            <w:r>
              <w:rPr/>
              <w:t> </w:t>
            </w:r>
          </w:p>
        </w:tc>
        <w:tc>
          <w:tcPr>
            <w:tcW w:w="115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(516</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(516</w:t>
            </w:r>
          </w:p>
        </w:tc>
        <w:tc>
          <w:tcPr>
            <w:tcW w:w="81"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757"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Comprehensive loss</w:t>
            </w:r>
          </w:p>
        </w:tc>
        <w:tc>
          <w:tcPr>
            <w:tcW w:w="60" w:type="dxa"/>
            <w:tcBorders/>
            <w:shd w:fill="CCEEFF" w:val="clear"/>
            <w:vAlign w:val="center"/>
          </w:tcPr>
          <w:p>
            <w:pPr>
              <w:pStyle w:val="TableContents"/>
              <w:spacing w:before="0" w:after="283"/>
              <w:rPr/>
            </w:pPr>
            <w:r>
              <w:rPr/>
              <w:t> </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950" w:type="dxa"/>
            <w:tcBorders>
              <w:bottom w:val="single" w:sz="2" w:space="0" w:color="000000"/>
            </w:tcBorders>
            <w:shd w:fill="CCEEFF" w:val="clear"/>
            <w:tcMar>
              <w:bottom w:w="28" w:type="dxa"/>
            </w:tcMar>
            <w:vAlign w:val="center"/>
          </w:tcPr>
          <w:p>
            <w:pPr>
              <w:pStyle w:val="TableContents"/>
              <w:spacing w:before="0" w:after="283"/>
              <w:jc w:val="right"/>
              <w:rPr/>
            </w:pPr>
            <w:r>
              <w:rPr>
                <w:rStyle w:val="Emphasis"/>
              </w:rPr>
              <w:t> </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9" w:type="dxa"/>
            <w:tcBorders>
              <w:bottom w:val="single" w:sz="2" w:space="0" w:color="000000"/>
            </w:tcBorders>
            <w:shd w:fill="CCEEFF" w:val="clear"/>
            <w:tcMar>
              <w:bottom w:w="28" w:type="dxa"/>
            </w:tcMar>
            <w:vAlign w:val="center"/>
          </w:tcPr>
          <w:p>
            <w:pPr>
              <w:pStyle w:val="TableContents"/>
              <w:spacing w:before="0" w:after="283"/>
              <w:rPr/>
            </w:pPr>
            <w:r>
              <w:rPr/>
              <w:t> </w:t>
            </w:r>
          </w:p>
        </w:tc>
        <w:tc>
          <w:tcPr>
            <w:tcW w:w="441" w:type="dxa"/>
            <w:tcBorders>
              <w:bottom w:val="single" w:sz="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2" w:space="0" w:color="000000"/>
            </w:tcBorders>
            <w:shd w:fill="CCEEFF" w:val="clear"/>
            <w:tcMar>
              <w:bottom w:w="28" w:type="dxa"/>
            </w:tcMar>
            <w:vAlign w:val="center"/>
          </w:tcPr>
          <w:p>
            <w:pPr>
              <w:pStyle w:val="TableContents"/>
              <w:spacing w:before="0" w:after="283"/>
              <w:rPr/>
            </w:pPr>
            <w:r>
              <w:rPr/>
              <w:t> </w:t>
            </w:r>
          </w:p>
        </w:tc>
        <w:tc>
          <w:tcPr>
            <w:tcW w:w="780" w:type="dxa"/>
            <w:tcBorders>
              <w:bottom w:val="single" w:sz="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1157" w:type="dxa"/>
            <w:tcBorders>
              <w:bottom w:val="single" w:sz="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(393</w:t>
            </w:r>
          </w:p>
        </w:tc>
        <w:tc>
          <w:tcPr>
            <w:tcW w:w="81"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757" w:type="dxa"/>
            <w:tcBorders/>
            <w:shd w:fill="FFFF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Balance at March 31, 2022</w:t>
            </w:r>
          </w:p>
        </w:tc>
        <w:tc>
          <w:tcPr>
            <w:tcW w:w="60" w:type="dxa"/>
            <w:tcBorders/>
            <w:shd w:fill="FFFFFF" w:val="clear"/>
            <w:vAlign w:val="center"/>
          </w:tcPr>
          <w:p>
            <w:pPr>
              <w:pStyle w:val="TableContents"/>
              <w:spacing w:before="0" w:after="283"/>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9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27,493,661</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3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4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8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472,483</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381,829</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6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57"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(22,305</w:t>
            </w:r>
          </w:p>
        </w:tc>
        <w:tc>
          <w:tcPr>
            <w:tcW w:w="80" w:type="dxa"/>
            <w:tcBorders>
              <w:bottom w:val="double" w:sz="6"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832,035</w:t>
            </w:r>
          </w:p>
        </w:tc>
        <w:tc>
          <w:tcPr>
            <w:tcW w:w="81" w:type="dxa"/>
            <w:tcBorders>
              <w:bottom w:val="double" w:sz="6" w:space="0" w:color="000000"/>
            </w:tcBorders>
            <w:shd w:fill="FFFFFF" w:val="clear"/>
            <w:tcMar>
              <w:bottom w:w="28" w:type="dxa"/>
            </w:tcMar>
            <w:vAlign w:val="center"/>
          </w:tcPr>
          <w:p>
            <w:pPr>
              <w:pStyle w:val="TableContents"/>
              <w:spacing w:before="0" w:after="283"/>
              <w:rPr/>
            </w:pPr>
            <w:r>
              <w:rPr/>
              <w:t> </w:t>
            </w:r>
          </w:p>
        </w:tc>
      </w:tr>
    </w:tbl>
    <w:p>
      <w:pPr>
        <w:pStyle w:val="TextBody"/>
        <w:rPr/>
      </w:pPr>
      <w:r>
        <w:rPr/>
        <w:t> </w:t>
      </w:r>
    </w:p>
    <w:p>
      <w:pPr>
        <w:pStyle w:val="HorizontalLine"/>
        <w:rPr/>
      </w:pPr>
      <w:r>
        <w:rPr/>
      </w:r>
    </w:p>
    <w:p>
      <w:pPr>
        <w:pStyle w:val="TextBody"/>
        <w:spacing w:before="0" w:after="0"/>
        <w:ind w:left="0" w:right="0" w:hanging="0"/>
        <w:jc w:val="left"/>
        <w:rPr/>
      </w:pPr>
      <w:r>
        <w:rPr/>
        <w:t> </w:t>
      </w:r>
    </w:p>
    <w:tbl>
      <w:tblPr>
        <w:tblW w:w="7100" w:type="dxa"/>
        <w:jc w:val="left"/>
        <w:tblInd w:w="0" w:type="dxa"/>
        <w:tblCellMar>
          <w:top w:w="0" w:type="dxa"/>
          <w:left w:w="0" w:type="dxa"/>
          <w:bottom w:w="0" w:type="dxa"/>
          <w:right w:w="0" w:type="dxa"/>
        </w:tblCellMar>
      </w:tblPr>
      <w:tblGrid>
        <w:gridCol w:w="7100"/>
      </w:tblGrid>
      <w:tr>
        <w:trPr/>
        <w:tc>
          <w:tcPr>
            <w:tcW w:w="710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tc>
      </w:tr>
    </w:tbl>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left"/>
        <w:rPr/>
      </w:pPr>
      <w:r>
        <w:rPr/>
        <w:t> </w:t>
      </w:r>
    </w:p>
    <w:p>
      <w:pPr>
        <w:pStyle w:val="TextBody"/>
        <w:spacing w:before="0" w:after="0"/>
        <w:ind w:left="0" w:right="0" w:hanging="0"/>
        <w:jc w:val="left"/>
        <w:rPr/>
      </w:pPr>
      <w:r>
        <w:rPr/>
        <w:t> </w:t>
      </w:r>
    </w:p>
    <w:tbl>
      <w:tblPr>
        <w:tblW w:w="3335" w:type="dxa"/>
        <w:jc w:val="left"/>
        <w:tblInd w:w="0" w:type="dxa"/>
        <w:tblCellMar>
          <w:top w:w="0" w:type="dxa"/>
          <w:left w:w="0" w:type="dxa"/>
          <w:bottom w:w="0" w:type="dxa"/>
          <w:right w:w="0" w:type="dxa"/>
        </w:tblCellMar>
      </w:tblPr>
      <w:tblGrid>
        <w:gridCol w:w="3335"/>
      </w:tblGrid>
      <w:tr>
        <w:trPr/>
        <w:tc>
          <w:tcPr>
            <w:tcW w:w="3335"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Proto Labs, Inc.</w:t>
            </w:r>
          </w:p>
        </w:tc>
      </w:tr>
      <w:tr>
        <w:trPr/>
        <w:tc>
          <w:tcPr>
            <w:tcW w:w="3335"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tc>
      </w:tr>
      <w:tr>
        <w:trPr/>
        <w:tc>
          <w:tcPr>
            <w:tcW w:w="3335"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3335"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c>
      </w:tr>
    </w:tbl>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tbl>
      <w:tblPr>
        <w:tblW w:w="8517" w:type="dxa"/>
        <w:jc w:val="left"/>
        <w:tblInd w:w="0" w:type="dxa"/>
        <w:tblCellMar>
          <w:top w:w="0" w:type="dxa"/>
          <w:left w:w="0" w:type="dxa"/>
          <w:bottom w:w="0" w:type="dxa"/>
          <w:right w:w="0" w:type="dxa"/>
        </w:tblCellMar>
      </w:tblPr>
      <w:tblGrid>
        <w:gridCol w:w="6620"/>
        <w:gridCol w:w="60"/>
        <w:gridCol w:w="130"/>
        <w:gridCol w:w="676"/>
        <w:gridCol w:w="83"/>
        <w:gridCol w:w="62"/>
        <w:gridCol w:w="130"/>
        <w:gridCol w:w="676"/>
        <w:gridCol w:w="80"/>
      </w:tblGrid>
      <w:tr>
        <w:trPr/>
        <w:tc>
          <w:tcPr>
            <w:tcW w:w="66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57" w:type="dxa"/>
            <w:gridSpan w:val="6"/>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w:t>
            </w:r>
          </w:p>
        </w:tc>
        <w:tc>
          <w:tcPr>
            <w:tcW w:w="80" w:type="dxa"/>
            <w:tcBorders/>
            <w:shd w:fill="FFFFFF" w:val="cle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57"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March 31,</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06"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2023</w:t>
            </w:r>
          </w:p>
        </w:tc>
        <w:tc>
          <w:tcPr>
            <w:tcW w:w="83" w:type="dxa"/>
            <w:tcBorders>
              <w:bottom w:val="single" w:sz="2" w:space="0" w:color="000000"/>
            </w:tcBorders>
            <w:shd w:fill="FFFFFF" w:val="clear"/>
            <w:tcMar>
              <w:bottom w:w="28" w:type="dxa"/>
            </w:tcMar>
            <w:vAlign w:val="center"/>
          </w:tcPr>
          <w:p>
            <w:pPr>
              <w:pStyle w:val="TableContents"/>
              <w:spacing w:before="0" w:after="283"/>
              <w:rPr/>
            </w:pPr>
            <w:r>
              <w:rPr/>
              <w:t> </w:t>
            </w:r>
          </w:p>
        </w:tc>
        <w:tc>
          <w:tcPr>
            <w:tcW w:w="62" w:type="dxa"/>
            <w:tcBorders/>
            <w:shd w:fill="FFFFFF" w:val="clear"/>
            <w:vAlign w:val="center"/>
          </w:tcPr>
          <w:p>
            <w:pPr>
              <w:pStyle w:val="TableContents"/>
              <w:spacing w:before="0" w:after="283"/>
              <w:ind w:left="0" w:right="0" w:hanging="0"/>
              <w:rPr/>
            </w:pPr>
            <w:r>
              <w:rPr/>
              <w:t> </w:t>
            </w:r>
          </w:p>
        </w:tc>
        <w:tc>
          <w:tcPr>
            <w:tcW w:w="806"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rPr/>
            </w:pPr>
            <w:r>
              <w:rPr/>
              <w:t> </w:t>
            </w:r>
          </w:p>
        </w:tc>
        <w:tc>
          <w:tcPr>
            <w:tcW w:w="676"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rPr/>
            </w:pPr>
            <w:r>
              <w:rPr/>
              <w:t> </w:t>
            </w:r>
          </w:p>
        </w:tc>
        <w:tc>
          <w:tcPr>
            <w:tcW w:w="676"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Operating activities</w:t>
            </w:r>
          </w:p>
        </w:tc>
        <w:tc>
          <w:tcPr>
            <w:tcW w:w="60"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676"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676"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ind w:left="360" w:right="0" w:hanging="0"/>
              <w:rPr/>
            </w:pPr>
            <w:r>
              <w:rPr/>
              <w:t> </w:t>
            </w:r>
          </w:p>
        </w:tc>
      </w:tr>
      <w:tr>
        <w:trPr/>
        <w:tc>
          <w:tcPr>
            <w:tcW w:w="6620" w:type="dxa"/>
            <w:tcBorders/>
            <w:shd w:fill="FFFF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spacing w:before="0" w:after="283"/>
              <w:ind w:left="0" w:right="0" w:hanging="0"/>
              <w:rPr/>
            </w:pPr>
            <w:r>
              <w:rPr/>
              <w:t> </w:t>
            </w:r>
          </w:p>
        </w:tc>
        <w:tc>
          <w:tcPr>
            <w:tcW w:w="130"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7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2,659</w:t>
            </w:r>
          </w:p>
        </w:tc>
        <w:tc>
          <w:tcPr>
            <w:tcW w:w="83"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ind w:left="0" w:right="0" w:hanging="0"/>
              <w:rPr/>
            </w:pPr>
            <w:r>
              <w:rPr/>
              <w:t> </w:t>
            </w:r>
          </w:p>
        </w:tc>
        <w:tc>
          <w:tcPr>
            <w:tcW w:w="130"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7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5,095</w:t>
            </w:r>
          </w:p>
        </w:tc>
        <w:tc>
          <w:tcPr>
            <w:tcW w:w="80" w:type="dxa"/>
            <w:tcBorders/>
            <w:shd w:fill="FFFFFF" w:val="clear"/>
            <w:vAlign w:val="center"/>
          </w:tcPr>
          <w:p>
            <w:pPr>
              <w:pStyle w:val="TableContents"/>
              <w:spacing w:before="0" w:after="283"/>
              <w:ind w:left="360" w:right="0" w:hanging="0"/>
              <w:rPr/>
            </w:pPr>
            <w:r>
              <w:rPr/>
              <w:t> </w:t>
            </w:r>
          </w:p>
        </w:tc>
      </w:tr>
      <w:tr>
        <w:trPr/>
        <w:tc>
          <w:tcPr>
            <w:tcW w:w="6620" w:type="dxa"/>
            <w:tcBorders/>
            <w:shd w:fill="CCEE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Adjustments to reconcile net income to net cash provided by operating activities:</w:t>
            </w:r>
          </w:p>
        </w:tc>
        <w:tc>
          <w:tcPr>
            <w:tcW w:w="60"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676"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676"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Depreciation and amortization</w:t>
            </w:r>
          </w:p>
        </w:tc>
        <w:tc>
          <w:tcPr>
            <w:tcW w:w="60"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rPr/>
            </w:pPr>
            <w:r>
              <w:rPr/>
              <w:t> </w:t>
            </w:r>
          </w:p>
        </w:tc>
        <w:tc>
          <w:tcPr>
            <w:tcW w:w="676"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9,388</w:t>
            </w:r>
          </w:p>
        </w:tc>
        <w:tc>
          <w:tcPr>
            <w:tcW w:w="83"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rPr/>
            </w:pPr>
            <w:r>
              <w:rPr/>
              <w:t> </w:t>
            </w:r>
          </w:p>
        </w:tc>
        <w:tc>
          <w:tcPr>
            <w:tcW w:w="676"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10,232</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Stock-based compensation expense</w:t>
            </w:r>
          </w:p>
        </w:tc>
        <w:tc>
          <w:tcPr>
            <w:tcW w:w="60"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676"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3,695</w:t>
            </w:r>
          </w:p>
        </w:tc>
        <w:tc>
          <w:tcPr>
            <w:tcW w:w="83"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676"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4,397</w:t>
            </w:r>
          </w:p>
        </w:tc>
        <w:tc>
          <w:tcPr>
            <w:tcW w:w="80" w:type="dxa"/>
            <w:tcBorders/>
            <w:shd w:fill="CCEEFF" w:val="cle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Deferred taxes</w:t>
            </w:r>
          </w:p>
        </w:tc>
        <w:tc>
          <w:tcPr>
            <w:tcW w:w="60"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rPr/>
            </w:pPr>
            <w:r>
              <w:rPr/>
              <w:t> </w:t>
            </w:r>
          </w:p>
        </w:tc>
        <w:tc>
          <w:tcPr>
            <w:tcW w:w="676"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(3,096</w:t>
            </w:r>
          </w:p>
        </w:tc>
        <w:tc>
          <w:tcPr>
            <w:tcW w:w="8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2"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rPr/>
            </w:pPr>
            <w:r>
              <w:rPr/>
              <w:t> </w:t>
            </w:r>
          </w:p>
        </w:tc>
        <w:tc>
          <w:tcPr>
            <w:tcW w:w="676"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(3,213</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Interest on finance lease obligations</w:t>
            </w:r>
          </w:p>
        </w:tc>
        <w:tc>
          <w:tcPr>
            <w:tcW w:w="60"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676"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287</w:t>
            </w:r>
          </w:p>
        </w:tc>
        <w:tc>
          <w:tcPr>
            <w:tcW w:w="83"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676"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Other</w:t>
            </w:r>
          </w:p>
        </w:tc>
        <w:tc>
          <w:tcPr>
            <w:tcW w:w="60"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rPr/>
            </w:pPr>
            <w:r>
              <w:rPr/>
              <w:t> </w:t>
            </w:r>
          </w:p>
        </w:tc>
        <w:tc>
          <w:tcPr>
            <w:tcW w:w="676"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(46</w:t>
            </w:r>
          </w:p>
        </w:tc>
        <w:tc>
          <w:tcPr>
            <w:tcW w:w="8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2"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rPr/>
            </w:pPr>
            <w:r>
              <w:rPr/>
              <w:t> </w:t>
            </w:r>
          </w:p>
        </w:tc>
        <w:tc>
          <w:tcPr>
            <w:tcW w:w="676"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79</w:t>
            </w:r>
          </w:p>
        </w:tc>
        <w:tc>
          <w:tcPr>
            <w:tcW w:w="80" w:type="dxa"/>
            <w:tcBorders/>
            <w:shd w:fill="FFFFFF" w:val="clear"/>
            <w:vAlign w:val="center"/>
          </w:tcPr>
          <w:p>
            <w:pPr>
              <w:pStyle w:val="TableContents"/>
              <w:spacing w:before="0" w:after="283"/>
              <w:ind w:left="540" w:right="0" w:hanging="0"/>
              <w:rPr/>
            </w:pPr>
            <w:r>
              <w:rPr/>
              <w:t> </w:t>
            </w:r>
          </w:p>
        </w:tc>
      </w:tr>
      <w:tr>
        <w:trPr/>
        <w:tc>
          <w:tcPr>
            <w:tcW w:w="6620" w:type="dxa"/>
            <w:tcBorders/>
            <w:shd w:fill="CCEEFF" w:val="clear"/>
            <w:vAlign w:val="center"/>
          </w:tcPr>
          <w:p>
            <w:pPr>
              <w:pStyle w:val="TableContents"/>
              <w:spacing w:before="0" w:after="0"/>
              <w:ind w:left="1080" w:right="0" w:hanging="0"/>
              <w:rPr>
                <w:rFonts w:ascii="Times New Roman" w:hAnsi="Times New Roman"/>
                <w:caps w:val="false"/>
                <w:smallCaps w:val="false"/>
                <w:sz w:val="20"/>
              </w:rPr>
            </w:pPr>
            <w:r>
              <w:rPr>
                <w:rFonts w:ascii="Times New Roman" w:hAnsi="Times New Roman"/>
                <w:caps w:val="false"/>
                <w:smallCaps w:val="false"/>
                <w:sz w:val="20"/>
              </w:rPr>
              <w:t>Changes in operating assets and liabilities:</w:t>
            </w:r>
          </w:p>
        </w:tc>
        <w:tc>
          <w:tcPr>
            <w:tcW w:w="60"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676"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676"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Accounts receivable</w:t>
            </w:r>
          </w:p>
        </w:tc>
        <w:tc>
          <w:tcPr>
            <w:tcW w:w="60"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rPr/>
            </w:pPr>
            <w:r>
              <w:rPr/>
              <w:t> </w:t>
            </w:r>
          </w:p>
        </w:tc>
        <w:tc>
          <w:tcPr>
            <w:tcW w:w="676"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(2,328</w:t>
            </w:r>
          </w:p>
        </w:tc>
        <w:tc>
          <w:tcPr>
            <w:tcW w:w="8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2"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rPr/>
            </w:pPr>
            <w:r>
              <w:rPr/>
              <w:t> </w:t>
            </w:r>
          </w:p>
        </w:tc>
        <w:tc>
          <w:tcPr>
            <w:tcW w:w="676"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(6,329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Inventories</w:t>
            </w:r>
          </w:p>
        </w:tc>
        <w:tc>
          <w:tcPr>
            <w:tcW w:w="60"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676"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(641</w:t>
            </w:r>
          </w:p>
        </w:tc>
        <w:tc>
          <w:tcPr>
            <w:tcW w:w="83"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676"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(675</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Prepaid expenses and other</w:t>
            </w:r>
          </w:p>
        </w:tc>
        <w:tc>
          <w:tcPr>
            <w:tcW w:w="60"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rPr/>
            </w:pPr>
            <w:r>
              <w:rPr/>
              <w:t> </w:t>
            </w:r>
          </w:p>
        </w:tc>
        <w:tc>
          <w:tcPr>
            <w:tcW w:w="676"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1,464</w:t>
            </w:r>
          </w:p>
        </w:tc>
        <w:tc>
          <w:tcPr>
            <w:tcW w:w="83"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rPr/>
            </w:pPr>
            <w:r>
              <w:rPr/>
              <w:t> </w:t>
            </w:r>
          </w:p>
        </w:tc>
        <w:tc>
          <w:tcPr>
            <w:tcW w:w="676"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1,110</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Income taxes</w:t>
            </w:r>
          </w:p>
        </w:tc>
        <w:tc>
          <w:tcPr>
            <w:tcW w:w="60"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676"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5,160</w:t>
            </w:r>
          </w:p>
        </w:tc>
        <w:tc>
          <w:tcPr>
            <w:tcW w:w="83"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676"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4,519</w:t>
            </w:r>
          </w:p>
        </w:tc>
        <w:tc>
          <w:tcPr>
            <w:tcW w:w="80" w:type="dxa"/>
            <w:tcBorders/>
            <w:shd w:fill="CCEEFF" w:val="cle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Accounts payable</w:t>
            </w:r>
          </w:p>
        </w:tc>
        <w:tc>
          <w:tcPr>
            <w:tcW w:w="60"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rPr/>
            </w:pPr>
            <w:r>
              <w:rPr/>
              <w:t> </w:t>
            </w:r>
          </w:p>
        </w:tc>
        <w:tc>
          <w:tcPr>
            <w:tcW w:w="676"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2,536</w:t>
            </w:r>
          </w:p>
        </w:tc>
        <w:tc>
          <w:tcPr>
            <w:tcW w:w="83"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rPr/>
            </w:pPr>
            <w:r>
              <w:rPr/>
              <w:t> </w:t>
            </w:r>
          </w:p>
        </w:tc>
        <w:tc>
          <w:tcPr>
            <w:tcW w:w="676"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(326</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Accrued liabilities and other</w:t>
            </w:r>
          </w:p>
        </w:tc>
        <w:tc>
          <w:tcPr>
            <w:tcW w:w="60" w:type="dxa"/>
            <w:tcBorders/>
            <w:shd w:fill="CCEEFF" w:val="clear"/>
            <w:vAlign w:val="center"/>
          </w:tcPr>
          <w:p>
            <w:pPr>
              <w:pStyle w:val="TableContents"/>
              <w:spacing w:before="0" w:after="283"/>
              <w:ind w:left="0" w:right="0" w:hanging="0"/>
              <w:rPr/>
            </w:pPr>
            <w:r>
              <w:rPr/>
              <w:t> </w:t>
            </w:r>
          </w:p>
        </w:tc>
        <w:tc>
          <w:tcPr>
            <w:tcW w:w="13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3,500</w:t>
            </w:r>
          </w:p>
        </w:tc>
        <w:tc>
          <w:tcPr>
            <w:tcW w:w="83" w:type="dxa"/>
            <w:tcBorders>
              <w:bottom w:val="single" w:sz="2" w:space="0" w:color="000000"/>
            </w:tcBorders>
            <w:shd w:fill="CCEEFF" w:val="clear"/>
            <w:tcMar>
              <w:bottom w:w="28" w:type="dxa"/>
            </w:tcMar>
            <w:vAlign w:val="center"/>
          </w:tcPr>
          <w:p>
            <w:pPr>
              <w:pStyle w:val="TableContents"/>
              <w:spacing w:before="0" w:after="0"/>
              <w:rPr/>
            </w:pPr>
            <w:r>
              <w:rPr/>
              <w:t> </w:t>
            </w:r>
          </w:p>
        </w:tc>
        <w:tc>
          <w:tcPr>
            <w:tcW w:w="62" w:type="dxa"/>
            <w:tcBorders/>
            <w:shd w:fill="CCEEFF" w:val="clear"/>
            <w:vAlign w:val="center"/>
          </w:tcPr>
          <w:p>
            <w:pPr>
              <w:pStyle w:val="TableContents"/>
              <w:spacing w:before="0" w:after="283"/>
              <w:ind w:left="0" w:right="0" w:hanging="0"/>
              <w:rPr/>
            </w:pPr>
            <w:r>
              <w:rPr/>
              <w:t> </w:t>
            </w:r>
          </w:p>
        </w:tc>
        <w:tc>
          <w:tcPr>
            <w:tcW w:w="13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2,894</w:t>
            </w:r>
          </w:p>
        </w:tc>
        <w:tc>
          <w:tcPr>
            <w:tcW w:w="80" w:type="dxa"/>
            <w:tcBorders>
              <w:bottom w:val="single" w:sz="2" w:space="0" w:color="000000"/>
            </w:tcBorders>
            <w:shd w:fill="CCEEFF" w:val="clear"/>
            <w:tcMar>
              <w:bottom w:w="28" w:type="dxa"/>
            </w:tcMar>
            <w:vAlign w:val="center"/>
          </w:tcPr>
          <w:p>
            <w:pPr>
              <w:pStyle w:val="TableContents"/>
              <w:spacing w:before="0" w:after="0"/>
              <w:ind w:left="360" w:right="0" w:hanging="0"/>
              <w:rPr/>
            </w:pPr>
            <w:r>
              <w:rPr/>
              <w:t> </w:t>
            </w:r>
          </w:p>
        </w:tc>
      </w:tr>
      <w:tr>
        <w:trPr/>
        <w:tc>
          <w:tcPr>
            <w:tcW w:w="6620" w:type="dxa"/>
            <w:tcBorders/>
            <w:shd w:fill="FFFF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Net cash provided by operating activities</w:t>
            </w:r>
          </w:p>
        </w:tc>
        <w:tc>
          <w:tcPr>
            <w:tcW w:w="60" w:type="dxa"/>
            <w:tcBorders/>
            <w:shd w:fill="FFFFFF" w:val="clear"/>
            <w:vAlign w:val="center"/>
          </w:tcPr>
          <w:p>
            <w:pPr>
              <w:pStyle w:val="TableContents"/>
              <w:spacing w:before="0" w:after="283"/>
              <w:rPr/>
            </w:pPr>
            <w:r>
              <w:rPr/>
              <w:t> </w:t>
            </w:r>
          </w:p>
        </w:tc>
        <w:tc>
          <w:tcPr>
            <w:tcW w:w="13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7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22,578</w:t>
            </w:r>
          </w:p>
        </w:tc>
        <w:tc>
          <w:tcPr>
            <w:tcW w:w="83" w:type="dxa"/>
            <w:tcBorders>
              <w:bottom w:val="single" w:sz="2" w:space="0" w:color="000000"/>
            </w:tcBorders>
            <w:shd w:fill="FFFFFF" w:val="clear"/>
            <w:tcMar>
              <w:bottom w:w="28" w:type="dxa"/>
            </w:tcMar>
            <w:vAlign w:val="center"/>
          </w:tcPr>
          <w:p>
            <w:pPr>
              <w:pStyle w:val="TableContents"/>
              <w:spacing w:before="0" w:after="283"/>
              <w:rPr/>
            </w:pPr>
            <w:r>
              <w:rPr/>
              <w:t> </w:t>
            </w:r>
          </w:p>
        </w:tc>
        <w:tc>
          <w:tcPr>
            <w:tcW w:w="62" w:type="dxa"/>
            <w:tcBorders/>
            <w:shd w:fill="FFFFFF" w:val="clear"/>
            <w:vAlign w:val="center"/>
          </w:tcPr>
          <w:p>
            <w:pPr>
              <w:pStyle w:val="TableContents"/>
              <w:spacing w:before="0" w:after="283"/>
              <w:rPr/>
            </w:pPr>
            <w:r>
              <w:rPr/>
              <w:t> </w:t>
            </w:r>
          </w:p>
        </w:tc>
        <w:tc>
          <w:tcPr>
            <w:tcW w:w="13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7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17,783</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676"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676"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Investing activities</w:t>
            </w:r>
          </w:p>
        </w:tc>
        <w:tc>
          <w:tcPr>
            <w:tcW w:w="60"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rPr/>
            </w:pPr>
            <w:r>
              <w:rPr/>
              <w:t> </w:t>
            </w:r>
          </w:p>
        </w:tc>
        <w:tc>
          <w:tcPr>
            <w:tcW w:w="676"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rPr/>
            </w:pPr>
            <w:r>
              <w:rPr/>
              <w:t> </w:t>
            </w:r>
          </w:p>
        </w:tc>
        <w:tc>
          <w:tcPr>
            <w:tcW w:w="676"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Purchases of property, equipment and other capital assets</w:t>
            </w:r>
          </w:p>
        </w:tc>
        <w:tc>
          <w:tcPr>
            <w:tcW w:w="60"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676"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(3,441</w:t>
            </w:r>
          </w:p>
        </w:tc>
        <w:tc>
          <w:tcPr>
            <w:tcW w:w="83"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676"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(3,069</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Proceeds from sales of property, equipment and other capital assets</w:t>
            </w:r>
          </w:p>
        </w:tc>
        <w:tc>
          <w:tcPr>
            <w:tcW w:w="60"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rPr/>
            </w:pPr>
            <w:r>
              <w:rPr/>
              <w:t> </w:t>
            </w:r>
          </w:p>
        </w:tc>
        <w:tc>
          <w:tcPr>
            <w:tcW w:w="676"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194</w:t>
            </w:r>
          </w:p>
        </w:tc>
        <w:tc>
          <w:tcPr>
            <w:tcW w:w="83"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rPr/>
            </w:pPr>
            <w:r>
              <w:rPr/>
              <w:t> </w:t>
            </w:r>
          </w:p>
        </w:tc>
        <w:tc>
          <w:tcPr>
            <w:tcW w:w="676"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Purchases of marketable securities</w:t>
            </w:r>
          </w:p>
        </w:tc>
        <w:tc>
          <w:tcPr>
            <w:tcW w:w="60"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676"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3"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676"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(29,366</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Proceeds from call redemptions and maturities of marketable securities</w:t>
            </w:r>
          </w:p>
        </w:tc>
        <w:tc>
          <w:tcPr>
            <w:tcW w:w="60" w:type="dxa"/>
            <w:tcBorders/>
            <w:shd w:fill="FFFFFF" w:val="clear"/>
            <w:vAlign w:val="center"/>
          </w:tcPr>
          <w:p>
            <w:pPr>
              <w:pStyle w:val="TableContents"/>
              <w:spacing w:before="0" w:after="283"/>
              <w:ind w:left="0" w:right="0" w:hanging="0"/>
              <w:rPr/>
            </w:pPr>
            <w:r>
              <w:rPr/>
              <w:t> </w:t>
            </w:r>
          </w:p>
        </w:tc>
        <w:tc>
          <w:tcPr>
            <w:tcW w:w="13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7,630</w:t>
            </w:r>
          </w:p>
        </w:tc>
        <w:tc>
          <w:tcPr>
            <w:tcW w:w="83" w:type="dxa"/>
            <w:tcBorders>
              <w:bottom w:val="single" w:sz="2" w:space="0" w:color="000000"/>
            </w:tcBorders>
            <w:shd w:fill="FFFFFF" w:val="clear"/>
            <w:tcMar>
              <w:bottom w:w="28" w:type="dxa"/>
            </w:tcMar>
            <w:vAlign w:val="center"/>
          </w:tcPr>
          <w:p>
            <w:pPr>
              <w:pStyle w:val="TableContents"/>
              <w:spacing w:before="0" w:after="0"/>
              <w:rPr/>
            </w:pPr>
            <w:r>
              <w:rPr/>
              <w:t> </w:t>
            </w:r>
          </w:p>
        </w:tc>
        <w:tc>
          <w:tcPr>
            <w:tcW w:w="62" w:type="dxa"/>
            <w:tcBorders/>
            <w:shd w:fill="FFFFFF" w:val="clear"/>
            <w:vAlign w:val="center"/>
          </w:tcPr>
          <w:p>
            <w:pPr>
              <w:pStyle w:val="TableContents"/>
              <w:spacing w:before="0" w:after="283"/>
              <w:ind w:left="0" w:right="0" w:hanging="0"/>
              <w:rPr/>
            </w:pPr>
            <w:r>
              <w:rPr/>
              <w:t> </w:t>
            </w:r>
          </w:p>
        </w:tc>
        <w:tc>
          <w:tcPr>
            <w:tcW w:w="13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6,600</w:t>
            </w:r>
          </w:p>
        </w:tc>
        <w:tc>
          <w:tcPr>
            <w:tcW w:w="80" w:type="dxa"/>
            <w:tcBorders>
              <w:bottom w:val="single" w:sz="2" w:space="0" w:color="000000"/>
            </w:tcBorders>
            <w:shd w:fill="FFFFFF" w:val="clear"/>
            <w:tcMar>
              <w:bottom w:w="28" w:type="dxa"/>
            </w:tcMar>
            <w:vAlign w:val="center"/>
          </w:tcPr>
          <w:p>
            <w:pPr>
              <w:pStyle w:val="TableContents"/>
              <w:spacing w:before="0" w:after="0"/>
              <w:ind w:left="360" w:right="0" w:hanging="0"/>
              <w:rPr/>
            </w:pPr>
            <w:r>
              <w:rPr/>
              <w:t> </w:t>
            </w:r>
          </w:p>
        </w:tc>
      </w:tr>
      <w:tr>
        <w:trPr/>
        <w:tc>
          <w:tcPr>
            <w:tcW w:w="6620" w:type="dxa"/>
            <w:tcBorders/>
            <w:shd w:fill="CCEE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Net cash provided by (used in) investing activities</w:t>
            </w:r>
          </w:p>
        </w:tc>
        <w:tc>
          <w:tcPr>
            <w:tcW w:w="60" w:type="dxa"/>
            <w:tcBorders/>
            <w:shd w:fill="CCEEFF" w:val="clear"/>
            <w:vAlign w:val="center"/>
          </w:tcPr>
          <w:p>
            <w:pPr>
              <w:pStyle w:val="TableContents"/>
              <w:spacing w:before="0" w:after="283"/>
              <w:rPr/>
            </w:pPr>
            <w:r>
              <w:rPr/>
              <w:t> </w:t>
            </w:r>
          </w:p>
        </w:tc>
        <w:tc>
          <w:tcPr>
            <w:tcW w:w="13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4,383</w:t>
            </w:r>
          </w:p>
        </w:tc>
        <w:tc>
          <w:tcPr>
            <w:tcW w:w="83" w:type="dxa"/>
            <w:tcBorders>
              <w:bottom w:val="single" w:sz="2" w:space="0" w:color="000000"/>
            </w:tcBorders>
            <w:shd w:fill="CCEEFF" w:val="clear"/>
            <w:tcMar>
              <w:bottom w:w="28" w:type="dxa"/>
            </w:tcM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3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(25,835</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rPr/>
            </w:pPr>
            <w:r>
              <w:rPr/>
              <w:t> </w:t>
            </w:r>
          </w:p>
        </w:tc>
        <w:tc>
          <w:tcPr>
            <w:tcW w:w="676"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rPr/>
            </w:pPr>
            <w:r>
              <w:rPr/>
              <w:t> </w:t>
            </w:r>
          </w:p>
        </w:tc>
        <w:tc>
          <w:tcPr>
            <w:tcW w:w="676"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Financing activities</w:t>
            </w:r>
          </w:p>
        </w:tc>
        <w:tc>
          <w:tcPr>
            <w:tcW w:w="60"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676"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676"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Proceeds from exercises of stock options</w:t>
            </w:r>
          </w:p>
        </w:tc>
        <w:tc>
          <w:tcPr>
            <w:tcW w:w="60"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rPr/>
            </w:pPr>
            <w:r>
              <w:rPr/>
              <w:t> </w:t>
            </w:r>
          </w:p>
        </w:tc>
        <w:tc>
          <w:tcPr>
            <w:tcW w:w="676"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3"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rPr/>
            </w:pPr>
            <w:r>
              <w:rPr/>
              <w:t> </w:t>
            </w:r>
          </w:p>
        </w:tc>
        <w:tc>
          <w:tcPr>
            <w:tcW w:w="676"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6</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Purchases of shares withheld for tax obligations</w:t>
            </w:r>
          </w:p>
        </w:tc>
        <w:tc>
          <w:tcPr>
            <w:tcW w:w="60"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676"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(401</w:t>
            </w:r>
          </w:p>
        </w:tc>
        <w:tc>
          <w:tcPr>
            <w:tcW w:w="83"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676"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(468</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Repurchases of common stock</w:t>
            </w:r>
          </w:p>
        </w:tc>
        <w:tc>
          <w:tcPr>
            <w:tcW w:w="60"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rPr/>
            </w:pPr>
            <w:r>
              <w:rPr/>
              <w:t> </w:t>
            </w:r>
          </w:p>
        </w:tc>
        <w:tc>
          <w:tcPr>
            <w:tcW w:w="676"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(21,119</w:t>
            </w:r>
          </w:p>
        </w:tc>
        <w:tc>
          <w:tcPr>
            <w:tcW w:w="8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2"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rPr/>
            </w:pPr>
            <w:r>
              <w:rPr/>
              <w:t> </w:t>
            </w:r>
          </w:p>
        </w:tc>
        <w:tc>
          <w:tcPr>
            <w:tcW w:w="676"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Principal repayments of finance lease obligations</w:t>
            </w:r>
          </w:p>
        </w:tc>
        <w:tc>
          <w:tcPr>
            <w:tcW w:w="60" w:type="dxa"/>
            <w:tcBorders/>
            <w:shd w:fill="CCEEFF" w:val="clear"/>
            <w:vAlign w:val="center"/>
          </w:tcPr>
          <w:p>
            <w:pPr>
              <w:pStyle w:val="TableContents"/>
              <w:spacing w:before="0" w:after="283"/>
              <w:ind w:left="0" w:right="0" w:hanging="0"/>
              <w:rPr/>
            </w:pPr>
            <w:r>
              <w:rPr/>
              <w:t> </w:t>
            </w:r>
          </w:p>
        </w:tc>
        <w:tc>
          <w:tcPr>
            <w:tcW w:w="13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(82</w:t>
            </w:r>
          </w:p>
        </w:tc>
        <w:tc>
          <w:tcPr>
            <w:tcW w:w="83" w:type="dxa"/>
            <w:tcBorders>
              <w:bottom w:val="single" w:sz="2" w:space="0" w:color="000000"/>
            </w:tcBorders>
            <w:shd w:fill="CCEEFF" w:val="clear"/>
            <w:tcMar>
              <w:bottom w:w="28" w:type="dxa"/>
            </w:tcMar>
            <w:vAlign w:val="center"/>
          </w:tcPr>
          <w:p>
            <w:pPr>
              <w:pStyle w:val="TableContents"/>
              <w:spacing w:before="0" w:after="0"/>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spacing w:before="0" w:after="283"/>
              <w:ind w:left="0" w:right="0" w:hanging="0"/>
              <w:rPr/>
            </w:pPr>
            <w:r>
              <w:rPr/>
              <w:t> </w:t>
            </w:r>
          </w:p>
        </w:tc>
        <w:tc>
          <w:tcPr>
            <w:tcW w:w="13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(139</w:t>
            </w:r>
          </w:p>
        </w:tc>
        <w:tc>
          <w:tcPr>
            <w:tcW w:w="80" w:type="dxa"/>
            <w:tcBorders>
              <w:bottom w:val="single" w:sz="2" w:space="0" w:color="000000"/>
            </w:tcBorders>
            <w:shd w:fill="CCEEFF" w:val="clear"/>
            <w:tcMar>
              <w:bottom w:w="28" w:type="dxa"/>
            </w:tcMar>
            <w:vAlign w:val="center"/>
          </w:tcPr>
          <w:p>
            <w:pPr>
              <w:pStyle w:val="TableContents"/>
              <w:spacing w:before="0" w:after="0"/>
              <w:ind w:left="360" w:right="0" w:hanging="0"/>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Net cash used in financing activities</w:t>
            </w:r>
          </w:p>
        </w:tc>
        <w:tc>
          <w:tcPr>
            <w:tcW w:w="60" w:type="dxa"/>
            <w:tcBorders/>
            <w:shd w:fill="FFFFFF" w:val="clear"/>
            <w:vAlign w:val="center"/>
          </w:tcPr>
          <w:p>
            <w:pPr>
              <w:pStyle w:val="TableContents"/>
              <w:spacing w:before="0" w:after="283"/>
              <w:rPr/>
            </w:pPr>
            <w:r>
              <w:rPr/>
              <w:t> </w:t>
            </w:r>
          </w:p>
        </w:tc>
        <w:tc>
          <w:tcPr>
            <w:tcW w:w="13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7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(21,602</w:t>
            </w:r>
          </w:p>
        </w:tc>
        <w:tc>
          <w:tcPr>
            <w:tcW w:w="83"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2" w:type="dxa"/>
            <w:tcBorders/>
            <w:shd w:fill="FFFFFF" w:val="clear"/>
            <w:vAlign w:val="center"/>
          </w:tcPr>
          <w:p>
            <w:pPr>
              <w:pStyle w:val="TableContents"/>
              <w:spacing w:before="0" w:after="283"/>
              <w:rPr/>
            </w:pPr>
            <w:r>
              <w:rPr/>
              <w:t> </w:t>
            </w:r>
          </w:p>
        </w:tc>
        <w:tc>
          <w:tcPr>
            <w:tcW w:w="13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7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(601</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Effect of exchange rate changes on cash and cash equivalents</w:t>
            </w:r>
          </w:p>
        </w:tc>
        <w:tc>
          <w:tcPr>
            <w:tcW w:w="60"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676"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134</w:t>
            </w:r>
          </w:p>
        </w:tc>
        <w:tc>
          <w:tcPr>
            <w:tcW w:w="83"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676"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(37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Net increase (decrease) in cash and cash equivalents</w:t>
            </w:r>
          </w:p>
        </w:tc>
        <w:tc>
          <w:tcPr>
            <w:tcW w:w="60" w:type="dxa"/>
            <w:tcBorders/>
            <w:shd w:fill="FFFFFF" w:val="clear"/>
            <w:vAlign w:val="center"/>
          </w:tcPr>
          <w:p>
            <w:pPr>
              <w:pStyle w:val="TableContents"/>
              <w:spacing w:before="0" w:after="283"/>
              <w:rPr/>
            </w:pPr>
            <w:r>
              <w:rPr/>
              <w:t> </w:t>
            </w:r>
          </w:p>
        </w:tc>
        <w:tc>
          <w:tcPr>
            <w:tcW w:w="13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7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5,493</w:t>
            </w:r>
          </w:p>
        </w:tc>
        <w:tc>
          <w:tcPr>
            <w:tcW w:w="83" w:type="dxa"/>
            <w:tcBorders>
              <w:bottom w:val="single" w:sz="2" w:space="0" w:color="000000"/>
            </w:tcBorders>
            <w:shd w:fill="FFFFFF" w:val="clear"/>
            <w:tcMar>
              <w:bottom w:w="28" w:type="dxa"/>
            </w:tcMar>
            <w:vAlign w:val="center"/>
          </w:tcPr>
          <w:p>
            <w:pPr>
              <w:pStyle w:val="TableContents"/>
              <w:spacing w:before="0" w:after="283"/>
              <w:rPr/>
            </w:pPr>
            <w:r>
              <w:rPr/>
              <w:t> </w:t>
            </w:r>
          </w:p>
        </w:tc>
        <w:tc>
          <w:tcPr>
            <w:tcW w:w="62" w:type="dxa"/>
            <w:tcBorders/>
            <w:shd w:fill="FFFFFF" w:val="clear"/>
            <w:vAlign w:val="center"/>
          </w:tcPr>
          <w:p>
            <w:pPr>
              <w:pStyle w:val="TableContents"/>
              <w:spacing w:before="0" w:after="283"/>
              <w:rPr/>
            </w:pPr>
            <w:r>
              <w:rPr/>
              <w:t> </w:t>
            </w:r>
          </w:p>
        </w:tc>
        <w:tc>
          <w:tcPr>
            <w:tcW w:w="13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7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(8,690</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Cash and cash equivalents, beginning of period</w:t>
            </w:r>
          </w:p>
        </w:tc>
        <w:tc>
          <w:tcPr>
            <w:tcW w:w="60" w:type="dxa"/>
            <w:tcBorders/>
            <w:shd w:fill="CCEEFF" w:val="clear"/>
            <w:vAlign w:val="center"/>
          </w:tcPr>
          <w:p>
            <w:pPr>
              <w:pStyle w:val="TableContents"/>
              <w:spacing w:before="0" w:after="283"/>
              <w:rPr/>
            </w:pPr>
            <w:r>
              <w:rPr/>
              <w:t> </w:t>
            </w:r>
          </w:p>
        </w:tc>
        <w:tc>
          <w:tcPr>
            <w:tcW w:w="13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56,558</w:t>
            </w:r>
          </w:p>
        </w:tc>
        <w:tc>
          <w:tcPr>
            <w:tcW w:w="83" w:type="dxa"/>
            <w:tcBorders>
              <w:bottom w:val="single" w:sz="2" w:space="0" w:color="000000"/>
            </w:tcBorders>
            <w:shd w:fill="CCEEFF" w:val="clear"/>
            <w:tcMar>
              <w:bottom w:w="28" w:type="dxa"/>
            </w:tcM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3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65,929</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Cash and cash equivalents, end of period</w:t>
            </w:r>
          </w:p>
        </w:tc>
        <w:tc>
          <w:tcPr>
            <w:tcW w:w="60" w:type="dxa"/>
            <w:tcBorders/>
            <w:shd w:fill="FFFFFF" w:val="clear"/>
            <w:vAlign w:val="center"/>
          </w:tcPr>
          <w:p>
            <w:pPr>
              <w:pStyle w:val="TableContents"/>
              <w:spacing w:before="0" w:after="283"/>
              <w:ind w:left="0" w:right="0" w:hanging="0"/>
              <w:rPr/>
            </w:pPr>
            <w:r>
              <w:rPr/>
              <w:t> </w:t>
            </w:r>
          </w:p>
        </w:tc>
        <w:tc>
          <w:tcPr>
            <w:tcW w:w="13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7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62,051</w:t>
            </w:r>
          </w:p>
        </w:tc>
        <w:tc>
          <w:tcPr>
            <w:tcW w:w="83" w:type="dxa"/>
            <w:tcBorders>
              <w:bottom w:val="double" w:sz="6" w:space="0" w:color="000000"/>
            </w:tcBorders>
            <w:shd w:fill="FFFFFF" w:val="clear"/>
            <w:tcMar>
              <w:bottom w:w="28" w:type="dxa"/>
            </w:tcMar>
            <w:vAlign w:val="center"/>
          </w:tcPr>
          <w:p>
            <w:pPr>
              <w:pStyle w:val="TableContents"/>
              <w:spacing w:before="0" w:after="283"/>
              <w:rPr/>
            </w:pPr>
            <w:r>
              <w:rPr/>
              <w:t> </w:t>
            </w:r>
          </w:p>
        </w:tc>
        <w:tc>
          <w:tcPr>
            <w:tcW w:w="62" w:type="dxa"/>
            <w:tcBorders/>
            <w:shd w:fill="FFFFFF" w:val="clear"/>
            <w:vAlign w:val="center"/>
          </w:tcPr>
          <w:p>
            <w:pPr>
              <w:pStyle w:val="TableContents"/>
              <w:spacing w:before="0" w:after="283"/>
              <w:ind w:left="0" w:right="0" w:hanging="0"/>
              <w:rPr/>
            </w:pPr>
            <w:r>
              <w:rPr/>
              <w:t> </w:t>
            </w:r>
          </w:p>
        </w:tc>
        <w:tc>
          <w:tcPr>
            <w:tcW w:w="13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7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57,239</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r>
    </w:tbl>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tbl>
      <w:tblPr>
        <w:tblW w:w="7130" w:type="dxa"/>
        <w:jc w:val="left"/>
        <w:tblInd w:w="0" w:type="dxa"/>
        <w:tblCellMar>
          <w:top w:w="0" w:type="dxa"/>
          <w:left w:w="0" w:type="dxa"/>
          <w:bottom w:w="0" w:type="dxa"/>
          <w:right w:w="0" w:type="dxa"/>
        </w:tblCellMar>
      </w:tblPr>
      <w:tblGrid>
        <w:gridCol w:w="7130"/>
      </w:tblGrid>
      <w:tr>
        <w:trPr/>
        <w:tc>
          <w:tcPr>
            <w:tcW w:w="713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tc>
      </w:tr>
    </w:tbl>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w:t>
      </w:r>
      <w:r>
        <w:rPr>
          <w:rFonts w:ascii="Times New Roman;Times;serif" w:hAnsi="Times New Roman;Times;serif"/>
          <w:b/>
          <w:sz w:val="20"/>
        </w:rPr>
        <w:t xml:space="preserve"> – Basis of Presentation</w:t>
      </w:r>
    </w:p>
    <w:p>
      <w:pPr>
        <w:pStyle w:val="TextBody"/>
        <w:spacing w:before="0" w:after="0"/>
        <w:ind w:left="0" w:right="0" w:hanging="0"/>
        <w:jc w:val="left"/>
        <w:rPr/>
      </w:pPr>
      <w:r>
        <w:rPr/>
        <w:t> </w:t>
      </w:r>
    </w:p>
    <w:p>
      <w:pPr>
        <w:pStyle w:val="TextBody"/>
        <w:spacing w:before="0" w:after="0"/>
        <w:ind w:left="0" w:right="0" w:hanging="0"/>
        <w:jc w:val="left"/>
        <w:rPr/>
      </w:pPr>
      <w:r>
        <w:rPr>
          <w:rFonts w:ascii="Times New Roman;Times;serif" w:hAnsi="Times New Roman;Times;serif"/>
          <w:sz w:val="20"/>
        </w:rPr>
        <w:t xml:space="preserve">The unaudited interim Consolidated Financial Statements of Proto Labs, Inc. (Protolabs, the Company, we, us or our) have been prepared in accordance with accounting principles generally accepted in the United States of America (U.S. GAAP) for interim financial information and with the instructions to Form </w:t>
      </w:r>
      <w:r>
        <w:rPr>
          <w:rStyle w:val="Emphasis"/>
          <w:rFonts w:ascii="Times New Roman;Times;serif" w:hAnsi="Times New Roman;Times;serif"/>
          <w:sz w:val="20"/>
        </w:rPr>
        <w:t>10</w:t>
      </w:r>
      <w:r>
        <w:rPr>
          <w:rFonts w:ascii="Times New Roman;Times;serif" w:hAnsi="Times New Roman;Times;serif"/>
          <w:sz w:val="20"/>
        </w:rPr>
        <w:t>-Q and Article </w:t>
      </w:r>
      <w:r>
        <w:rPr>
          <w:rStyle w:val="Emphasis"/>
          <w:rFonts w:ascii="Times New Roman;Times;serif" w:hAnsi="Times New Roman;Times;serif"/>
          <w:sz w:val="20"/>
        </w:rPr>
        <w:t>10</w:t>
      </w:r>
      <w:r>
        <w:rPr>
          <w:rFonts w:ascii="Times New Roman;Times;serif" w:hAnsi="Times New Roman;Times;serif"/>
          <w:sz w:val="20"/>
        </w:rPr>
        <w:t xml:space="preserve"> of Regulation S-</w:t>
      </w:r>
      <w:r>
        <w:rPr>
          <w:rStyle w:val="Emphasis"/>
          <w:rFonts w:ascii="Times New Roman;Times;serif" w:hAnsi="Times New Roman;Times;serif"/>
          <w:sz w:val="20"/>
        </w:rPr>
        <w:t>X.</w:t>
      </w:r>
      <w:r>
        <w:rPr>
          <w:rFonts w:ascii="Times New Roman;Times;serif" w:hAnsi="Times New Roman;Times;serif"/>
          <w:sz w:val="20"/>
        </w:rPr>
        <w:t xml:space="preserve"> In the opinion of management, the accompanying financial statements reflect all adjustments necessary for a fair presentation of the Company’s statements of financial position, results of operations and cash flows for the periods presented. Except as otherwise disclosed herein, these adjustments consist of normal, recurring items. Operating results for interim periods are </w:t>
      </w:r>
      <w:r>
        <w:rPr>
          <w:rStyle w:val="Emphasis"/>
          <w:rFonts w:ascii="Times New Roman;Times;serif" w:hAnsi="Times New Roman;Times;serif"/>
          <w:sz w:val="20"/>
        </w:rPr>
        <w:t>not</w:t>
      </w:r>
      <w:r>
        <w:rPr>
          <w:rFonts w:ascii="Times New Roman;Times;serif" w:hAnsi="Times New Roman;Times;serif"/>
          <w:sz w:val="20"/>
        </w:rPr>
        <w:t xml:space="preserve"> necessarily indicative of results that </w:t>
      </w:r>
      <w:r>
        <w:rPr>
          <w:rStyle w:val="Emphasis"/>
          <w:rFonts w:ascii="Times New Roman;Times;serif" w:hAnsi="Times New Roman;Times;serif"/>
          <w:sz w:val="20"/>
        </w:rPr>
        <w:t xml:space="preserve">may </w:t>
      </w:r>
      <w:r>
        <w:rPr>
          <w:rFonts w:ascii="Times New Roman;Times;serif" w:hAnsi="Times New Roman;Times;serif"/>
          <w:sz w:val="20"/>
        </w:rPr>
        <w:t>be expected for the fiscal year as a whole.</w:t>
      </w:r>
    </w:p>
    <w:p>
      <w:pPr>
        <w:pStyle w:val="TextBody"/>
        <w:spacing w:before="0" w:after="0"/>
        <w:ind w:left="0" w:right="0" w:hanging="0"/>
        <w:jc w:val="left"/>
        <w:rPr/>
      </w:pPr>
      <w:r>
        <w:rPr/>
        <w:t> </w:t>
      </w:r>
    </w:p>
    <w:p>
      <w:pPr>
        <w:pStyle w:val="TextBody"/>
        <w:spacing w:before="0" w:after="0"/>
        <w:ind w:left="0" w:right="0" w:hanging="0"/>
        <w:jc w:val="left"/>
        <w:rPr/>
      </w:pPr>
      <w:r>
        <w:rPr>
          <w:rFonts w:ascii="Times New Roman;Times;serif" w:hAnsi="Times New Roman;Times;serif"/>
          <w:sz w:val="20"/>
        </w:rPr>
        <w:t xml:space="preserve">The preparation of the financial statements in conformity with U.S. GAAP requires management to make estimates and assumptions that affect the reported amounts of assets, liabilities, revenues, expenses, and the related disclosures at the date of the financial statements and during the reporting period. Actual results could materially differ from these estimates. For further information, refer to the audited Consolidated Financial Statements and Notes thereto included in the Company’s Annual Report on Form </w:t>
      </w:r>
      <w:r>
        <w:rPr>
          <w:rStyle w:val="Emphasis"/>
          <w:rFonts w:ascii="Times New Roman;Times;serif" w:hAnsi="Times New Roman;Times;serif"/>
          <w:sz w:val="20"/>
        </w:rPr>
        <w:t>10</w:t>
      </w:r>
      <w:r>
        <w:rPr>
          <w:rFonts w:ascii="Times New Roman;Times;serif" w:hAnsi="Times New Roman;Times;serif"/>
          <w:sz w:val="20"/>
        </w:rPr>
        <w:t>-K for the year ended </w:t>
      </w:r>
      <w:r>
        <w:rPr>
          <w:rStyle w:val="Emphasis"/>
          <w:rFonts w:ascii="Times New Roman;Times;serif" w:hAnsi="Times New Roman;Times;serif"/>
          <w:sz w:val="20"/>
        </w:rPr>
        <w:t xml:space="preserve"> December 31, 2022</w:t>
      </w:r>
      <w:r>
        <w:rPr>
          <w:rFonts w:ascii="Times New Roman;Times;serif" w:hAnsi="Times New Roman;Times;serif"/>
          <w:sz w:val="20"/>
        </w:rPr>
        <w:t xml:space="preserve">, as filed with the Securities and Exchange Commission (SEC) on </w:t>
      </w:r>
      <w:r>
        <w:rPr>
          <w:rStyle w:val="Emphasis"/>
          <w:rFonts w:ascii="Times New Roman;Times;serif" w:hAnsi="Times New Roman;Times;serif"/>
          <w:sz w:val="20"/>
        </w:rPr>
        <w:t>February 21, 2023.</w:t>
      </w:r>
    </w:p>
    <w:p>
      <w:pPr>
        <w:pStyle w:val="TextBody"/>
        <w:spacing w:before="0" w:after="0"/>
        <w:ind w:left="0" w:right="0" w:hanging="0"/>
        <w:jc w:val="left"/>
        <w:rPr/>
      </w:pPr>
      <w:r>
        <w:rPr/>
        <w:t> </w:t>
      </w:r>
    </w:p>
    <w:p>
      <w:pPr>
        <w:pStyle w:val="TextBody"/>
        <w:spacing w:before="0" w:after="0"/>
        <w:ind w:left="0" w:right="0" w:hanging="0"/>
        <w:jc w:val="left"/>
        <w:rPr/>
      </w:pPr>
      <w:r>
        <w:rPr>
          <w:rFonts w:ascii="Times New Roman;Times;serif" w:hAnsi="Times New Roman;Times;serif"/>
          <w:sz w:val="20"/>
        </w:rPr>
        <w:t xml:space="preserve">The accompanying Consolidated Balance Sheet as of </w:t>
      </w:r>
      <w:r>
        <w:rPr>
          <w:rStyle w:val="Emphasis"/>
          <w:rFonts w:ascii="Times New Roman;Times;serif" w:hAnsi="Times New Roman;Times;serif"/>
          <w:sz w:val="20"/>
        </w:rPr>
        <w:t>December 31, 2022</w:t>
      </w:r>
      <w:r>
        <w:rPr>
          <w:rFonts w:ascii="Times New Roman;Times;serif" w:hAnsi="Times New Roman;Times;serif"/>
          <w:sz w:val="20"/>
        </w:rPr>
        <w:t xml:space="preserve"> was derived from the audited Consolidated Financial Statements but does </w:t>
      </w:r>
      <w:r>
        <w:rPr>
          <w:rStyle w:val="Emphasis"/>
          <w:rFonts w:ascii="Times New Roman;Times;serif" w:hAnsi="Times New Roman;Times;serif"/>
          <w:sz w:val="20"/>
        </w:rPr>
        <w:t>not</w:t>
      </w:r>
      <w:r>
        <w:rPr>
          <w:rFonts w:ascii="Times New Roman;Times;serif" w:hAnsi="Times New Roman;Times;serif"/>
          <w:sz w:val="20"/>
        </w:rPr>
        <w:t xml:space="preserve"> include all disclosures required by U.S. GAAP for a full set of financial statements. This Quarterly Report on Form </w:t>
      </w:r>
      <w:r>
        <w:rPr>
          <w:rStyle w:val="Emphasis"/>
          <w:rFonts w:ascii="Times New Roman;Times;serif" w:hAnsi="Times New Roman;Times;serif"/>
          <w:sz w:val="20"/>
        </w:rPr>
        <w:t>10</w:t>
      </w:r>
      <w:r>
        <w:rPr>
          <w:rFonts w:ascii="Times New Roman;Times;serif" w:hAnsi="Times New Roman;Times;serif"/>
          <w:sz w:val="20"/>
        </w:rPr>
        <w:t xml:space="preserve">-Q should be read in conjunction with the Company’s Consolidated Financial Statements and Notes included in the Company's Annual Report on Form </w:t>
      </w:r>
      <w:r>
        <w:rPr>
          <w:rStyle w:val="Emphasis"/>
          <w:rFonts w:ascii="Times New Roman;Times;serif" w:hAnsi="Times New Roman;Times;serif"/>
          <w:sz w:val="20"/>
        </w:rPr>
        <w:t>10</w:t>
      </w:r>
      <w:r>
        <w:rPr>
          <w:rFonts w:ascii="Times New Roman;Times;serif" w:hAnsi="Times New Roman;Times;serif"/>
          <w:sz w:val="20"/>
        </w:rPr>
        <w:t xml:space="preserve">-K filed on </w:t>
      </w:r>
      <w:r>
        <w:rPr>
          <w:rStyle w:val="Emphasis"/>
          <w:rFonts w:ascii="Times New Roman;Times;serif" w:hAnsi="Times New Roman;Times;serif"/>
          <w:sz w:val="20"/>
        </w:rPr>
        <w:t>February 21, 2023 </w:t>
      </w:r>
      <w:r>
        <w:rPr>
          <w:rFonts w:ascii="Times New Roman;Times;serif" w:hAnsi="Times New Roman;Times;serif"/>
          <w:sz w:val="20"/>
        </w:rPr>
        <w:t>as referenced above.</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2</w:t>
      </w:r>
      <w:r>
        <w:rPr>
          <w:rFonts w:ascii="Times New Roman;Times;serif" w:hAnsi="Times New Roman;Times;serif"/>
          <w:b/>
          <w:sz w:val="20"/>
        </w:rPr>
        <w:t xml:space="preserve"> – Recent Accounting Pronouncements</w:t>
      </w:r>
    </w:p>
    <w:p>
      <w:pPr>
        <w:pStyle w:val="TextBody"/>
        <w:spacing w:before="0" w:after="0"/>
        <w:ind w:left="0" w:right="0" w:hanging="0"/>
        <w:jc w:val="left"/>
        <w:rPr/>
      </w:pPr>
      <w:r>
        <w:rPr/>
        <w:t> </w:t>
      </w:r>
    </w:p>
    <w:p>
      <w:pPr>
        <w:pStyle w:val="TextBody"/>
        <w:spacing w:before="0" w:after="0"/>
        <w:ind w:left="0" w:right="0" w:hanging="0"/>
        <w:rPr/>
      </w:pPr>
      <w:r>
        <w:rPr>
          <w:rFonts w:ascii="Times New Roman" w:hAnsi="Times New Roman"/>
          <w:caps w:val="false"/>
          <w:smallCaps w:val="false"/>
          <w:sz w:val="20"/>
        </w:rPr>
        <w:t xml:space="preserve">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recently adopt any accounting pronouncements that had a material impact on the Company's Consolidated Financial Statements.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pending accounting pronouncements that are expected to have a material impact on the Company's Consolidated Financial Statements.</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3</w:t>
      </w:r>
      <w:r>
        <w:rPr>
          <w:rFonts w:ascii="Times New Roman;Times;serif" w:hAnsi="Times New Roman;Times;serif"/>
          <w:b/>
          <w:sz w:val="20"/>
        </w:rPr>
        <w:t xml:space="preserve"> – Net Income per Common Share</w:t>
      </w:r>
    </w:p>
    <w:p>
      <w:pPr>
        <w:pStyle w:val="TextBody"/>
        <w:spacing w:before="0" w:after="0"/>
        <w:ind w:left="0" w:right="0" w:hanging="0"/>
        <w:jc w:val="left"/>
        <w:rPr/>
      </w:pPr>
      <w:r>
        <w:rPr/>
        <w:t> </w:t>
      </w:r>
    </w:p>
    <w:p>
      <w:pPr>
        <w:pStyle w:val="TextBody"/>
        <w:spacing w:before="0" w:after="0"/>
        <w:ind w:left="0" w:right="0" w:hanging="0"/>
        <w:jc w:val="left"/>
        <w:rPr/>
      </w:pPr>
      <w:r>
        <w:rPr>
          <w:rFonts w:ascii="Times New Roman;Times;serif" w:hAnsi="Times New Roman;Times;serif"/>
          <w:sz w:val="20"/>
        </w:rPr>
        <w:t xml:space="preserve">Basic net income per share is computed based on the weighted-average number of common shares outstanding. Diluted net income per share is computed based on the weighted-average number of common shares outstanding, increased by the number of additional shares that would have been outstanding had potentially dilutive common shares been issued and reduced by the number of shares the Company could have repurchased from the proceeds from issuance of the potentially dilutive shares. Potentially dilutive shares of common stock include stock options and other stock-based awards granted under stock-based compensation plans and shares committed to be purchased under the employee stock purchase plan. Performance stock units are excluded from the calculation of dilutive potential common shares until the performance conditions have been satisfied.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March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xml:space="preserve"> 382,906 and 233,380 anti-dilutive options were excluded from the calculation of diluted weighted average shares outstanding, respectively.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The table below sets forth the computation of basic and diluted net income per share:</w:t>
      </w:r>
    </w:p>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tbl>
      <w:tblPr>
        <w:tblW w:w="6535" w:type="dxa"/>
        <w:jc w:val="left"/>
        <w:tblInd w:w="0" w:type="dxa"/>
        <w:tblCellMar>
          <w:top w:w="0" w:type="dxa"/>
          <w:left w:w="0" w:type="dxa"/>
          <w:bottom w:w="0" w:type="dxa"/>
          <w:right w:w="0" w:type="dxa"/>
        </w:tblCellMar>
      </w:tblPr>
      <w:tblGrid>
        <w:gridCol w:w="4130"/>
        <w:gridCol w:w="60"/>
        <w:gridCol w:w="125"/>
        <w:gridCol w:w="950"/>
        <w:gridCol w:w="60"/>
        <w:gridCol w:w="60"/>
        <w:gridCol w:w="125"/>
        <w:gridCol w:w="950"/>
        <w:gridCol w:w="75"/>
      </w:tblGrid>
      <w:tr>
        <w:trPr/>
        <w:tc>
          <w:tcPr>
            <w:tcW w:w="413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270" w:type="dxa"/>
            <w:gridSpan w:val="6"/>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75" w:type="dxa"/>
            <w:tcBorders/>
            <w:shd w:fill="FFFFFF" w:val="clear"/>
            <w:vAlign w:val="center"/>
          </w:tcPr>
          <w:p>
            <w:pPr>
              <w:pStyle w:val="TableContents"/>
              <w:spacing w:before="0" w:after="283"/>
              <w:rPr/>
            </w:pPr>
            <w:r>
              <w:rPr/>
              <w:t> </w:t>
            </w:r>
          </w:p>
        </w:tc>
      </w:tr>
      <w:tr>
        <w:trPr/>
        <w:tc>
          <w:tcPr>
            <w:tcW w:w="413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270"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20"/>
              </w:rPr>
              <w:t>March 31,</w:t>
            </w:r>
          </w:p>
        </w:tc>
        <w:tc>
          <w:tcPr>
            <w:tcW w:w="75"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4130" w:type="dxa"/>
            <w:tcBorders/>
            <w:shd w:fill="FFFF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share and per share amounts)</w:t>
            </w:r>
          </w:p>
        </w:tc>
        <w:tc>
          <w:tcPr>
            <w:tcW w:w="60" w:type="dxa"/>
            <w:tcBorders/>
            <w:shd w:fill="FFFFFF" w:val="clear"/>
            <w:vAlign w:val="center"/>
          </w:tcPr>
          <w:p>
            <w:pPr>
              <w:pStyle w:val="TableContents"/>
              <w:spacing w:before="0" w:after="283"/>
              <w:ind w:left="0" w:right="0" w:hanging="0"/>
              <w:rPr/>
            </w:pPr>
            <w:r>
              <w:rPr/>
              <w:t> </w:t>
            </w:r>
          </w:p>
        </w:tc>
        <w:tc>
          <w:tcPr>
            <w:tcW w:w="10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20"/>
              </w:rPr>
              <w:t>2022</w:t>
            </w:r>
          </w:p>
        </w:tc>
        <w:tc>
          <w:tcPr>
            <w:tcW w:w="75"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4130"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2,659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5,095</w:t>
            </w:r>
          </w:p>
        </w:tc>
        <w:tc>
          <w:tcPr>
            <w:tcW w:w="75" w:type="dxa"/>
            <w:tcBorders/>
            <w:shd w:fill="CCEEFF" w:val="clear"/>
            <w:vAlign w:val="center"/>
          </w:tcPr>
          <w:p>
            <w:pPr>
              <w:pStyle w:val="TableContents"/>
              <w:spacing w:before="0" w:after="283"/>
              <w:rPr/>
            </w:pPr>
            <w:r>
              <w:rPr/>
              <w:t> </w:t>
            </w:r>
          </w:p>
        </w:tc>
      </w:tr>
      <w:tr>
        <w:trPr/>
        <w:tc>
          <w:tcPr>
            <w:tcW w:w="413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rPr/>
            </w:pPr>
            <w:r>
              <w:rPr/>
              <w:t> </w:t>
            </w:r>
          </w:p>
        </w:tc>
        <w:tc>
          <w:tcPr>
            <w:tcW w:w="75" w:type="dxa"/>
            <w:tcBorders/>
            <w:shd w:fill="FFFFFF" w:val="clear"/>
            <w:vAlign w:val="center"/>
          </w:tcPr>
          <w:p>
            <w:pPr>
              <w:pStyle w:val="TableContents"/>
              <w:spacing w:before="0" w:after="283"/>
              <w:rPr/>
            </w:pPr>
            <w:r>
              <w:rPr/>
              <w:t> </w:t>
            </w:r>
          </w:p>
        </w:tc>
      </w:tr>
      <w:tr>
        <w:trPr/>
        <w:tc>
          <w:tcPr>
            <w:tcW w:w="4130"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Basic - weighted-average shares outstanding:</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26,580,279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27,502,941</w:t>
            </w:r>
          </w:p>
        </w:tc>
        <w:tc>
          <w:tcPr>
            <w:tcW w:w="75" w:type="dxa"/>
            <w:tcBorders/>
            <w:shd w:fill="CCEEFF" w:val="clear"/>
            <w:vAlign w:val="center"/>
          </w:tcPr>
          <w:p>
            <w:pPr>
              <w:pStyle w:val="TableContents"/>
              <w:spacing w:before="0" w:after="283"/>
              <w:rPr/>
            </w:pPr>
            <w:r>
              <w:rPr/>
              <w:t> </w:t>
            </w:r>
          </w:p>
        </w:tc>
      </w:tr>
      <w:tr>
        <w:trPr/>
        <w:tc>
          <w:tcPr>
            <w:tcW w:w="4130" w:type="dxa"/>
            <w:tcBorders/>
            <w:shd w:fill="FFFF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dilutive securities: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rPr/>
            </w:pPr>
            <w:r>
              <w:rPr/>
              <w:t> </w:t>
            </w:r>
          </w:p>
        </w:tc>
        <w:tc>
          <w:tcPr>
            <w:tcW w:w="75" w:type="dxa"/>
            <w:tcBorders/>
            <w:shd w:fill="FFFFFF" w:val="clear"/>
            <w:vAlign w:val="center"/>
          </w:tcPr>
          <w:p>
            <w:pPr>
              <w:pStyle w:val="TableContents"/>
              <w:spacing w:before="0" w:after="283"/>
              <w:rPr/>
            </w:pPr>
            <w:r>
              <w:rPr/>
              <w:t> </w:t>
            </w:r>
          </w:p>
        </w:tc>
      </w:tr>
      <w:tr>
        <w:trPr/>
        <w:tc>
          <w:tcPr>
            <w:tcW w:w="4130" w:type="dxa"/>
            <w:tcBorders/>
            <w:shd w:fill="CCEEFF" w:val="clear"/>
            <w:vAlign w:val="center"/>
          </w:tcPr>
          <w:p>
            <w:pPr>
              <w:pStyle w:val="TableContents"/>
              <w:spacing w:before="0" w:after="0"/>
              <w:ind w:left="36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stock options and other</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25,508</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7,536</w:t>
            </w:r>
          </w:p>
        </w:tc>
        <w:tc>
          <w:tcPr>
            <w:tcW w:w="75"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4130" w:type="dxa"/>
            <w:tcBorders/>
            <w:shd w:fill="FFFF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Diluted - weighted-average shares outstanding:</w:t>
            </w:r>
          </w:p>
        </w:tc>
        <w:tc>
          <w:tcPr>
            <w:tcW w:w="60" w:type="dxa"/>
            <w:tcBorders/>
            <w:shd w:fill="FFFFFF" w:val="clear"/>
            <w:vAlign w:val="center"/>
          </w:tcPr>
          <w:p>
            <w:pPr>
              <w:pStyle w:val="TableContents"/>
              <w:spacing w:before="0" w:after="283"/>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9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26,605,787</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9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27,510,477</w:t>
            </w:r>
          </w:p>
        </w:tc>
        <w:tc>
          <w:tcPr>
            <w:tcW w:w="75" w:type="dxa"/>
            <w:tcBorders>
              <w:bottom w:val="double" w:sz="6" w:space="0" w:color="000000"/>
            </w:tcBorders>
            <w:shd w:fill="FFFFFF" w:val="clear"/>
            <w:tcMar>
              <w:bottom w:w="28" w:type="dxa"/>
            </w:tcMar>
            <w:vAlign w:val="center"/>
          </w:tcPr>
          <w:p>
            <w:pPr>
              <w:pStyle w:val="TableContents"/>
              <w:spacing w:before="0" w:after="283"/>
              <w:rPr/>
            </w:pPr>
            <w:r>
              <w:rPr/>
              <w:t> </w:t>
            </w:r>
          </w:p>
        </w:tc>
      </w:tr>
      <w:tr>
        <w:trPr/>
        <w:tc>
          <w:tcPr>
            <w:tcW w:w="4130"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share: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4130" w:type="dxa"/>
            <w:tcBorders/>
            <w:shd w:fill="FFFFFF" w:val="clear"/>
            <w:vAlign w:val="center"/>
          </w:tcPr>
          <w:p>
            <w:pPr>
              <w:pStyle w:val="TableContents"/>
              <w:spacing w:before="0" w:after="0"/>
              <w:ind w:left="36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0.10</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0.19</w:t>
            </w:r>
          </w:p>
        </w:tc>
        <w:tc>
          <w:tcPr>
            <w:tcW w:w="75" w:type="dxa"/>
            <w:tcBorders>
              <w:bottom w:val="double" w:sz="6" w:space="0" w:color="000000"/>
            </w:tcBorders>
            <w:shd w:fill="FFFFFF" w:val="clear"/>
            <w:tcMar>
              <w:bottom w:w="28" w:type="dxa"/>
            </w:tcMar>
            <w:vAlign w:val="center"/>
          </w:tcPr>
          <w:p>
            <w:pPr>
              <w:pStyle w:val="TableContents"/>
              <w:spacing w:before="0" w:after="283"/>
              <w:rPr/>
            </w:pPr>
            <w:r>
              <w:rPr/>
              <w:t> </w:t>
            </w:r>
          </w:p>
        </w:tc>
      </w:tr>
      <w:tr>
        <w:trPr/>
        <w:tc>
          <w:tcPr>
            <w:tcW w:w="4130" w:type="dxa"/>
            <w:tcBorders/>
            <w:shd w:fill="CCEEFF" w:val="clear"/>
            <w:vAlign w:val="center"/>
          </w:tcPr>
          <w:p>
            <w:pPr>
              <w:pStyle w:val="TableContents"/>
              <w:spacing w:before="0" w:after="0"/>
              <w:ind w:left="36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0.10</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0.19</w:t>
            </w:r>
          </w:p>
        </w:tc>
        <w:tc>
          <w:tcPr>
            <w:tcW w:w="75" w:type="dxa"/>
            <w:tcBorders>
              <w:bottom w:val="double" w:sz="6" w:space="0" w:color="000000"/>
            </w:tcBorders>
            <w:shd w:fill="CCEEFF" w:val="clear"/>
            <w:tcMar>
              <w:bottom w:w="28" w:type="dxa"/>
            </w:tcMar>
            <w:vAlign w:val="center"/>
          </w:tcPr>
          <w:p>
            <w:pPr>
              <w:pStyle w:val="TableContents"/>
              <w:spacing w:before="0" w:after="283"/>
              <w:rPr/>
            </w:pPr>
            <w:r>
              <w:rPr/>
              <w:t> </w:t>
            </w:r>
          </w:p>
        </w:tc>
      </w:tr>
    </w:tbl>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p>
      <w:pPr>
        <w:pStyle w:val="TextBody"/>
        <w:spacing w:before="0" w:after="0"/>
        <w:jc w:val="center"/>
        <w:rPr/>
      </w:pPr>
      <w:r>
        <w:rPr>
          <w:rStyle w:val="Emphasis"/>
          <w:rFonts w:ascii="Times New Roman" w:hAnsi="Times New Roman"/>
          <w:sz w:val="20"/>
        </w:rPr>
        <w:t>6</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4</w:t>
      </w:r>
      <w:r>
        <w:rPr>
          <w:rFonts w:ascii="Times New Roman;Times;serif" w:hAnsi="Times New Roman;Times;serif"/>
          <w:b/>
          <w:sz w:val="20"/>
        </w:rPr>
        <w:t> – Goodwill and Other Intangible Assets</w:t>
      </w:r>
    </w:p>
    <w:p>
      <w:pPr>
        <w:pStyle w:val="TextBody"/>
        <w:spacing w:before="0" w:after="0"/>
        <w:ind w:left="0" w:right="0" w:hanging="0"/>
        <w:jc w:val="left"/>
        <w:rPr/>
      </w:pPr>
      <w:r>
        <w:rPr/>
        <w:t> </w:t>
      </w:r>
    </w:p>
    <w:p>
      <w:pPr>
        <w:pStyle w:val="TextBody"/>
        <w:spacing w:before="0" w:after="0"/>
        <w:ind w:left="0" w:right="0" w:hanging="0"/>
        <w:jc w:val="left"/>
        <w:rPr/>
      </w:pPr>
      <w:r>
        <w:rPr>
          <w:rFonts w:ascii="Times New Roman;Times;serif" w:hAnsi="Times New Roman;Times;serif"/>
          <w:sz w:val="20"/>
        </w:rPr>
        <w:t xml:space="preserve">There were </w:t>
      </w:r>
      <w:r>
        <w:rPr>
          <w:rStyle w:val="Emphasis"/>
          <w:rFonts w:ascii="Times New Roman;Times;serif" w:hAnsi="Times New Roman;Times;serif"/>
          <w:sz w:val="20"/>
        </w:rPr>
        <w:t>no</w:t>
      </w:r>
      <w:r>
        <w:rPr>
          <w:rFonts w:ascii="Times New Roman;Times;serif" w:hAnsi="Times New Roman;Times;serif"/>
          <w:sz w:val="20"/>
        </w:rPr>
        <w:t xml:space="preserve"> changes in the carrying amount of goodwill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March 31, 2023</w:t>
      </w:r>
      <w:r>
        <w:rPr>
          <w:rFonts w:ascii="Times New Roman;Times;serif" w:hAnsi="Times New Roman;Times;serif"/>
          <w:sz w:val="20"/>
        </w:rPr>
        <w:t>.</w:t>
      </w:r>
    </w:p>
    <w:p>
      <w:pPr>
        <w:pStyle w:val="TextBody"/>
        <w:spacing w:before="0" w:after="0"/>
        <w:ind w:left="0" w:right="0" w:hanging="0"/>
        <w:jc w:val="left"/>
        <w:rPr/>
      </w:pPr>
      <w:r>
        <w:rPr/>
        <w:t> </w:t>
      </w:r>
    </w:p>
    <w:p>
      <w:pPr>
        <w:pStyle w:val="TextBody"/>
        <w:spacing w:before="0" w:after="0"/>
        <w:ind w:left="0" w:right="0" w:hanging="0"/>
        <w:jc w:val="left"/>
        <w:rPr/>
      </w:pPr>
      <w:r>
        <w:rPr>
          <w:rFonts w:ascii="Times New Roman;Times;serif" w:hAnsi="Times New Roman;Times;serif"/>
          <w:sz w:val="20"/>
        </w:rPr>
        <w:t>Intangible assets other than goodwill at </w:t>
      </w:r>
      <w:r>
        <w:rPr>
          <w:rStyle w:val="Emphasis"/>
          <w:rFonts w:ascii="Times New Roman;Times;serif" w:hAnsi="Times New Roman;Times;serif"/>
          <w:sz w:val="20"/>
        </w:rPr>
        <w:t xml:space="preserve"> March 31, 2023</w:t>
      </w:r>
      <w:r>
        <w:rPr>
          <w:rFonts w:ascii="Times New Roman;Times;serif" w:hAnsi="Times New Roman;Times;serif"/>
          <w:sz w:val="20"/>
        </w:rPr>
        <w:t xml:space="preserve"> and </w:t>
      </w:r>
      <w:r>
        <w:rPr>
          <w:rStyle w:val="Emphasis"/>
          <w:rFonts w:ascii="Times New Roman;Times;serif" w:hAnsi="Times New Roman;Times;serif"/>
          <w:sz w:val="20"/>
        </w:rPr>
        <w:t>December 31, 2022</w:t>
      </w:r>
      <w:r>
        <w:rPr>
          <w:rFonts w:ascii="Times New Roman;Times;serif" w:hAnsi="Times New Roman;Times;serif"/>
          <w:sz w:val="20"/>
        </w:rPr>
        <w:t xml:space="preserve"> were as follows:</w:t>
      </w:r>
    </w:p>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1510"/>
        <w:gridCol w:w="60"/>
        <w:gridCol w:w="125"/>
        <w:gridCol w:w="590"/>
        <w:gridCol w:w="60"/>
        <w:gridCol w:w="60"/>
        <w:gridCol w:w="223"/>
        <w:gridCol w:w="1167"/>
        <w:gridCol w:w="80"/>
        <w:gridCol w:w="60"/>
        <w:gridCol w:w="125"/>
        <w:gridCol w:w="590"/>
        <w:gridCol w:w="60"/>
        <w:gridCol w:w="60"/>
        <w:gridCol w:w="125"/>
        <w:gridCol w:w="590"/>
        <w:gridCol w:w="60"/>
        <w:gridCol w:w="60"/>
        <w:gridCol w:w="223"/>
        <w:gridCol w:w="1167"/>
        <w:gridCol w:w="80"/>
        <w:gridCol w:w="60"/>
        <w:gridCol w:w="125"/>
        <w:gridCol w:w="590"/>
        <w:gridCol w:w="60"/>
        <w:gridCol w:w="60"/>
        <w:gridCol w:w="693"/>
        <w:gridCol w:w="60"/>
        <w:gridCol w:w="60"/>
        <w:gridCol w:w="1359"/>
        <w:gridCol w:w="63"/>
      </w:tblGrid>
      <w:tr>
        <w:trPr/>
        <w:tc>
          <w:tcPr>
            <w:tcW w:w="15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080"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March 31, 2023</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080"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December 31, 2022</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93" w:type="dxa"/>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Useful</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59" w:type="dxa"/>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Weighted Average</w:t>
            </w:r>
          </w:p>
        </w:tc>
        <w:tc>
          <w:tcPr>
            <w:tcW w:w="63" w:type="dxa"/>
            <w:tcBorders/>
            <w:shd w:fill="FFFFFF" w:val="clear"/>
            <w:vAlign w:val="center"/>
          </w:tcPr>
          <w:p>
            <w:pPr>
              <w:pStyle w:val="TableContents"/>
              <w:spacing w:before="0" w:after="283"/>
              <w:rPr/>
            </w:pPr>
            <w:r>
              <w:rPr/>
              <w:t> </w:t>
            </w:r>
          </w:p>
        </w:tc>
      </w:tr>
      <w:tr>
        <w:trPr/>
        <w:tc>
          <w:tcPr>
            <w:tcW w:w="1510"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 thousands)</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Gross</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9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Accumulated Amortization</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Net</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Gross</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9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Accumulated Amortization</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Net</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93" w:type="dxa"/>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Life (in years)</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59" w:type="dxa"/>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Useful Life Remaining (in years)</w:t>
            </w:r>
          </w:p>
        </w:tc>
        <w:tc>
          <w:tcPr>
            <w:tcW w:w="63"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1510" w:type="dxa"/>
            <w:tcBorders/>
            <w:shd w:fill="CCEEFF" w:val="clear"/>
            <w:vAlign w:val="center"/>
          </w:tcPr>
          <w:p>
            <w:pPr>
              <w:pStyle w:val="TableContents"/>
              <w:spacing w:before="0" w:after="0"/>
              <w:ind w:left="180" w:right="0" w:hanging="180"/>
              <w:rPr>
                <w:rFonts w:ascii="Times New Roman;Times;serif" w:hAnsi="Times New Roman;Times;serif"/>
                <w:sz w:val="20"/>
              </w:rPr>
            </w:pPr>
            <w:r>
              <w:rPr>
                <w:rFonts w:ascii="Times New Roman;Times;serif" w:hAnsi="Times New Roman;Times;serif"/>
                <w:sz w:val="20"/>
              </w:rPr>
              <w:t>Intangible assets with finite lives: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3" w:type="dxa"/>
            <w:tcBorders/>
            <w:shd w:fill="CCEEFF" w:val="clear"/>
            <w:vAlign w:val="center"/>
          </w:tcPr>
          <w:p>
            <w:pPr>
              <w:pStyle w:val="TableContents"/>
              <w:spacing w:before="0" w:after="283"/>
              <w:rPr/>
            </w:pPr>
            <w:r>
              <w:rPr/>
              <w:t> </w:t>
            </w:r>
          </w:p>
        </w:tc>
        <w:tc>
          <w:tcPr>
            <w:tcW w:w="1167"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3" w:type="dxa"/>
            <w:tcBorders/>
            <w:shd w:fill="CCEEFF" w:val="clear"/>
            <w:vAlign w:val="center"/>
          </w:tcPr>
          <w:p>
            <w:pPr>
              <w:pStyle w:val="TableContents"/>
              <w:spacing w:before="0" w:after="283"/>
              <w:rPr/>
            </w:pPr>
            <w:r>
              <w:rPr/>
              <w:t> </w:t>
            </w:r>
          </w:p>
        </w:tc>
        <w:tc>
          <w:tcPr>
            <w:tcW w:w="1167"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9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59"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r>
      <w:tr>
        <w:trPr/>
        <w:tc>
          <w:tcPr>
            <w:tcW w:w="1510"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Marketing assets</w:t>
            </w:r>
          </w:p>
        </w:tc>
        <w:tc>
          <w:tcPr>
            <w:tcW w:w="60" w:type="dxa"/>
            <w:tcBorders/>
            <w:shd w:fill="FFFFFF" w:val="clear"/>
            <w:vAlign w:val="center"/>
          </w:tcPr>
          <w:p>
            <w:pPr>
              <w:pStyle w:val="TableContents"/>
              <w:spacing w:before="0" w:after="0"/>
              <w:ind w:left="0" w:right="0" w:hanging="0"/>
              <w:jc w:val="right"/>
              <w:rPr/>
            </w:pPr>
            <w:r>
              <w:rPr/>
              <w:t> </w:t>
            </w:r>
          </w:p>
        </w:tc>
        <w:tc>
          <w:tcPr>
            <w:tcW w:w="125" w:type="dxa"/>
            <w:tcBorders/>
            <w:shd w:fill="FFFFFF" w:val="clear"/>
            <w:vAlign w:val="center"/>
          </w:tcPr>
          <w:p>
            <w:pPr>
              <w:pStyle w:val="TableContents"/>
              <w:spacing w:before="0" w:after="0"/>
              <w:ind w:left="0" w:right="0" w:hanging="0"/>
              <w:jc w:val="right"/>
              <w:rPr/>
            </w:pPr>
            <w:r>
              <w:rPr/>
              <w:t> </w:t>
            </w:r>
          </w:p>
        </w:tc>
        <w:tc>
          <w:tcPr>
            <w:tcW w:w="590"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$ 930</w:t>
            </w:r>
          </w:p>
        </w:tc>
        <w:tc>
          <w:tcPr>
            <w:tcW w:w="60" w:type="dxa"/>
            <w:tcBorders/>
            <w:shd w:fill="FFFFFF" w:val="clear"/>
            <w:vAlign w:val="center"/>
          </w:tcPr>
          <w:p>
            <w:pPr>
              <w:pStyle w:val="TableContents"/>
              <w:spacing w:before="0" w:after="0"/>
              <w:ind w:left="0" w:right="0" w:hanging="0"/>
              <w:jc w:val="right"/>
              <w:rPr/>
            </w:pPr>
            <w:r>
              <w:rPr/>
              <w:t> </w:t>
            </w:r>
          </w:p>
        </w:tc>
        <w:tc>
          <w:tcPr>
            <w:tcW w:w="60" w:type="dxa"/>
            <w:tcBorders/>
            <w:shd w:fill="FFFFFF" w:val="clear"/>
            <w:vAlign w:val="center"/>
          </w:tcPr>
          <w:p>
            <w:pPr>
              <w:pStyle w:val="TableContents"/>
              <w:spacing w:before="0" w:after="0"/>
              <w:ind w:left="0" w:right="0" w:hanging="0"/>
              <w:jc w:val="right"/>
              <w:rPr/>
            </w:pPr>
            <w:r>
              <w:rPr/>
              <w:t> </w:t>
            </w:r>
          </w:p>
        </w:tc>
        <w:tc>
          <w:tcPr>
            <w:tcW w:w="223" w:type="dxa"/>
            <w:tcBorders/>
            <w:shd w:fill="FFFFFF" w:val="clear"/>
            <w:vAlign w:val="center"/>
          </w:tcPr>
          <w:p>
            <w:pPr>
              <w:pStyle w:val="TableContents"/>
              <w:spacing w:before="0" w:after="0"/>
              <w:ind w:left="0" w:right="0" w:hanging="0"/>
              <w:jc w:val="right"/>
              <w:rPr/>
            </w:pPr>
            <w:r>
              <w:rPr/>
              <w:t> </w:t>
            </w:r>
          </w:p>
        </w:tc>
        <w:tc>
          <w:tcPr>
            <w:tcW w:w="1167"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(829)</w:t>
            </w:r>
          </w:p>
        </w:tc>
        <w:tc>
          <w:tcPr>
            <w:tcW w:w="80"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jc w:val="right"/>
              <w:rPr/>
            </w:pPr>
            <w:r>
              <w:rPr/>
              <w:t> </w:t>
            </w:r>
          </w:p>
        </w:tc>
        <w:tc>
          <w:tcPr>
            <w:tcW w:w="125" w:type="dxa"/>
            <w:tcBorders/>
            <w:shd w:fill="FFFFFF" w:val="clear"/>
            <w:vAlign w:val="center"/>
          </w:tcPr>
          <w:p>
            <w:pPr>
              <w:pStyle w:val="TableContents"/>
              <w:spacing w:before="0" w:after="0"/>
              <w:ind w:left="0" w:right="0" w:hanging="0"/>
              <w:jc w:val="right"/>
              <w:rPr/>
            </w:pPr>
            <w:r>
              <w:rPr/>
              <w:t> </w:t>
            </w:r>
          </w:p>
        </w:tc>
        <w:tc>
          <w:tcPr>
            <w:tcW w:w="590"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$ 101</w:t>
            </w:r>
          </w:p>
        </w:tc>
        <w:tc>
          <w:tcPr>
            <w:tcW w:w="60" w:type="dxa"/>
            <w:tcBorders/>
            <w:shd w:fill="FFFFFF" w:val="clear"/>
            <w:vAlign w:val="center"/>
          </w:tcPr>
          <w:p>
            <w:pPr>
              <w:pStyle w:val="TableContents"/>
              <w:spacing w:before="0" w:after="0"/>
              <w:ind w:left="0" w:right="0" w:hanging="0"/>
              <w:jc w:val="right"/>
              <w:rPr/>
            </w:pPr>
            <w:r>
              <w:rPr/>
              <w:t> </w:t>
            </w:r>
          </w:p>
        </w:tc>
        <w:tc>
          <w:tcPr>
            <w:tcW w:w="60" w:type="dxa"/>
            <w:tcBorders/>
            <w:shd w:fill="FFFFFF" w:val="clear"/>
            <w:vAlign w:val="center"/>
          </w:tcPr>
          <w:p>
            <w:pPr>
              <w:pStyle w:val="TableContents"/>
              <w:spacing w:before="0" w:after="0"/>
              <w:ind w:left="0" w:right="0" w:hanging="0"/>
              <w:jc w:val="right"/>
              <w:rPr/>
            </w:pPr>
            <w:r>
              <w:rPr/>
              <w:t> </w:t>
            </w:r>
          </w:p>
        </w:tc>
        <w:tc>
          <w:tcPr>
            <w:tcW w:w="125" w:type="dxa"/>
            <w:tcBorders/>
            <w:shd w:fill="FFFFFF" w:val="clear"/>
            <w:vAlign w:val="center"/>
          </w:tcPr>
          <w:p>
            <w:pPr>
              <w:pStyle w:val="TableContents"/>
              <w:spacing w:before="0" w:after="0"/>
              <w:ind w:left="0" w:right="0" w:hanging="0"/>
              <w:jc w:val="right"/>
              <w:rPr/>
            </w:pPr>
            <w:r>
              <w:rPr/>
              <w:t> </w:t>
            </w:r>
          </w:p>
        </w:tc>
        <w:tc>
          <w:tcPr>
            <w:tcW w:w="590"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$ 930</w:t>
            </w:r>
          </w:p>
        </w:tc>
        <w:tc>
          <w:tcPr>
            <w:tcW w:w="60" w:type="dxa"/>
            <w:tcBorders/>
            <w:shd w:fill="FFFFFF" w:val="clear"/>
            <w:vAlign w:val="center"/>
          </w:tcPr>
          <w:p>
            <w:pPr>
              <w:pStyle w:val="TableContents"/>
              <w:spacing w:before="0" w:after="0"/>
              <w:ind w:left="0" w:right="0" w:hanging="0"/>
              <w:jc w:val="right"/>
              <w:rPr/>
            </w:pPr>
            <w:r>
              <w:rPr/>
              <w:t> </w:t>
            </w:r>
          </w:p>
        </w:tc>
        <w:tc>
          <w:tcPr>
            <w:tcW w:w="60" w:type="dxa"/>
            <w:tcBorders/>
            <w:shd w:fill="FFFFFF" w:val="clear"/>
            <w:vAlign w:val="center"/>
          </w:tcPr>
          <w:p>
            <w:pPr>
              <w:pStyle w:val="TableContents"/>
              <w:spacing w:before="0" w:after="0"/>
              <w:ind w:left="0" w:right="0" w:hanging="0"/>
              <w:jc w:val="right"/>
              <w:rPr/>
            </w:pPr>
            <w:r>
              <w:rPr/>
              <w:t> </w:t>
            </w:r>
          </w:p>
        </w:tc>
        <w:tc>
          <w:tcPr>
            <w:tcW w:w="223" w:type="dxa"/>
            <w:tcBorders/>
            <w:shd w:fill="FFFFFF" w:val="clear"/>
            <w:vAlign w:val="center"/>
          </w:tcPr>
          <w:p>
            <w:pPr>
              <w:pStyle w:val="TableContents"/>
              <w:spacing w:before="0" w:after="0"/>
              <w:ind w:left="0" w:right="0" w:hanging="0"/>
              <w:jc w:val="right"/>
              <w:rPr/>
            </w:pPr>
            <w:r>
              <w:rPr/>
              <w:t> </w:t>
            </w:r>
          </w:p>
        </w:tc>
        <w:tc>
          <w:tcPr>
            <w:tcW w:w="1167"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(806)</w:t>
            </w:r>
          </w:p>
        </w:tc>
        <w:tc>
          <w:tcPr>
            <w:tcW w:w="80"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jc w:val="right"/>
              <w:rPr/>
            </w:pPr>
            <w:r>
              <w:rPr/>
              <w:t> </w:t>
            </w:r>
          </w:p>
        </w:tc>
        <w:tc>
          <w:tcPr>
            <w:tcW w:w="125" w:type="dxa"/>
            <w:tcBorders/>
            <w:shd w:fill="FFFFFF" w:val="clear"/>
            <w:vAlign w:val="center"/>
          </w:tcPr>
          <w:p>
            <w:pPr>
              <w:pStyle w:val="TableContents"/>
              <w:spacing w:before="0" w:after="0"/>
              <w:ind w:left="0" w:right="0" w:hanging="0"/>
              <w:jc w:val="right"/>
              <w:rPr/>
            </w:pPr>
            <w:r>
              <w:rPr/>
              <w:t> </w:t>
            </w:r>
          </w:p>
        </w:tc>
        <w:tc>
          <w:tcPr>
            <w:tcW w:w="590"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$ 124</w:t>
            </w:r>
          </w:p>
        </w:tc>
        <w:tc>
          <w:tcPr>
            <w:tcW w:w="60" w:type="dxa"/>
            <w:tcBorders/>
            <w:shd w:fill="FFFFFF" w:val="clear"/>
            <w:vAlign w:val="center"/>
          </w:tcPr>
          <w:p>
            <w:pPr>
              <w:pStyle w:val="TableContents"/>
              <w:spacing w:before="0" w:after="0"/>
              <w:ind w:left="0" w:right="0" w:hanging="0"/>
              <w:jc w:val="right"/>
              <w:rPr/>
            </w:pPr>
            <w:r>
              <w:rPr/>
              <w:t> </w:t>
            </w:r>
          </w:p>
        </w:tc>
        <w:tc>
          <w:tcPr>
            <w:tcW w:w="60" w:type="dxa"/>
            <w:tcBorders/>
            <w:shd w:fill="FFFFFF" w:val="clear"/>
            <w:vAlign w:val="center"/>
          </w:tcPr>
          <w:p>
            <w:pPr>
              <w:pStyle w:val="TableContents"/>
              <w:spacing w:before="0" w:after="0"/>
              <w:jc w:val="right"/>
              <w:rPr/>
            </w:pPr>
            <w:r>
              <w:rPr/>
              <w:t> </w:t>
            </w:r>
          </w:p>
        </w:tc>
        <w:tc>
          <w:tcPr>
            <w:tcW w:w="693" w:type="dxa"/>
            <w:tcBorders/>
            <w:shd w:fill="FFFF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10.0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59" w:type="dxa"/>
            <w:tcBorders/>
            <w:shd w:fill="FFFF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1.1</w:t>
            </w:r>
          </w:p>
        </w:tc>
        <w:tc>
          <w:tcPr>
            <w:tcW w:w="63" w:type="dxa"/>
            <w:tcBorders/>
            <w:shd w:fill="FFFFFF" w:val="clear"/>
            <w:vAlign w:val="center"/>
          </w:tcPr>
          <w:p>
            <w:pPr>
              <w:pStyle w:val="TableContents"/>
              <w:spacing w:before="0" w:after="283"/>
              <w:rPr/>
            </w:pPr>
            <w:r>
              <w:rPr/>
              <w:t> </w:t>
            </w:r>
          </w:p>
        </w:tc>
      </w:tr>
      <w:tr>
        <w:trPr/>
        <w:tc>
          <w:tcPr>
            <w:tcW w:w="151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Non-compete agreement</w:t>
            </w:r>
          </w:p>
        </w:tc>
        <w:tc>
          <w:tcPr>
            <w:tcW w:w="60" w:type="dxa"/>
            <w:tcBorders/>
            <w:shd w:fill="CCEEFF" w:val="clear"/>
            <w:vAlign w:val="center"/>
          </w:tcPr>
          <w:p>
            <w:pPr>
              <w:pStyle w:val="TableContents"/>
              <w:spacing w:before="0" w:after="0"/>
              <w:ind w:left="0" w:right="0" w:hanging="0"/>
              <w:jc w:val="right"/>
              <w:rPr/>
            </w:pPr>
            <w:r>
              <w:rPr/>
              <w:t> </w:t>
            </w:r>
          </w:p>
        </w:tc>
        <w:tc>
          <w:tcPr>
            <w:tcW w:w="715" w:type="dxa"/>
            <w:gridSpan w:val="2"/>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831</w:t>
            </w:r>
          </w:p>
        </w:tc>
        <w:tc>
          <w:tcPr>
            <w:tcW w:w="60" w:type="dxa"/>
            <w:tcBorders/>
            <w:shd w:fill="CCEEFF" w:val="clear"/>
            <w:vAlign w:val="center"/>
          </w:tcPr>
          <w:p>
            <w:pPr>
              <w:pStyle w:val="TableContents"/>
              <w:spacing w:before="0" w:after="0"/>
              <w:ind w:left="0" w:right="0" w:hanging="0"/>
              <w:jc w:val="right"/>
              <w:rPr/>
            </w:pPr>
            <w:r>
              <w:rPr/>
              <w:t> </w:t>
            </w:r>
          </w:p>
        </w:tc>
        <w:tc>
          <w:tcPr>
            <w:tcW w:w="60" w:type="dxa"/>
            <w:tcBorders/>
            <w:shd w:fill="CCEEFF" w:val="clear"/>
            <w:vAlign w:val="center"/>
          </w:tcPr>
          <w:p>
            <w:pPr>
              <w:pStyle w:val="TableContents"/>
              <w:spacing w:before="0" w:after="0"/>
              <w:ind w:left="0" w:right="0" w:hanging="0"/>
              <w:jc w:val="right"/>
              <w:rPr/>
            </w:pPr>
            <w:r>
              <w:rPr/>
              <w:t> </w:t>
            </w:r>
          </w:p>
        </w:tc>
        <w:tc>
          <w:tcPr>
            <w:tcW w:w="1390" w:type="dxa"/>
            <w:gridSpan w:val="2"/>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(516</w:t>
            </w:r>
          </w:p>
        </w:tc>
        <w:tc>
          <w:tcPr>
            <w:tcW w:w="8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0"/>
              <w:ind w:left="0" w:right="0" w:hanging="0"/>
              <w:jc w:val="right"/>
              <w:rPr/>
            </w:pPr>
            <w:r>
              <w:rPr/>
              <w:t> </w:t>
            </w:r>
          </w:p>
        </w:tc>
        <w:tc>
          <w:tcPr>
            <w:tcW w:w="715" w:type="dxa"/>
            <w:gridSpan w:val="2"/>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60" w:type="dxa"/>
            <w:tcBorders/>
            <w:shd w:fill="CCEEFF" w:val="clear"/>
            <w:vAlign w:val="center"/>
          </w:tcPr>
          <w:p>
            <w:pPr>
              <w:pStyle w:val="TableContents"/>
              <w:spacing w:before="0" w:after="0"/>
              <w:ind w:left="0" w:right="0" w:hanging="0"/>
              <w:jc w:val="right"/>
              <w:rPr/>
            </w:pPr>
            <w:r>
              <w:rPr/>
              <w:t> </w:t>
            </w:r>
          </w:p>
        </w:tc>
        <w:tc>
          <w:tcPr>
            <w:tcW w:w="60" w:type="dxa"/>
            <w:tcBorders/>
            <w:shd w:fill="CCEEFF" w:val="clear"/>
            <w:vAlign w:val="center"/>
          </w:tcPr>
          <w:p>
            <w:pPr>
              <w:pStyle w:val="TableContents"/>
              <w:spacing w:before="0" w:after="0"/>
              <w:ind w:left="0" w:right="0" w:hanging="0"/>
              <w:jc w:val="right"/>
              <w:rPr/>
            </w:pPr>
            <w:r>
              <w:rPr/>
              <w:t> </w:t>
            </w:r>
          </w:p>
        </w:tc>
        <w:tc>
          <w:tcPr>
            <w:tcW w:w="715" w:type="dxa"/>
            <w:gridSpan w:val="2"/>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828</w:t>
            </w:r>
          </w:p>
        </w:tc>
        <w:tc>
          <w:tcPr>
            <w:tcW w:w="60" w:type="dxa"/>
            <w:tcBorders/>
            <w:shd w:fill="CCEEFF" w:val="clear"/>
            <w:vAlign w:val="center"/>
          </w:tcPr>
          <w:p>
            <w:pPr>
              <w:pStyle w:val="TableContents"/>
              <w:spacing w:before="0" w:after="0"/>
              <w:ind w:left="0" w:right="0" w:hanging="0"/>
              <w:jc w:val="right"/>
              <w:rPr/>
            </w:pPr>
            <w:r>
              <w:rPr/>
              <w:t> </w:t>
            </w:r>
          </w:p>
        </w:tc>
        <w:tc>
          <w:tcPr>
            <w:tcW w:w="60" w:type="dxa"/>
            <w:tcBorders/>
            <w:shd w:fill="CCEEFF" w:val="clear"/>
            <w:vAlign w:val="center"/>
          </w:tcPr>
          <w:p>
            <w:pPr>
              <w:pStyle w:val="TableContents"/>
              <w:spacing w:before="0" w:after="0"/>
              <w:ind w:left="0" w:right="0" w:hanging="0"/>
              <w:jc w:val="right"/>
              <w:rPr/>
            </w:pPr>
            <w:r>
              <w:rPr/>
              <w:t> </w:t>
            </w:r>
          </w:p>
        </w:tc>
        <w:tc>
          <w:tcPr>
            <w:tcW w:w="1390" w:type="dxa"/>
            <w:gridSpan w:val="2"/>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(487</w:t>
            </w:r>
          </w:p>
        </w:tc>
        <w:tc>
          <w:tcPr>
            <w:tcW w:w="8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0"/>
              <w:ind w:left="0" w:right="0" w:hanging="0"/>
              <w:jc w:val="right"/>
              <w:rPr/>
            </w:pPr>
            <w:r>
              <w:rPr/>
              <w:t> </w:t>
            </w:r>
          </w:p>
        </w:tc>
        <w:tc>
          <w:tcPr>
            <w:tcW w:w="715" w:type="dxa"/>
            <w:gridSpan w:val="2"/>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341</w:t>
            </w:r>
          </w:p>
        </w:tc>
        <w:tc>
          <w:tcPr>
            <w:tcW w:w="60" w:type="dxa"/>
            <w:tcBorders/>
            <w:shd w:fill="CCEEFF" w:val="clear"/>
            <w:vAlign w:val="center"/>
          </w:tcPr>
          <w:p>
            <w:pPr>
              <w:pStyle w:val="TableContents"/>
              <w:spacing w:before="0" w:after="0"/>
              <w:ind w:left="0" w:right="0" w:hanging="0"/>
              <w:jc w:val="right"/>
              <w:rPr/>
            </w:pPr>
            <w:r>
              <w:rPr/>
              <w:t> </w:t>
            </w:r>
          </w:p>
        </w:tc>
        <w:tc>
          <w:tcPr>
            <w:tcW w:w="60" w:type="dxa"/>
            <w:tcBorders/>
            <w:shd w:fill="CCEEFF" w:val="clear"/>
            <w:vAlign w:val="center"/>
          </w:tcPr>
          <w:p>
            <w:pPr>
              <w:pStyle w:val="TableContents"/>
              <w:spacing w:before="0" w:after="0"/>
              <w:jc w:val="right"/>
              <w:rPr/>
            </w:pPr>
            <w:r>
              <w:rPr/>
              <w:t> </w:t>
            </w:r>
          </w:p>
        </w:tc>
        <w:tc>
          <w:tcPr>
            <w:tcW w:w="693"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2.0 - 5.0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59"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1.9</w:t>
            </w:r>
          </w:p>
        </w:tc>
        <w:tc>
          <w:tcPr>
            <w:tcW w:w="63" w:type="dxa"/>
            <w:tcBorders/>
            <w:shd w:fill="CCEEFF" w:val="clear"/>
            <w:vAlign w:val="center"/>
          </w:tcPr>
          <w:p>
            <w:pPr>
              <w:pStyle w:val="TableContents"/>
              <w:spacing w:before="0" w:after="283"/>
              <w:rPr/>
            </w:pPr>
            <w:r>
              <w:rPr/>
              <w:t> </w:t>
            </w:r>
          </w:p>
        </w:tc>
      </w:tr>
      <w:tr>
        <w:trPr/>
        <w:tc>
          <w:tcPr>
            <w:tcW w:w="1510"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Software technology</w:t>
            </w:r>
          </w:p>
        </w:tc>
        <w:tc>
          <w:tcPr>
            <w:tcW w:w="60" w:type="dxa"/>
            <w:tcBorders/>
            <w:shd w:fill="FFFFFF" w:val="clear"/>
            <w:vAlign w:val="center"/>
          </w:tcPr>
          <w:p>
            <w:pPr>
              <w:pStyle w:val="TableContents"/>
              <w:spacing w:before="0" w:after="0"/>
              <w:ind w:left="0" w:right="0" w:hanging="0"/>
              <w:jc w:val="right"/>
              <w:rPr/>
            </w:pPr>
            <w:r>
              <w:rPr/>
              <w:t> </w:t>
            </w:r>
          </w:p>
        </w:tc>
        <w:tc>
          <w:tcPr>
            <w:tcW w:w="715" w:type="dxa"/>
            <w:gridSpan w:val="2"/>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13,229</w:t>
            </w:r>
          </w:p>
        </w:tc>
        <w:tc>
          <w:tcPr>
            <w:tcW w:w="60" w:type="dxa"/>
            <w:tcBorders/>
            <w:shd w:fill="FFFFFF" w:val="clear"/>
            <w:vAlign w:val="center"/>
          </w:tcPr>
          <w:p>
            <w:pPr>
              <w:pStyle w:val="TableContents"/>
              <w:spacing w:before="0" w:after="0"/>
              <w:ind w:left="0" w:right="0" w:hanging="0"/>
              <w:jc w:val="right"/>
              <w:rPr/>
            </w:pPr>
            <w:r>
              <w:rPr/>
              <w:t> </w:t>
            </w:r>
          </w:p>
        </w:tc>
        <w:tc>
          <w:tcPr>
            <w:tcW w:w="60" w:type="dxa"/>
            <w:tcBorders/>
            <w:shd w:fill="FFFFFF" w:val="clear"/>
            <w:vAlign w:val="center"/>
          </w:tcPr>
          <w:p>
            <w:pPr>
              <w:pStyle w:val="TableContents"/>
              <w:spacing w:before="0" w:after="0"/>
              <w:ind w:left="0" w:right="0" w:hanging="0"/>
              <w:jc w:val="right"/>
              <w:rPr/>
            </w:pPr>
            <w:r>
              <w:rPr/>
              <w:t> </w:t>
            </w:r>
          </w:p>
        </w:tc>
        <w:tc>
          <w:tcPr>
            <w:tcW w:w="1390" w:type="dxa"/>
            <w:gridSpan w:val="2"/>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(6,725</w:t>
            </w:r>
          </w:p>
        </w:tc>
        <w:tc>
          <w:tcPr>
            <w:tcW w:w="80"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0"/>
              <w:ind w:left="0" w:right="0" w:hanging="0"/>
              <w:jc w:val="right"/>
              <w:rPr/>
            </w:pPr>
            <w:r>
              <w:rPr/>
              <w:t> </w:t>
            </w:r>
          </w:p>
        </w:tc>
        <w:tc>
          <w:tcPr>
            <w:tcW w:w="715" w:type="dxa"/>
            <w:gridSpan w:val="2"/>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6,504</w:t>
            </w:r>
          </w:p>
        </w:tc>
        <w:tc>
          <w:tcPr>
            <w:tcW w:w="60" w:type="dxa"/>
            <w:tcBorders/>
            <w:shd w:fill="FFFFFF" w:val="clear"/>
            <w:vAlign w:val="center"/>
          </w:tcPr>
          <w:p>
            <w:pPr>
              <w:pStyle w:val="TableContents"/>
              <w:spacing w:before="0" w:after="0"/>
              <w:ind w:left="0" w:right="0" w:hanging="0"/>
              <w:jc w:val="right"/>
              <w:rPr/>
            </w:pPr>
            <w:r>
              <w:rPr/>
              <w:t> </w:t>
            </w:r>
          </w:p>
        </w:tc>
        <w:tc>
          <w:tcPr>
            <w:tcW w:w="60" w:type="dxa"/>
            <w:tcBorders/>
            <w:shd w:fill="FFFFFF" w:val="clear"/>
            <w:vAlign w:val="center"/>
          </w:tcPr>
          <w:p>
            <w:pPr>
              <w:pStyle w:val="TableContents"/>
              <w:spacing w:before="0" w:after="0"/>
              <w:ind w:left="0" w:right="0" w:hanging="0"/>
              <w:jc w:val="right"/>
              <w:rPr/>
            </w:pPr>
            <w:r>
              <w:rPr/>
              <w:t> </w:t>
            </w:r>
          </w:p>
        </w:tc>
        <w:tc>
          <w:tcPr>
            <w:tcW w:w="715" w:type="dxa"/>
            <w:gridSpan w:val="2"/>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13,229</w:t>
            </w:r>
          </w:p>
        </w:tc>
        <w:tc>
          <w:tcPr>
            <w:tcW w:w="60" w:type="dxa"/>
            <w:tcBorders/>
            <w:shd w:fill="FFFFFF" w:val="clear"/>
            <w:vAlign w:val="center"/>
          </w:tcPr>
          <w:p>
            <w:pPr>
              <w:pStyle w:val="TableContents"/>
              <w:spacing w:before="0" w:after="0"/>
              <w:ind w:left="0" w:right="0" w:hanging="0"/>
              <w:jc w:val="right"/>
              <w:rPr/>
            </w:pPr>
            <w:r>
              <w:rPr/>
              <w:t> </w:t>
            </w:r>
          </w:p>
        </w:tc>
        <w:tc>
          <w:tcPr>
            <w:tcW w:w="60" w:type="dxa"/>
            <w:tcBorders/>
            <w:shd w:fill="FFFFFF" w:val="clear"/>
            <w:vAlign w:val="center"/>
          </w:tcPr>
          <w:p>
            <w:pPr>
              <w:pStyle w:val="TableContents"/>
              <w:spacing w:before="0" w:after="0"/>
              <w:ind w:left="0" w:right="0" w:hanging="0"/>
              <w:jc w:val="right"/>
              <w:rPr/>
            </w:pPr>
            <w:r>
              <w:rPr/>
              <w:t> </w:t>
            </w:r>
          </w:p>
        </w:tc>
        <w:tc>
          <w:tcPr>
            <w:tcW w:w="1390" w:type="dxa"/>
            <w:gridSpan w:val="2"/>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(6,383</w:t>
            </w:r>
          </w:p>
        </w:tc>
        <w:tc>
          <w:tcPr>
            <w:tcW w:w="80"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0"/>
              <w:ind w:left="0" w:right="0" w:hanging="0"/>
              <w:jc w:val="right"/>
              <w:rPr/>
            </w:pPr>
            <w:r>
              <w:rPr/>
              <w:t> </w:t>
            </w:r>
          </w:p>
        </w:tc>
        <w:tc>
          <w:tcPr>
            <w:tcW w:w="715" w:type="dxa"/>
            <w:gridSpan w:val="2"/>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6,846</w:t>
            </w:r>
          </w:p>
        </w:tc>
        <w:tc>
          <w:tcPr>
            <w:tcW w:w="60" w:type="dxa"/>
            <w:tcBorders/>
            <w:shd w:fill="FFFFFF" w:val="clear"/>
            <w:vAlign w:val="center"/>
          </w:tcPr>
          <w:p>
            <w:pPr>
              <w:pStyle w:val="TableContents"/>
              <w:spacing w:before="0" w:after="0"/>
              <w:ind w:left="0" w:right="0" w:hanging="0"/>
              <w:jc w:val="right"/>
              <w:rPr/>
            </w:pPr>
            <w:r>
              <w:rPr/>
              <w:t> </w:t>
            </w:r>
          </w:p>
        </w:tc>
        <w:tc>
          <w:tcPr>
            <w:tcW w:w="60" w:type="dxa"/>
            <w:tcBorders/>
            <w:shd w:fill="FFFFFF" w:val="clear"/>
            <w:vAlign w:val="center"/>
          </w:tcPr>
          <w:p>
            <w:pPr>
              <w:pStyle w:val="TableContents"/>
              <w:spacing w:before="0" w:after="0"/>
              <w:jc w:val="right"/>
              <w:rPr/>
            </w:pPr>
            <w:r>
              <w:rPr/>
              <w:t> </w:t>
            </w:r>
          </w:p>
        </w:tc>
        <w:tc>
          <w:tcPr>
            <w:tcW w:w="693" w:type="dxa"/>
            <w:tcBorders/>
            <w:shd w:fill="FFFF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10.0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59" w:type="dxa"/>
            <w:tcBorders/>
            <w:shd w:fill="FFFF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4.8</w:t>
            </w:r>
          </w:p>
        </w:tc>
        <w:tc>
          <w:tcPr>
            <w:tcW w:w="63" w:type="dxa"/>
            <w:tcBorders/>
            <w:shd w:fill="FFFFFF" w:val="clear"/>
            <w:vAlign w:val="center"/>
          </w:tcPr>
          <w:p>
            <w:pPr>
              <w:pStyle w:val="TableContents"/>
              <w:spacing w:before="0" w:after="283"/>
              <w:rPr/>
            </w:pPr>
            <w:r>
              <w:rPr/>
              <w:t> </w:t>
            </w:r>
          </w:p>
        </w:tc>
      </w:tr>
      <w:tr>
        <w:trPr/>
        <w:tc>
          <w:tcPr>
            <w:tcW w:w="151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Software platform</w:t>
            </w:r>
          </w:p>
        </w:tc>
        <w:tc>
          <w:tcPr>
            <w:tcW w:w="60" w:type="dxa"/>
            <w:tcBorders/>
            <w:shd w:fill="CCEEFF" w:val="clear"/>
            <w:vAlign w:val="center"/>
          </w:tcPr>
          <w:p>
            <w:pPr>
              <w:pStyle w:val="TableContents"/>
              <w:spacing w:before="0" w:after="0"/>
              <w:ind w:left="0" w:right="0" w:hanging="0"/>
              <w:jc w:val="right"/>
              <w:rPr/>
            </w:pPr>
            <w:r>
              <w:rPr/>
              <w:t> </w:t>
            </w:r>
          </w:p>
        </w:tc>
        <w:tc>
          <w:tcPr>
            <w:tcW w:w="715" w:type="dxa"/>
            <w:gridSpan w:val="2"/>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26,200</w:t>
            </w:r>
          </w:p>
        </w:tc>
        <w:tc>
          <w:tcPr>
            <w:tcW w:w="60" w:type="dxa"/>
            <w:tcBorders/>
            <w:shd w:fill="CCEEFF" w:val="clear"/>
            <w:vAlign w:val="center"/>
          </w:tcPr>
          <w:p>
            <w:pPr>
              <w:pStyle w:val="TableContents"/>
              <w:spacing w:before="0" w:after="0"/>
              <w:ind w:left="0" w:right="0" w:hanging="0"/>
              <w:jc w:val="right"/>
              <w:rPr/>
            </w:pPr>
            <w:r>
              <w:rPr/>
              <w:t> </w:t>
            </w:r>
          </w:p>
        </w:tc>
        <w:tc>
          <w:tcPr>
            <w:tcW w:w="60" w:type="dxa"/>
            <w:tcBorders/>
            <w:shd w:fill="CCEEFF" w:val="clear"/>
            <w:vAlign w:val="center"/>
          </w:tcPr>
          <w:p>
            <w:pPr>
              <w:pStyle w:val="TableContents"/>
              <w:spacing w:before="0" w:after="0"/>
              <w:ind w:left="0" w:right="0" w:hanging="0"/>
              <w:jc w:val="right"/>
              <w:rPr/>
            </w:pPr>
            <w:r>
              <w:rPr/>
              <w:t> </w:t>
            </w:r>
          </w:p>
        </w:tc>
        <w:tc>
          <w:tcPr>
            <w:tcW w:w="1390" w:type="dxa"/>
            <w:gridSpan w:val="2"/>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(4,886</w:t>
            </w:r>
          </w:p>
        </w:tc>
        <w:tc>
          <w:tcPr>
            <w:tcW w:w="8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0"/>
              <w:ind w:left="0" w:right="0" w:hanging="0"/>
              <w:jc w:val="right"/>
              <w:rPr/>
            </w:pPr>
            <w:r>
              <w:rPr/>
              <w:t> </w:t>
            </w:r>
          </w:p>
        </w:tc>
        <w:tc>
          <w:tcPr>
            <w:tcW w:w="715" w:type="dxa"/>
            <w:gridSpan w:val="2"/>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21,314</w:t>
            </w:r>
          </w:p>
        </w:tc>
        <w:tc>
          <w:tcPr>
            <w:tcW w:w="60" w:type="dxa"/>
            <w:tcBorders/>
            <w:shd w:fill="CCEEFF" w:val="clear"/>
            <w:vAlign w:val="center"/>
          </w:tcPr>
          <w:p>
            <w:pPr>
              <w:pStyle w:val="TableContents"/>
              <w:spacing w:before="0" w:after="0"/>
              <w:ind w:left="0" w:right="0" w:hanging="0"/>
              <w:jc w:val="right"/>
              <w:rPr/>
            </w:pPr>
            <w:r>
              <w:rPr/>
              <w:t> </w:t>
            </w:r>
          </w:p>
        </w:tc>
        <w:tc>
          <w:tcPr>
            <w:tcW w:w="60" w:type="dxa"/>
            <w:tcBorders/>
            <w:shd w:fill="CCEEFF" w:val="clear"/>
            <w:vAlign w:val="center"/>
          </w:tcPr>
          <w:p>
            <w:pPr>
              <w:pStyle w:val="TableContents"/>
              <w:spacing w:before="0" w:after="0"/>
              <w:ind w:left="0" w:right="0" w:hanging="0"/>
              <w:jc w:val="right"/>
              <w:rPr/>
            </w:pPr>
            <w:r>
              <w:rPr/>
              <w:t> </w:t>
            </w:r>
          </w:p>
        </w:tc>
        <w:tc>
          <w:tcPr>
            <w:tcW w:w="715" w:type="dxa"/>
            <w:gridSpan w:val="2"/>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26,054</w:t>
            </w:r>
          </w:p>
        </w:tc>
        <w:tc>
          <w:tcPr>
            <w:tcW w:w="60" w:type="dxa"/>
            <w:tcBorders/>
            <w:shd w:fill="CCEEFF" w:val="clear"/>
            <w:vAlign w:val="center"/>
          </w:tcPr>
          <w:p>
            <w:pPr>
              <w:pStyle w:val="TableContents"/>
              <w:spacing w:before="0" w:after="0"/>
              <w:ind w:left="0" w:right="0" w:hanging="0"/>
              <w:jc w:val="right"/>
              <w:rPr/>
            </w:pPr>
            <w:r>
              <w:rPr/>
              <w:t> </w:t>
            </w:r>
          </w:p>
        </w:tc>
        <w:tc>
          <w:tcPr>
            <w:tcW w:w="60" w:type="dxa"/>
            <w:tcBorders/>
            <w:shd w:fill="CCEEFF" w:val="clear"/>
            <w:vAlign w:val="center"/>
          </w:tcPr>
          <w:p>
            <w:pPr>
              <w:pStyle w:val="TableContents"/>
              <w:spacing w:before="0" w:after="0"/>
              <w:ind w:left="0" w:right="0" w:hanging="0"/>
              <w:jc w:val="right"/>
              <w:rPr/>
            </w:pPr>
            <w:r>
              <w:rPr/>
              <w:t> </w:t>
            </w:r>
          </w:p>
        </w:tc>
        <w:tc>
          <w:tcPr>
            <w:tcW w:w="1390" w:type="dxa"/>
            <w:gridSpan w:val="2"/>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(4,337</w:t>
            </w:r>
          </w:p>
        </w:tc>
        <w:tc>
          <w:tcPr>
            <w:tcW w:w="8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0"/>
              <w:ind w:left="0" w:right="0" w:hanging="0"/>
              <w:jc w:val="right"/>
              <w:rPr/>
            </w:pPr>
            <w:r>
              <w:rPr/>
              <w:t> </w:t>
            </w:r>
          </w:p>
        </w:tc>
        <w:tc>
          <w:tcPr>
            <w:tcW w:w="715" w:type="dxa"/>
            <w:gridSpan w:val="2"/>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21,717</w:t>
            </w:r>
          </w:p>
        </w:tc>
        <w:tc>
          <w:tcPr>
            <w:tcW w:w="60" w:type="dxa"/>
            <w:tcBorders/>
            <w:shd w:fill="CCEEFF" w:val="clear"/>
            <w:vAlign w:val="center"/>
          </w:tcPr>
          <w:p>
            <w:pPr>
              <w:pStyle w:val="TableContents"/>
              <w:spacing w:before="0" w:after="0"/>
              <w:ind w:left="0" w:right="0" w:hanging="0"/>
              <w:jc w:val="right"/>
              <w:rPr/>
            </w:pPr>
            <w:r>
              <w:rPr/>
              <w:t> </w:t>
            </w:r>
          </w:p>
        </w:tc>
        <w:tc>
          <w:tcPr>
            <w:tcW w:w="60" w:type="dxa"/>
            <w:tcBorders/>
            <w:shd w:fill="CCEEFF" w:val="clear"/>
            <w:vAlign w:val="center"/>
          </w:tcPr>
          <w:p>
            <w:pPr>
              <w:pStyle w:val="TableContents"/>
              <w:spacing w:before="0" w:after="0"/>
              <w:jc w:val="right"/>
              <w:rPr/>
            </w:pPr>
            <w:r>
              <w:rPr/>
              <w:t> </w:t>
            </w:r>
          </w:p>
        </w:tc>
        <w:tc>
          <w:tcPr>
            <w:tcW w:w="693"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59"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9.8</w:t>
            </w:r>
          </w:p>
        </w:tc>
        <w:tc>
          <w:tcPr>
            <w:tcW w:w="63" w:type="dxa"/>
            <w:tcBorders/>
            <w:shd w:fill="CCEEFF" w:val="clear"/>
            <w:vAlign w:val="center"/>
          </w:tcPr>
          <w:p>
            <w:pPr>
              <w:pStyle w:val="TableContents"/>
              <w:spacing w:before="0" w:after="283"/>
              <w:rPr/>
            </w:pPr>
            <w:r>
              <w:rPr/>
              <w:t> </w:t>
            </w:r>
          </w:p>
        </w:tc>
      </w:tr>
      <w:tr>
        <w:trPr/>
        <w:tc>
          <w:tcPr>
            <w:tcW w:w="1510"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Tradenames</w:t>
            </w:r>
          </w:p>
        </w:tc>
        <w:tc>
          <w:tcPr>
            <w:tcW w:w="60" w:type="dxa"/>
            <w:tcBorders/>
            <w:shd w:fill="FFFFFF" w:val="clear"/>
            <w:vAlign w:val="center"/>
          </w:tcPr>
          <w:p>
            <w:pPr>
              <w:pStyle w:val="TableContents"/>
              <w:spacing w:before="0" w:after="0"/>
              <w:ind w:left="0" w:right="0" w:hanging="0"/>
              <w:jc w:val="right"/>
              <w:rPr/>
            </w:pPr>
            <w:r>
              <w:rPr/>
              <w:t> </w:t>
            </w:r>
          </w:p>
        </w:tc>
        <w:tc>
          <w:tcPr>
            <w:tcW w:w="715" w:type="dxa"/>
            <w:gridSpan w:val="2"/>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352</w:t>
            </w:r>
          </w:p>
        </w:tc>
        <w:tc>
          <w:tcPr>
            <w:tcW w:w="60" w:type="dxa"/>
            <w:tcBorders/>
            <w:shd w:fill="FFFFFF" w:val="clear"/>
            <w:vAlign w:val="center"/>
          </w:tcPr>
          <w:p>
            <w:pPr>
              <w:pStyle w:val="TableContents"/>
              <w:spacing w:before="0" w:after="0"/>
              <w:ind w:left="0" w:right="0" w:hanging="0"/>
              <w:jc w:val="right"/>
              <w:rPr/>
            </w:pPr>
            <w:r>
              <w:rPr/>
              <w:t> </w:t>
            </w:r>
          </w:p>
        </w:tc>
        <w:tc>
          <w:tcPr>
            <w:tcW w:w="60" w:type="dxa"/>
            <w:tcBorders/>
            <w:shd w:fill="FFFFFF" w:val="clear"/>
            <w:vAlign w:val="center"/>
          </w:tcPr>
          <w:p>
            <w:pPr>
              <w:pStyle w:val="TableContents"/>
              <w:spacing w:before="0" w:after="0"/>
              <w:ind w:left="0" w:right="0" w:hanging="0"/>
              <w:jc w:val="right"/>
              <w:rPr/>
            </w:pPr>
            <w:r>
              <w:rPr/>
              <w:t> </w:t>
            </w:r>
          </w:p>
        </w:tc>
        <w:tc>
          <w:tcPr>
            <w:tcW w:w="1390" w:type="dxa"/>
            <w:gridSpan w:val="2"/>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80"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0"/>
              <w:ind w:left="0" w:right="0" w:hanging="0"/>
              <w:jc w:val="right"/>
              <w:rPr/>
            </w:pPr>
            <w:r>
              <w:rPr/>
              <w:t> </w:t>
            </w:r>
          </w:p>
        </w:tc>
        <w:tc>
          <w:tcPr>
            <w:tcW w:w="715" w:type="dxa"/>
            <w:gridSpan w:val="2"/>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60" w:type="dxa"/>
            <w:tcBorders/>
            <w:shd w:fill="FFFFFF" w:val="clear"/>
            <w:vAlign w:val="center"/>
          </w:tcPr>
          <w:p>
            <w:pPr>
              <w:pStyle w:val="TableContents"/>
              <w:spacing w:before="0" w:after="0"/>
              <w:ind w:left="0" w:right="0" w:hanging="0"/>
              <w:jc w:val="right"/>
              <w:rPr/>
            </w:pPr>
            <w:r>
              <w:rPr/>
              <w:t> </w:t>
            </w:r>
          </w:p>
        </w:tc>
        <w:tc>
          <w:tcPr>
            <w:tcW w:w="60" w:type="dxa"/>
            <w:tcBorders/>
            <w:shd w:fill="FFFFFF" w:val="clear"/>
            <w:vAlign w:val="center"/>
          </w:tcPr>
          <w:p>
            <w:pPr>
              <w:pStyle w:val="TableContents"/>
              <w:spacing w:before="0" w:after="0"/>
              <w:ind w:left="0" w:right="0" w:hanging="0"/>
              <w:jc w:val="right"/>
              <w:rPr/>
            </w:pPr>
            <w:r>
              <w:rPr/>
              <w:t> </w:t>
            </w:r>
          </w:p>
        </w:tc>
        <w:tc>
          <w:tcPr>
            <w:tcW w:w="715" w:type="dxa"/>
            <w:gridSpan w:val="2"/>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60" w:type="dxa"/>
            <w:tcBorders/>
            <w:shd w:fill="FFFFFF" w:val="clear"/>
            <w:vAlign w:val="center"/>
          </w:tcPr>
          <w:p>
            <w:pPr>
              <w:pStyle w:val="TableContents"/>
              <w:spacing w:before="0" w:after="0"/>
              <w:ind w:left="0" w:right="0" w:hanging="0"/>
              <w:jc w:val="right"/>
              <w:rPr/>
            </w:pPr>
            <w:r>
              <w:rPr/>
              <w:t> </w:t>
            </w:r>
          </w:p>
        </w:tc>
        <w:tc>
          <w:tcPr>
            <w:tcW w:w="60" w:type="dxa"/>
            <w:tcBorders/>
            <w:shd w:fill="FFFFFF" w:val="clear"/>
            <w:vAlign w:val="center"/>
          </w:tcPr>
          <w:p>
            <w:pPr>
              <w:pStyle w:val="TableContents"/>
              <w:spacing w:before="0" w:after="0"/>
              <w:ind w:left="0" w:right="0" w:hanging="0"/>
              <w:jc w:val="right"/>
              <w:rPr/>
            </w:pPr>
            <w:r>
              <w:rPr/>
              <w:t> </w:t>
            </w:r>
          </w:p>
        </w:tc>
        <w:tc>
          <w:tcPr>
            <w:tcW w:w="1390" w:type="dxa"/>
            <w:gridSpan w:val="2"/>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c>
          <w:tcPr>
            <w:tcW w:w="80"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0"/>
              <w:ind w:left="0" w:right="0" w:hanging="0"/>
              <w:jc w:val="right"/>
              <w:rPr/>
            </w:pPr>
            <w:r>
              <w:rPr/>
              <w:t> </w:t>
            </w:r>
          </w:p>
        </w:tc>
        <w:tc>
          <w:tcPr>
            <w:tcW w:w="715" w:type="dxa"/>
            <w:gridSpan w:val="2"/>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60" w:type="dxa"/>
            <w:tcBorders/>
            <w:shd w:fill="FFFFFF" w:val="clear"/>
            <w:vAlign w:val="center"/>
          </w:tcPr>
          <w:p>
            <w:pPr>
              <w:pStyle w:val="TableContents"/>
              <w:spacing w:before="0" w:after="0"/>
              <w:ind w:left="0" w:right="0" w:hanging="0"/>
              <w:jc w:val="right"/>
              <w:rPr/>
            </w:pPr>
            <w:r>
              <w:rPr/>
              <w:t> </w:t>
            </w:r>
          </w:p>
        </w:tc>
        <w:tc>
          <w:tcPr>
            <w:tcW w:w="60" w:type="dxa"/>
            <w:tcBorders/>
            <w:shd w:fill="FFFFFF" w:val="clear"/>
            <w:vAlign w:val="center"/>
          </w:tcPr>
          <w:p>
            <w:pPr>
              <w:pStyle w:val="TableContents"/>
              <w:spacing w:before="0" w:after="0"/>
              <w:jc w:val="right"/>
              <w:rPr/>
            </w:pPr>
            <w:r>
              <w:rPr/>
              <w:t> </w:t>
            </w:r>
          </w:p>
        </w:tc>
        <w:tc>
          <w:tcPr>
            <w:tcW w:w="693" w:type="dxa"/>
            <w:tcBorders/>
            <w:shd w:fill="FFFF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3.0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59" w:type="dxa"/>
            <w:tcBorders/>
            <w:shd w:fill="FFFF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0.8</w:t>
            </w:r>
          </w:p>
        </w:tc>
        <w:tc>
          <w:tcPr>
            <w:tcW w:w="63" w:type="dxa"/>
            <w:tcBorders/>
            <w:shd w:fill="FFFFFF" w:val="clear"/>
            <w:vAlign w:val="center"/>
          </w:tcPr>
          <w:p>
            <w:pPr>
              <w:pStyle w:val="TableContents"/>
              <w:spacing w:before="0" w:after="283"/>
              <w:rPr/>
            </w:pPr>
            <w:r>
              <w:rPr/>
              <w:t> </w:t>
            </w:r>
          </w:p>
        </w:tc>
      </w:tr>
      <w:tr>
        <w:trPr/>
        <w:tc>
          <w:tcPr>
            <w:tcW w:w="151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Customer relationships</w:t>
            </w:r>
          </w:p>
        </w:tc>
        <w:tc>
          <w:tcPr>
            <w:tcW w:w="60" w:type="dxa"/>
            <w:tcBorders/>
            <w:shd w:fill="CCEEFF" w:val="clear"/>
            <w:vAlign w:val="center"/>
          </w:tcPr>
          <w:p>
            <w:pPr>
              <w:pStyle w:val="TableContents"/>
              <w:spacing w:before="0" w:after="0"/>
              <w:ind w:left="0" w:right="0" w:hanging="0"/>
              <w:jc w:val="right"/>
              <w:rPr/>
            </w:pPr>
            <w:r>
              <w:rPr/>
              <w:t> </w:t>
            </w:r>
          </w:p>
        </w:tc>
        <w:tc>
          <w:tcPr>
            <w:tcW w:w="715" w:type="dxa"/>
            <w:gridSpan w:val="2"/>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12,209</w:t>
            </w:r>
          </w:p>
        </w:tc>
        <w:tc>
          <w:tcPr>
            <w:tcW w:w="6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60" w:type="dxa"/>
            <w:tcBorders/>
            <w:shd w:fill="CCEEFF" w:val="clear"/>
            <w:vAlign w:val="center"/>
          </w:tcPr>
          <w:p>
            <w:pPr>
              <w:pStyle w:val="TableContents"/>
              <w:spacing w:before="0" w:after="0"/>
              <w:ind w:left="0" w:right="0" w:hanging="0"/>
              <w:jc w:val="right"/>
              <w:rPr/>
            </w:pPr>
            <w:r>
              <w:rPr/>
              <w:t> </w:t>
            </w:r>
          </w:p>
        </w:tc>
        <w:tc>
          <w:tcPr>
            <w:tcW w:w="1390" w:type="dxa"/>
            <w:gridSpan w:val="2"/>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(10,670</w:t>
            </w:r>
          </w:p>
        </w:tc>
        <w:tc>
          <w:tcPr>
            <w:tcW w:w="80"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0"/>
              <w:ind w:left="0" w:right="0" w:hanging="0"/>
              <w:jc w:val="right"/>
              <w:rPr/>
            </w:pPr>
            <w:r>
              <w:rPr/>
              <w:t> </w:t>
            </w:r>
          </w:p>
        </w:tc>
        <w:tc>
          <w:tcPr>
            <w:tcW w:w="715" w:type="dxa"/>
            <w:gridSpan w:val="2"/>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1,539</w:t>
            </w:r>
          </w:p>
        </w:tc>
        <w:tc>
          <w:tcPr>
            <w:tcW w:w="6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60" w:type="dxa"/>
            <w:tcBorders/>
            <w:shd w:fill="CCEEFF" w:val="clear"/>
            <w:vAlign w:val="center"/>
          </w:tcPr>
          <w:p>
            <w:pPr>
              <w:pStyle w:val="TableContents"/>
              <w:spacing w:before="0" w:after="0"/>
              <w:ind w:left="0" w:right="0" w:hanging="0"/>
              <w:jc w:val="right"/>
              <w:rPr/>
            </w:pPr>
            <w:r>
              <w:rPr/>
              <w:t> </w:t>
            </w:r>
          </w:p>
        </w:tc>
        <w:tc>
          <w:tcPr>
            <w:tcW w:w="715" w:type="dxa"/>
            <w:gridSpan w:val="2"/>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12,197</w:t>
            </w:r>
          </w:p>
        </w:tc>
        <w:tc>
          <w:tcPr>
            <w:tcW w:w="6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60" w:type="dxa"/>
            <w:tcBorders/>
            <w:shd w:fill="CCEEFF" w:val="clear"/>
            <w:vAlign w:val="center"/>
          </w:tcPr>
          <w:p>
            <w:pPr>
              <w:pStyle w:val="TableContents"/>
              <w:spacing w:before="0" w:after="0"/>
              <w:ind w:left="0" w:right="0" w:hanging="0"/>
              <w:jc w:val="right"/>
              <w:rPr/>
            </w:pPr>
            <w:r>
              <w:rPr/>
              <w:t> </w:t>
            </w:r>
          </w:p>
        </w:tc>
        <w:tc>
          <w:tcPr>
            <w:tcW w:w="1390" w:type="dxa"/>
            <w:gridSpan w:val="2"/>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(10,098</w:t>
            </w:r>
          </w:p>
        </w:tc>
        <w:tc>
          <w:tcPr>
            <w:tcW w:w="80"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0"/>
              <w:ind w:left="0" w:right="0" w:hanging="0"/>
              <w:jc w:val="right"/>
              <w:rPr/>
            </w:pPr>
            <w:r>
              <w:rPr/>
              <w:t> </w:t>
            </w:r>
          </w:p>
        </w:tc>
        <w:tc>
          <w:tcPr>
            <w:tcW w:w="715" w:type="dxa"/>
            <w:gridSpan w:val="2"/>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2,099</w:t>
            </w:r>
          </w:p>
        </w:tc>
        <w:tc>
          <w:tcPr>
            <w:tcW w:w="6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60" w:type="dxa"/>
            <w:tcBorders/>
            <w:shd w:fill="CCEEFF" w:val="clear"/>
            <w:vAlign w:val="center"/>
          </w:tcPr>
          <w:p>
            <w:pPr>
              <w:pStyle w:val="TableContents"/>
              <w:spacing w:before="0" w:after="0"/>
              <w:jc w:val="right"/>
              <w:rPr/>
            </w:pPr>
            <w:r>
              <w:rPr/>
              <w:t> </w:t>
            </w:r>
          </w:p>
        </w:tc>
        <w:tc>
          <w:tcPr>
            <w:tcW w:w="693"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3.0 - 9.0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59"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0.6</w:t>
            </w:r>
          </w:p>
        </w:tc>
        <w:tc>
          <w:tcPr>
            <w:tcW w:w="63" w:type="dxa"/>
            <w:tcBorders/>
            <w:shd w:fill="CCEEFF" w:val="clear"/>
            <w:vAlign w:val="center"/>
          </w:tcPr>
          <w:p>
            <w:pPr>
              <w:pStyle w:val="TableContents"/>
              <w:spacing w:before="0" w:after="283"/>
              <w:rPr/>
            </w:pPr>
            <w:r>
              <w:rPr/>
              <w:t> </w:t>
            </w:r>
          </w:p>
        </w:tc>
      </w:tr>
      <w:tr>
        <w:trPr/>
        <w:tc>
          <w:tcPr>
            <w:tcW w:w="1510" w:type="dxa"/>
            <w:tcBorders/>
            <w:shd w:fill="FFFFFF" w:val="clear"/>
            <w:vAlign w:val="center"/>
          </w:tcPr>
          <w:p>
            <w:pPr>
              <w:pStyle w:val="TableContents"/>
              <w:spacing w:before="0" w:after="0"/>
              <w:ind w:left="180" w:right="0" w:hanging="180"/>
              <w:rPr>
                <w:rFonts w:ascii="Times New Roman;Times;serif" w:hAnsi="Times New Roman;Times;serif"/>
                <w:sz w:val="20"/>
              </w:rPr>
            </w:pPr>
            <w:r>
              <w:rPr>
                <w:rFonts w:ascii="Times New Roman;Times;serif" w:hAnsi="Times New Roman;Times;serif"/>
                <w:sz w:val="20"/>
              </w:rPr>
              <w:t>Total intangible assets</w:t>
            </w:r>
          </w:p>
        </w:tc>
        <w:tc>
          <w:tcPr>
            <w:tcW w:w="60" w:type="dxa"/>
            <w:tcBorders/>
            <w:shd w:fill="FFFFFF" w:val="clear"/>
            <w:vAlign w:val="center"/>
          </w:tcPr>
          <w:p>
            <w:pPr>
              <w:pStyle w:val="TableContents"/>
              <w:spacing w:before="0" w:after="283"/>
              <w:ind w:left="0" w:right="0" w:hanging="0"/>
              <w:jc w:val="right"/>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53,751</w:t>
            </w:r>
          </w:p>
        </w:tc>
        <w:tc>
          <w:tcPr>
            <w:tcW w:w="60" w:type="dxa"/>
            <w:tcBorders>
              <w:bottom w:val="double" w:sz="6" w:space="0" w:color="000000"/>
            </w:tcBorders>
            <w:shd w:fill="FFFFFF" w:val="clear"/>
            <w:tcMar>
              <w:bottom w:w="28" w:type="dxa"/>
            </w:tcM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ind w:left="0" w:right="0" w:hanging="0"/>
              <w:jc w:val="right"/>
              <w:rPr/>
            </w:pPr>
            <w:r>
              <w:rPr/>
              <w:t> </w:t>
            </w:r>
          </w:p>
        </w:tc>
        <w:tc>
          <w:tcPr>
            <w:tcW w:w="223"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67"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(23,882</w:t>
            </w:r>
          </w:p>
        </w:tc>
        <w:tc>
          <w:tcPr>
            <w:tcW w:w="80" w:type="dxa"/>
            <w:tcBorders>
              <w:bottom w:val="double" w:sz="6" w:space="0" w:color="000000"/>
            </w:tcBorders>
            <w:shd w:fill="FFFF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ind w:left="0" w:right="0" w:hanging="0"/>
              <w:jc w:val="right"/>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29,869</w:t>
            </w:r>
          </w:p>
        </w:tc>
        <w:tc>
          <w:tcPr>
            <w:tcW w:w="60" w:type="dxa"/>
            <w:tcBorders>
              <w:bottom w:val="double" w:sz="6" w:space="0" w:color="000000"/>
            </w:tcBorders>
            <w:shd w:fill="FFFFFF" w:val="clear"/>
            <w:tcMar>
              <w:bottom w:w="28" w:type="dxa"/>
            </w:tcM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ind w:left="0" w:right="0" w:hanging="0"/>
              <w:jc w:val="right"/>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53,588</w:t>
            </w:r>
          </w:p>
        </w:tc>
        <w:tc>
          <w:tcPr>
            <w:tcW w:w="60" w:type="dxa"/>
            <w:tcBorders>
              <w:bottom w:val="double" w:sz="6" w:space="0" w:color="000000"/>
            </w:tcBorders>
            <w:shd w:fill="FFFFFF" w:val="clear"/>
            <w:tcMar>
              <w:bottom w:w="28" w:type="dxa"/>
            </w:tcM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ind w:left="0" w:right="0" w:hanging="0"/>
              <w:jc w:val="right"/>
              <w:rPr/>
            </w:pPr>
            <w:r>
              <w:rPr/>
              <w:t> </w:t>
            </w:r>
          </w:p>
        </w:tc>
        <w:tc>
          <w:tcPr>
            <w:tcW w:w="223"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67"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(22,338</w:t>
            </w:r>
          </w:p>
        </w:tc>
        <w:tc>
          <w:tcPr>
            <w:tcW w:w="80" w:type="dxa"/>
            <w:tcBorders>
              <w:bottom w:val="double" w:sz="6" w:space="0" w:color="000000"/>
            </w:tcBorders>
            <w:shd w:fill="FFFF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ind w:left="0" w:right="0" w:hanging="0"/>
              <w:jc w:val="right"/>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31,250</w:t>
            </w:r>
          </w:p>
        </w:tc>
        <w:tc>
          <w:tcPr>
            <w:tcW w:w="60" w:type="dxa"/>
            <w:tcBorders>
              <w:bottom w:val="double" w:sz="6" w:space="0" w:color="000000"/>
            </w:tcBorders>
            <w:shd w:fill="FFFFFF" w:val="clear"/>
            <w:tcMar>
              <w:bottom w:w="28" w:type="dxa"/>
            </w:tcM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right"/>
              <w:rPr/>
            </w:pPr>
            <w:r>
              <w:rPr/>
              <w:t> </w:t>
            </w:r>
          </w:p>
        </w:tc>
        <w:tc>
          <w:tcPr>
            <w:tcW w:w="693" w:type="dxa"/>
            <w:tcBorders/>
            <w:shd w:fill="FFFFFF" w:val="clear"/>
            <w:vAlign w:val="center"/>
          </w:tcPr>
          <w:p>
            <w:pPr>
              <w:pStyle w:val="TableContents"/>
              <w:spacing w:before="0" w:after="283"/>
              <w:jc w:val="right"/>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59" w:type="dxa"/>
            <w:tcBorders/>
            <w:shd w:fill="FFFFFF" w:val="clear"/>
            <w:vAlign w:val="center"/>
          </w:tcPr>
          <w:p>
            <w:pPr>
              <w:pStyle w:val="TableContents"/>
              <w:spacing w:before="0" w:after="283"/>
              <w:jc w:val="right"/>
              <w:rPr/>
            </w:pPr>
            <w:r>
              <w:rPr>
                <w:rStyle w:val="Emphasis"/>
              </w:rPr>
              <w:t> </w:t>
            </w:r>
          </w:p>
        </w:tc>
        <w:tc>
          <w:tcPr>
            <w:tcW w:w="63" w:type="dxa"/>
            <w:tcBorders/>
            <w:shd w:fill="FFFFFF" w:val="clear"/>
            <w:vAlign w:val="center"/>
          </w:tcPr>
          <w:p>
            <w:pPr>
              <w:pStyle w:val="TableContents"/>
              <w:spacing w:before="0" w:after="283"/>
              <w:rPr/>
            </w:pPr>
            <w:r>
              <w:rPr/>
              <w:t> </w:t>
            </w:r>
          </w:p>
        </w:tc>
      </w:tr>
    </w:tbl>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p>
      <w:pPr>
        <w:pStyle w:val="TextBody"/>
        <w:spacing w:before="0" w:after="0"/>
        <w:ind w:left="0" w:right="0" w:hanging="0"/>
        <w:jc w:val="left"/>
        <w:rPr/>
      </w:pPr>
      <w:r>
        <w:rPr>
          <w:rFonts w:ascii="Times New Roman;Times;serif" w:hAnsi="Times New Roman;Times;serif"/>
          <w:sz w:val="20"/>
        </w:rPr>
        <w:t xml:space="preserve">Intangible assets allocated to the acquired Hubs entities consisted of intangible assets of €11.6 million in Europe and $16.6 million in the United States as of the date of the acquisition. The Euro denominated intangible assets are translated at the end of each period using the current exchange rates resulting in a foreign currency translation adjustment that is recorded as a component of Other Comprehensive Income. Foreign currency losses related to intangible assets were $1.5 million and $1.7 million as of </w:t>
      </w:r>
      <w:r>
        <w:rPr>
          <w:rStyle w:val="Emphasis"/>
          <w:rFonts w:ascii="Times New Roman;Times;serif" w:hAnsi="Times New Roman;Times;serif"/>
          <w:sz w:val="20"/>
        </w:rPr>
        <w:t>March 31, 2023</w:t>
      </w:r>
      <w:r>
        <w:rPr>
          <w:rFonts w:ascii="Times New Roman;Times;serif" w:hAnsi="Times New Roman;Times;serif"/>
          <w:sz w:val="20"/>
        </w:rPr>
        <w:t xml:space="preserve"> and </w:t>
      </w:r>
      <w:r>
        <w:rPr>
          <w:rStyle w:val="Emphasis"/>
          <w:rFonts w:ascii="Times New Roman;Times;serif" w:hAnsi="Times New Roman;Times;serif"/>
          <w:sz w:val="20"/>
        </w:rPr>
        <w:t xml:space="preserve">December 31, 2022, </w:t>
      </w:r>
      <w:r>
        <w:rPr>
          <w:rFonts w:ascii="Times New Roman;Times;serif" w:hAnsi="Times New Roman;Times;serif"/>
          <w:sz w:val="20"/>
        </w:rPr>
        <w:t xml:space="preserve">respectively. Amortization expense for intangible assets was $1.5 million for each of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 March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Estimated aggregated amortization expense based on the current carrying value of the amortizable intangible assets and current exchange rates is as follows:</w:t>
      </w:r>
    </w:p>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tbl>
      <w:tblPr>
        <w:tblW w:w="5934" w:type="dxa"/>
        <w:jc w:val="left"/>
        <w:tblInd w:w="0" w:type="dxa"/>
        <w:tblCellMar>
          <w:top w:w="0" w:type="dxa"/>
          <w:left w:w="0" w:type="dxa"/>
          <w:bottom w:w="0" w:type="dxa"/>
          <w:right w:w="0" w:type="dxa"/>
        </w:tblCellMar>
      </w:tblPr>
      <w:tblGrid>
        <w:gridCol w:w="3065"/>
        <w:gridCol w:w="60"/>
        <w:gridCol w:w="478"/>
        <w:gridCol w:w="2271"/>
        <w:gridCol w:w="60"/>
      </w:tblGrid>
      <w:tr>
        <w:trPr/>
        <w:tc>
          <w:tcPr>
            <w:tcW w:w="3065"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 thousands)</w:t>
            </w:r>
          </w:p>
        </w:tc>
        <w:tc>
          <w:tcPr>
            <w:tcW w:w="60" w:type="dxa"/>
            <w:tcBorders/>
            <w:shd w:fill="FFFFFF" w:val="clear"/>
            <w:vAlign w:val="center"/>
          </w:tcPr>
          <w:p>
            <w:pPr>
              <w:pStyle w:val="TableContents"/>
              <w:spacing w:before="0" w:after="283"/>
              <w:ind w:left="0" w:right="0" w:hanging="0"/>
              <w:rPr/>
            </w:pPr>
            <w:r>
              <w:rPr/>
              <w:t> </w:t>
            </w:r>
          </w:p>
        </w:tc>
        <w:tc>
          <w:tcPr>
            <w:tcW w:w="2749"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Estimated Amortization Expense</w:t>
            </w:r>
          </w:p>
        </w:tc>
        <w:tc>
          <w:tcPr>
            <w:tcW w:w="60" w:type="dxa"/>
            <w:tcBorders/>
            <w:shd w:fill="FFFFFF" w:val="clear"/>
            <w:vAlign w:val="center"/>
          </w:tcPr>
          <w:p>
            <w:pPr>
              <w:pStyle w:val="TableContents"/>
              <w:spacing w:before="0" w:after="283"/>
              <w:rPr>
                <w:color w:val="000000"/>
              </w:rPr>
            </w:pPr>
            <w:r>
              <w:rPr>
                <w:color w:val="000000"/>
              </w:rPr>
              <w:t> </w:t>
            </w:r>
          </w:p>
        </w:tc>
      </w:tr>
      <w:tr>
        <w:trPr/>
        <w:tc>
          <w:tcPr>
            <w:tcW w:w="306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Remaining 2023</w:t>
            </w:r>
          </w:p>
        </w:tc>
        <w:tc>
          <w:tcPr>
            <w:tcW w:w="60" w:type="dxa"/>
            <w:tcBorders/>
            <w:shd w:fill="CCEEFF" w:val="clear"/>
            <w:vAlign w:val="center"/>
          </w:tcPr>
          <w:p>
            <w:pPr>
              <w:pStyle w:val="TableContents"/>
              <w:spacing w:before="0" w:after="283"/>
              <w:rPr/>
            </w:pPr>
            <w:r>
              <w:rPr/>
              <w:t> </w:t>
            </w:r>
          </w:p>
        </w:tc>
        <w:tc>
          <w:tcPr>
            <w:tcW w:w="478"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2271"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4,376</w:t>
            </w:r>
          </w:p>
        </w:tc>
        <w:tc>
          <w:tcPr>
            <w:tcW w:w="60" w:type="dxa"/>
            <w:tcBorders/>
            <w:shd w:fill="CCEEFF" w:val="clear"/>
            <w:vAlign w:val="center"/>
          </w:tcPr>
          <w:p>
            <w:pPr>
              <w:pStyle w:val="TableContents"/>
              <w:spacing w:before="0" w:after="283"/>
              <w:rPr/>
            </w:pPr>
            <w:r>
              <w:rPr/>
              <w:t> </w:t>
            </w:r>
          </w:p>
        </w:tc>
      </w:tr>
      <w:tr>
        <w:trPr/>
        <w:tc>
          <w:tcPr>
            <w:tcW w:w="3065"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60" w:type="dxa"/>
            <w:tcBorders/>
            <w:shd w:fill="FFFFFF" w:val="clear"/>
            <w:vAlign w:val="center"/>
          </w:tcPr>
          <w:p>
            <w:pPr>
              <w:pStyle w:val="TableContents"/>
              <w:spacing w:before="0" w:after="283"/>
              <w:rPr/>
            </w:pPr>
            <w:r>
              <w:rPr/>
              <w:t> </w:t>
            </w:r>
          </w:p>
        </w:tc>
        <w:tc>
          <w:tcPr>
            <w:tcW w:w="478" w:type="dxa"/>
            <w:tcBorders/>
            <w:shd w:fill="FFFFFF" w:val="clear"/>
            <w:vAlign w:val="center"/>
          </w:tcPr>
          <w:p>
            <w:pPr>
              <w:pStyle w:val="TableContents"/>
              <w:spacing w:before="0" w:after="283"/>
              <w:rPr/>
            </w:pPr>
            <w:r>
              <w:rPr/>
              <w:t> </w:t>
            </w:r>
          </w:p>
        </w:tc>
        <w:tc>
          <w:tcPr>
            <w:tcW w:w="2271"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3,746</w:t>
            </w:r>
          </w:p>
        </w:tc>
        <w:tc>
          <w:tcPr>
            <w:tcW w:w="60" w:type="dxa"/>
            <w:tcBorders/>
            <w:shd w:fill="FFFFFF" w:val="clear"/>
            <w:vAlign w:val="center"/>
          </w:tcPr>
          <w:p>
            <w:pPr>
              <w:pStyle w:val="TableContents"/>
              <w:spacing w:before="0" w:after="283"/>
              <w:rPr/>
            </w:pPr>
            <w:r>
              <w:rPr/>
              <w:t> </w:t>
            </w:r>
          </w:p>
        </w:tc>
      </w:tr>
      <w:tr>
        <w:trPr/>
        <w:tc>
          <w:tcPr>
            <w:tcW w:w="306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vAlign w:val="center"/>
          </w:tcPr>
          <w:p>
            <w:pPr>
              <w:pStyle w:val="TableContents"/>
              <w:spacing w:before="0" w:after="283"/>
              <w:rPr/>
            </w:pPr>
            <w:r>
              <w:rPr/>
              <w:t> </w:t>
            </w:r>
          </w:p>
        </w:tc>
        <w:tc>
          <w:tcPr>
            <w:tcW w:w="478" w:type="dxa"/>
            <w:tcBorders/>
            <w:shd w:fill="CCEEFF" w:val="clear"/>
            <w:vAlign w:val="center"/>
          </w:tcPr>
          <w:p>
            <w:pPr>
              <w:pStyle w:val="TableContents"/>
              <w:spacing w:before="0" w:after="283"/>
              <w:rPr/>
            </w:pPr>
            <w:r>
              <w:rPr/>
              <w:t> </w:t>
            </w:r>
          </w:p>
        </w:tc>
        <w:tc>
          <w:tcPr>
            <w:tcW w:w="2271"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3,648</w:t>
            </w:r>
          </w:p>
        </w:tc>
        <w:tc>
          <w:tcPr>
            <w:tcW w:w="60" w:type="dxa"/>
            <w:tcBorders/>
            <w:shd w:fill="CCEEFF" w:val="clear"/>
            <w:vAlign w:val="center"/>
          </w:tcPr>
          <w:p>
            <w:pPr>
              <w:pStyle w:val="TableContents"/>
              <w:spacing w:before="0" w:after="283"/>
              <w:rPr/>
            </w:pPr>
            <w:r>
              <w:rPr/>
              <w:t> </w:t>
            </w:r>
          </w:p>
        </w:tc>
      </w:tr>
      <w:tr>
        <w:trPr/>
        <w:tc>
          <w:tcPr>
            <w:tcW w:w="3065"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60" w:type="dxa"/>
            <w:tcBorders/>
            <w:shd w:fill="FFFFFF" w:val="clear"/>
            <w:vAlign w:val="center"/>
          </w:tcPr>
          <w:p>
            <w:pPr>
              <w:pStyle w:val="TableContents"/>
              <w:spacing w:before="0" w:after="283"/>
              <w:rPr/>
            </w:pPr>
            <w:r>
              <w:rPr/>
              <w:t> </w:t>
            </w:r>
          </w:p>
        </w:tc>
        <w:tc>
          <w:tcPr>
            <w:tcW w:w="478" w:type="dxa"/>
            <w:tcBorders/>
            <w:shd w:fill="FFFFFF" w:val="clear"/>
            <w:vAlign w:val="center"/>
          </w:tcPr>
          <w:p>
            <w:pPr>
              <w:pStyle w:val="TableContents"/>
              <w:spacing w:before="0" w:after="283"/>
              <w:rPr/>
            </w:pPr>
            <w:r>
              <w:rPr/>
              <w:t> </w:t>
            </w:r>
          </w:p>
        </w:tc>
        <w:tc>
          <w:tcPr>
            <w:tcW w:w="2271"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3,546</w:t>
            </w:r>
          </w:p>
        </w:tc>
        <w:tc>
          <w:tcPr>
            <w:tcW w:w="60" w:type="dxa"/>
            <w:tcBorders/>
            <w:shd w:fill="FFFFFF" w:val="clear"/>
            <w:vAlign w:val="center"/>
          </w:tcPr>
          <w:p>
            <w:pPr>
              <w:pStyle w:val="TableContents"/>
              <w:spacing w:before="0" w:after="283"/>
              <w:rPr/>
            </w:pPr>
            <w:r>
              <w:rPr/>
              <w:t> </w:t>
            </w:r>
          </w:p>
        </w:tc>
      </w:tr>
      <w:tr>
        <w:trPr/>
        <w:tc>
          <w:tcPr>
            <w:tcW w:w="306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vAlign w:val="center"/>
          </w:tcPr>
          <w:p>
            <w:pPr>
              <w:pStyle w:val="TableContents"/>
              <w:spacing w:before="0" w:after="283"/>
              <w:rPr/>
            </w:pPr>
            <w:r>
              <w:rPr/>
              <w:t> </w:t>
            </w:r>
          </w:p>
        </w:tc>
        <w:tc>
          <w:tcPr>
            <w:tcW w:w="478" w:type="dxa"/>
            <w:tcBorders/>
            <w:shd w:fill="CCEEFF" w:val="clear"/>
            <w:vAlign w:val="center"/>
          </w:tcPr>
          <w:p>
            <w:pPr>
              <w:pStyle w:val="TableContents"/>
              <w:spacing w:before="0" w:after="283"/>
              <w:rPr/>
            </w:pPr>
            <w:r>
              <w:rPr/>
              <w:t> </w:t>
            </w:r>
          </w:p>
        </w:tc>
        <w:tc>
          <w:tcPr>
            <w:tcW w:w="2271"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3,537</w:t>
            </w:r>
          </w:p>
        </w:tc>
        <w:tc>
          <w:tcPr>
            <w:tcW w:w="60" w:type="dxa"/>
            <w:tcBorders/>
            <w:shd w:fill="CCEEFF" w:val="clear"/>
            <w:vAlign w:val="center"/>
          </w:tcPr>
          <w:p>
            <w:pPr>
              <w:pStyle w:val="TableContents"/>
              <w:spacing w:before="0" w:after="283"/>
              <w:rPr/>
            </w:pPr>
            <w:r>
              <w:rPr/>
              <w:t> </w:t>
            </w:r>
          </w:p>
        </w:tc>
      </w:tr>
      <w:tr>
        <w:trPr/>
        <w:tc>
          <w:tcPr>
            <w:tcW w:w="3065"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Thereafter</w:t>
            </w:r>
          </w:p>
        </w:tc>
        <w:tc>
          <w:tcPr>
            <w:tcW w:w="60" w:type="dxa"/>
            <w:tcBorders/>
            <w:shd w:fill="FFFFFF" w:val="clear"/>
            <w:vAlign w:val="center"/>
          </w:tcPr>
          <w:p>
            <w:pPr>
              <w:pStyle w:val="TableContents"/>
              <w:spacing w:before="0" w:after="283"/>
              <w:ind w:left="0" w:right="0" w:hanging="0"/>
              <w:rPr/>
            </w:pPr>
            <w:r>
              <w:rPr/>
              <w:t> </w:t>
            </w:r>
          </w:p>
        </w:tc>
        <w:tc>
          <w:tcPr>
            <w:tcW w:w="478"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2271"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11,016</w:t>
            </w:r>
          </w:p>
        </w:tc>
        <w:tc>
          <w:tcPr>
            <w:tcW w:w="60" w:type="dxa"/>
            <w:tcBorders>
              <w:bottom w:val="single" w:sz="2" w:space="0" w:color="000000"/>
            </w:tcBorders>
            <w:shd w:fill="FFFFFF" w:val="clear"/>
            <w:tcMar>
              <w:bottom w:w="28" w:type="dxa"/>
            </w:tcMar>
            <w:vAlign w:val="center"/>
          </w:tcPr>
          <w:p>
            <w:pPr>
              <w:pStyle w:val="TableContents"/>
              <w:spacing w:before="0" w:after="0"/>
              <w:rPr/>
            </w:pPr>
            <w:r>
              <w:rPr/>
              <w:t> </w:t>
            </w:r>
          </w:p>
        </w:tc>
      </w:tr>
      <w:tr>
        <w:trPr/>
        <w:tc>
          <w:tcPr>
            <w:tcW w:w="306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estimated amortization expense</w:t>
            </w:r>
          </w:p>
        </w:tc>
        <w:tc>
          <w:tcPr>
            <w:tcW w:w="60" w:type="dxa"/>
            <w:tcBorders/>
            <w:shd w:fill="CCEEFF" w:val="clear"/>
            <w:vAlign w:val="center"/>
          </w:tcPr>
          <w:p>
            <w:pPr>
              <w:pStyle w:val="TableContents"/>
              <w:spacing w:before="0" w:after="283"/>
              <w:ind w:left="0" w:right="0" w:hanging="0"/>
              <w:rPr/>
            </w:pPr>
            <w:r>
              <w:rPr/>
              <w:t> </w:t>
            </w:r>
          </w:p>
        </w:tc>
        <w:tc>
          <w:tcPr>
            <w:tcW w:w="478" w:type="dxa"/>
            <w:tcBorders/>
            <w:shd w:fill="CCEEFF" w:val="clear"/>
            <w:vAlign w:val="center"/>
          </w:tcPr>
          <w:p>
            <w:pPr>
              <w:pStyle w:val="TableContents"/>
              <w:spacing w:before="0" w:after="283"/>
              <w:ind w:left="0" w:right="0" w:hanging="0"/>
              <w:rPr>
                <w:rFonts w:ascii="Times New Roman;Times;serif" w:hAnsi="Times New Roman;Times;serif"/>
                <w:color w:val="000000"/>
                <w:sz w:val="20"/>
              </w:rPr>
            </w:pPr>
            <w:r>
              <w:rPr>
                <w:rFonts w:ascii="Times New Roman;Times;serif" w:hAnsi="Times New Roman;Times;serif"/>
                <w:color w:val="000000"/>
                <w:sz w:val="20"/>
              </w:rPr>
              <w:t>$</w:t>
            </w:r>
          </w:p>
        </w:tc>
        <w:tc>
          <w:tcPr>
            <w:tcW w:w="2271" w:type="dxa"/>
            <w:tcBorders/>
            <w:shd w:fill="CCEE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29,869</w:t>
            </w:r>
          </w:p>
        </w:tc>
        <w:tc>
          <w:tcPr>
            <w:tcW w:w="60" w:type="dxa"/>
            <w:tcBorders/>
            <w:shd w:fill="CCEEFF" w:val="clear"/>
            <w:vAlign w:val="center"/>
          </w:tcPr>
          <w:p>
            <w:pPr>
              <w:pStyle w:val="TableContents"/>
              <w:spacing w:before="0" w:after="283"/>
              <w:rPr>
                <w:color w:val="000000"/>
              </w:rPr>
            </w:pPr>
            <w:r>
              <w:rPr>
                <w:color w:val="000000"/>
              </w:rPr>
              <w:t> </w:t>
            </w:r>
          </w:p>
        </w:tc>
      </w:tr>
    </w:tbl>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p>
      <w:pPr>
        <w:pStyle w:val="TextBody"/>
        <w:spacing w:before="0" w:after="0"/>
        <w:jc w:val="center"/>
        <w:rPr/>
      </w:pPr>
      <w:r>
        <w:rPr>
          <w:rStyle w:val="Emphasis"/>
          <w:rFonts w:ascii="Times New Roman" w:hAnsi="Times New Roman"/>
          <w:sz w:val="20"/>
        </w:rPr>
        <w:t>7</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jc w:val="both"/>
        <w:rPr/>
      </w:pPr>
      <w:r>
        <w:rPr>
          <w:rFonts w:ascii="Times New Roman;Times;serif" w:hAnsi="Times New Roman;Times;serif"/>
          <w:b/>
          <w:sz w:val="20"/>
        </w:rPr>
        <w:t xml:space="preserve">Note </w:t>
      </w:r>
      <w:r>
        <w:rPr>
          <w:rStyle w:val="Emphasis"/>
          <w:rFonts w:ascii="Times New Roman;Times;serif" w:hAnsi="Times New Roman;Times;serif"/>
          <w:b/>
          <w:sz w:val="20"/>
        </w:rPr>
        <w:t>5</w:t>
      </w:r>
      <w:r>
        <w:rPr>
          <w:rFonts w:ascii="Times New Roman;Times;serif" w:hAnsi="Times New Roman;Times;serif"/>
          <w:b/>
          <w:sz w:val="20"/>
        </w:rPr>
        <w:t> – Fair Value Measurements</w:t>
      </w:r>
    </w:p>
    <w:p>
      <w:pPr>
        <w:pStyle w:val="TextBody"/>
        <w:spacing w:before="0" w:after="0"/>
        <w:ind w:left="0" w:right="0" w:hanging="0"/>
        <w:jc w:val="left"/>
        <w:rPr/>
      </w:pPr>
      <w:r>
        <w:rPr/>
        <w:t> </w:t>
      </w:r>
    </w:p>
    <w:p>
      <w:pPr>
        <w:pStyle w:val="TextBody"/>
        <w:spacing w:before="0" w:after="0"/>
        <w:ind w:left="0" w:right="0" w:hanging="0"/>
        <w:jc w:val="left"/>
        <w:rPr/>
      </w:pPr>
      <w:r>
        <w:rPr>
          <w:rFonts w:ascii="Times New Roman;Times;serif" w:hAnsi="Times New Roman;Times;serif"/>
          <w:sz w:val="20"/>
        </w:rPr>
        <w:t xml:space="preserve">Accounting Standards Codification, </w:t>
      </w:r>
      <w:r>
        <w:rPr>
          <w:rFonts w:ascii="Times New Roman;Times;serif" w:hAnsi="Times New Roman;Times;serif"/>
          <w:i/>
          <w:sz w:val="20"/>
        </w:rPr>
        <w:t>Fair Value Measuremen</w:t>
      </w:r>
      <w:r>
        <w:rPr>
          <w:rFonts w:ascii="Times New Roman;Times;serif" w:hAnsi="Times New Roman;Times;serif"/>
          <w:sz w:val="20"/>
        </w:rPr>
        <w:t xml:space="preserve">t (ASC </w:t>
      </w:r>
      <w:r>
        <w:rPr>
          <w:rStyle w:val="Emphasis"/>
          <w:rFonts w:ascii="Times New Roman;Times;serif" w:hAnsi="Times New Roman;Times;serif"/>
          <w:sz w:val="20"/>
        </w:rPr>
        <w:t>820</w:t>
      </w:r>
      <w:r>
        <w:rPr>
          <w:rFonts w:ascii="Times New Roman;Times;serif" w:hAnsi="Times New Roman;Times;serif"/>
          <w:sz w:val="20"/>
        </w:rPr>
        <w:t xml:space="preserve">), defines fair value as the exchange price that would be received for an asset or paid to transfer a liability (an exit price) in the principal or most advantageous market for the asset or liability in an orderly transaction between market participants on the measurement date. ASC </w:t>
      </w:r>
      <w:r>
        <w:rPr>
          <w:rStyle w:val="Emphasis"/>
          <w:rFonts w:ascii="Times New Roman;Times;serif" w:hAnsi="Times New Roman;Times;serif"/>
          <w:sz w:val="20"/>
        </w:rPr>
        <w:t>820</w:t>
      </w:r>
      <w:r>
        <w:rPr>
          <w:rFonts w:ascii="Times New Roman;Times;serif" w:hAnsi="Times New Roman;Times;serif"/>
          <w:sz w:val="20"/>
        </w:rPr>
        <w:t xml:space="preserve"> also establishes a fair value hierarchy that requires classification based on observable and unobservable inputs when measuring fair value. There are </w:t>
      </w:r>
      <w:r>
        <w:rPr>
          <w:rStyle w:val="Emphasis"/>
          <w:rFonts w:ascii="Times New Roman;Times;serif" w:hAnsi="Times New Roman;Times;serif"/>
          <w:sz w:val="20"/>
        </w:rPr>
        <w:t>three</w:t>
      </w:r>
      <w:r>
        <w:rPr>
          <w:rFonts w:ascii="Times New Roman;Times;serif" w:hAnsi="Times New Roman;Times;serif"/>
          <w:sz w:val="20"/>
        </w:rPr>
        <w:t xml:space="preserve"> levels of inputs that </w:t>
      </w:r>
      <w:r>
        <w:rPr>
          <w:rStyle w:val="Emphasis"/>
          <w:rFonts w:ascii="Times New Roman;Times;serif" w:hAnsi="Times New Roman;Times;serif"/>
          <w:sz w:val="20"/>
        </w:rPr>
        <w:t xml:space="preserve">may </w:t>
      </w:r>
      <w:r>
        <w:rPr>
          <w:rFonts w:ascii="Times New Roman;Times;serif" w:hAnsi="Times New Roman;Times;serif"/>
          <w:sz w:val="20"/>
        </w:rPr>
        <w:t>be used to measure fair value:</w:t>
      </w:r>
    </w:p>
    <w:p>
      <w:pPr>
        <w:pStyle w:val="TextBody"/>
        <w:spacing w:before="0" w:after="0"/>
        <w:ind w:left="0" w:right="0" w:hanging="0"/>
        <w:jc w:val="center"/>
        <w:rPr/>
      </w:pPr>
      <w:r>
        <w:rPr/>
        <w:t> </w:t>
      </w:r>
    </w:p>
    <w:p>
      <w:pPr>
        <w:pStyle w:val="TextBody"/>
        <w:spacing w:before="0" w:after="0"/>
        <w:ind w:left="0" w:right="0" w:hanging="0"/>
        <w:jc w:val="left"/>
        <w:rPr/>
      </w:pPr>
      <w:r>
        <w:rPr>
          <w:rFonts w:ascii="Times New Roman;Times;serif" w:hAnsi="Times New Roman;Times;serif"/>
          <w:i/>
          <w:sz w:val="20"/>
        </w:rPr>
        <w:t xml:space="preserve">Level </w:t>
      </w:r>
      <w:r>
        <w:rPr>
          <w:rStyle w:val="Emphasis"/>
          <w:rFonts w:ascii="Times New Roman;Times;serif" w:hAnsi="Times New Roman;Times;serif"/>
          <w:sz w:val="20"/>
        </w:rPr>
        <w:t>1—Quoted</w:t>
      </w:r>
      <w:r>
        <w:rPr>
          <w:rFonts w:ascii="Times New Roman;Times;serif" w:hAnsi="Times New Roman;Times;serif"/>
          <w:sz w:val="20"/>
        </w:rPr>
        <w:t xml:space="preserve"> prices in active markets for identical assets or liabilities.</w:t>
      </w:r>
    </w:p>
    <w:p>
      <w:pPr>
        <w:pStyle w:val="TextBody"/>
        <w:spacing w:before="0" w:after="0"/>
        <w:ind w:left="0" w:right="0" w:hanging="0"/>
        <w:jc w:val="left"/>
        <w:rPr/>
      </w:pPr>
      <w:r>
        <w:rPr/>
        <w:t> </w:t>
      </w:r>
    </w:p>
    <w:p>
      <w:pPr>
        <w:pStyle w:val="TextBody"/>
        <w:spacing w:before="0" w:after="0"/>
        <w:ind w:left="0" w:right="0" w:hanging="0"/>
        <w:jc w:val="left"/>
        <w:rPr/>
      </w:pPr>
      <w:r>
        <w:rPr>
          <w:rFonts w:ascii="Times New Roman;Times;serif" w:hAnsi="Times New Roman;Times;serif"/>
          <w:i/>
          <w:sz w:val="20"/>
        </w:rPr>
        <w:t xml:space="preserve">Level </w:t>
      </w:r>
      <w:r>
        <w:rPr>
          <w:rStyle w:val="Emphasis"/>
          <w:rFonts w:ascii="Times New Roman;Times;serif" w:hAnsi="Times New Roman;Times;serif"/>
          <w:sz w:val="20"/>
        </w:rPr>
        <w:t>2—Observable</w:t>
      </w:r>
      <w:r>
        <w:rPr>
          <w:rFonts w:ascii="Times New Roman;Times;serif" w:hAnsi="Times New Roman;Times;serif"/>
          <w:sz w:val="20"/>
        </w:rPr>
        <w:t xml:space="preserve"> inputs other than Level </w:t>
      </w:r>
      <w:r>
        <w:rPr>
          <w:rStyle w:val="Emphasis"/>
          <w:rFonts w:ascii="Times New Roman;Times;serif" w:hAnsi="Times New Roman;Times;serif"/>
          <w:sz w:val="20"/>
        </w:rPr>
        <w:t>1</w:t>
      </w:r>
      <w:r>
        <w:rPr>
          <w:rFonts w:ascii="Times New Roman;Times;serif" w:hAnsi="Times New Roman;Times;serif"/>
          <w:sz w:val="20"/>
        </w:rPr>
        <w:t xml:space="preserve"> prices such as quoted prices for similar assets or liabilities; quoted prices in markets that are </w:t>
      </w:r>
      <w:r>
        <w:rPr>
          <w:rStyle w:val="Emphasis"/>
          <w:rFonts w:ascii="Times New Roman;Times;serif" w:hAnsi="Times New Roman;Times;serif"/>
          <w:sz w:val="20"/>
        </w:rPr>
        <w:t>not</w:t>
      </w:r>
      <w:r>
        <w:rPr>
          <w:rFonts w:ascii="Times New Roman;Times;serif" w:hAnsi="Times New Roman;Times;serif"/>
          <w:sz w:val="20"/>
        </w:rPr>
        <w:t xml:space="preserve"> active; or other inputs that are observable or can be corroborated by observable market data for substantially the full term of the assets or liabilities.</w:t>
      </w:r>
    </w:p>
    <w:p>
      <w:pPr>
        <w:pStyle w:val="TextBody"/>
        <w:spacing w:before="0" w:after="0"/>
        <w:ind w:left="0" w:right="0" w:hanging="0"/>
        <w:jc w:val="left"/>
        <w:rPr/>
      </w:pPr>
      <w:r>
        <w:rPr/>
        <w:t> </w:t>
      </w:r>
    </w:p>
    <w:p>
      <w:pPr>
        <w:pStyle w:val="TextBody"/>
        <w:spacing w:before="0" w:after="0"/>
        <w:ind w:left="0" w:right="0" w:hanging="0"/>
        <w:jc w:val="left"/>
        <w:rPr/>
      </w:pPr>
      <w:r>
        <w:rPr>
          <w:rFonts w:ascii="Times New Roman;Times;serif" w:hAnsi="Times New Roman;Times;serif"/>
          <w:i/>
          <w:sz w:val="20"/>
        </w:rPr>
        <w:t xml:space="preserve">Level </w:t>
      </w:r>
      <w:r>
        <w:rPr>
          <w:rStyle w:val="Emphasis"/>
          <w:rFonts w:ascii="Times New Roman;Times;serif" w:hAnsi="Times New Roman;Times;serif"/>
          <w:sz w:val="20"/>
        </w:rPr>
        <w:t>3—Unobservable</w:t>
      </w:r>
      <w:r>
        <w:rPr>
          <w:rFonts w:ascii="Times New Roman;Times;serif" w:hAnsi="Times New Roman;Times;serif"/>
          <w:sz w:val="20"/>
        </w:rPr>
        <w:t xml:space="preserve"> inputs that are supported by little or </w:t>
      </w:r>
      <w:r>
        <w:rPr>
          <w:rStyle w:val="Emphasis"/>
          <w:rFonts w:ascii="Times New Roman;Times;serif" w:hAnsi="Times New Roman;Times;serif"/>
          <w:sz w:val="20"/>
        </w:rPr>
        <w:t>no</w:t>
      </w:r>
      <w:r>
        <w:rPr>
          <w:rFonts w:ascii="Times New Roman;Times;serif" w:hAnsi="Times New Roman;Times;serif"/>
          <w:sz w:val="20"/>
        </w:rPr>
        <w:t xml:space="preserve"> market activity and that are significant to the fair value of the assets or liabilities.</w:t>
      </w:r>
    </w:p>
    <w:p>
      <w:pPr>
        <w:pStyle w:val="TextBody"/>
        <w:spacing w:before="0" w:after="0"/>
        <w:ind w:left="0" w:right="0" w:hanging="0"/>
        <w:jc w:val="left"/>
        <w:rPr/>
      </w:pPr>
      <w:r>
        <w:rPr/>
        <w:t> </w:t>
      </w:r>
    </w:p>
    <w:p>
      <w:pPr>
        <w:pStyle w:val="TextBody"/>
        <w:spacing w:before="0" w:after="0"/>
        <w:ind w:left="0" w:right="0" w:hanging="0"/>
        <w:jc w:val="left"/>
        <w:rPr/>
      </w:pPr>
      <w:r>
        <w:rPr>
          <w:rFonts w:ascii="Times New Roman;Times;serif" w:hAnsi="Times New Roman;Times;serif"/>
          <w:sz w:val="20"/>
        </w:rPr>
        <w:t xml:space="preserve">The Company's assets and liabilities that are required to be measured or disclosed at fair value on a recurring basis include cash and cash equivalents and marketable securities. The Company’s cash consists of bank deposits and cash equivalents consist primarily of money market mutual funds. The Company determines the fair value of these investments using Level </w:t>
      </w:r>
      <w:r>
        <w:rPr>
          <w:rStyle w:val="Emphasis"/>
          <w:rFonts w:ascii="Times New Roman;Times;serif" w:hAnsi="Times New Roman;Times;serif"/>
          <w:sz w:val="20"/>
        </w:rPr>
        <w:t>1</w:t>
      </w:r>
      <w:r>
        <w:rPr>
          <w:rFonts w:ascii="Times New Roman;Times;serif" w:hAnsi="Times New Roman;Times;serif"/>
          <w:sz w:val="20"/>
        </w:rPr>
        <w:t xml:space="preserve"> inputs. The Company's marketable securities consist of short-term and long-term agency, municipal, corporate and other debt securities. Fair value for the corporate debt securities is primarily determined based on quoted market prices (Level </w:t>
      </w:r>
      <w:r>
        <w:rPr>
          <w:rStyle w:val="Emphasis"/>
          <w:rFonts w:ascii="Times New Roman;Times;serif" w:hAnsi="Times New Roman;Times;serif"/>
          <w:sz w:val="20"/>
        </w:rPr>
        <w:t>1</w:t>
      </w:r>
      <w:r>
        <w:rPr>
          <w:rFonts w:ascii="Times New Roman;Times;serif" w:hAnsi="Times New Roman;Times;serif"/>
          <w:sz w:val="20"/>
        </w:rPr>
        <w:t xml:space="preserve">). Fair values for the U.S. municipal securities, U.S. government agency securities, certificates of deposit and U.S. treasury securities are primarily determined using dealer quotes or quoted market prices for similar securities (Level </w:t>
      </w:r>
      <w:r>
        <w:rPr>
          <w:rStyle w:val="Emphasis"/>
          <w:rFonts w:ascii="Times New Roman;Times;serif" w:hAnsi="Times New Roman;Times;serif"/>
          <w:sz w:val="20"/>
        </w:rPr>
        <w:t>2</w:t>
      </w:r>
      <w:r>
        <w:rPr>
          <w:rFonts w:ascii="Times New Roman;Times;serif" w:hAnsi="Times New Roman;Times;serif"/>
          <w:sz w:val="20"/>
        </w:rPr>
        <w:t>).</w:t>
      </w:r>
    </w:p>
    <w:p>
      <w:pPr>
        <w:pStyle w:val="TextBody"/>
        <w:spacing w:before="0" w:after="0"/>
        <w:ind w:left="0" w:right="0" w:hanging="0"/>
        <w:jc w:val="center"/>
        <w:rPr/>
      </w:pPr>
      <w:r>
        <w:rPr/>
        <w:t> </w:t>
      </w:r>
    </w:p>
    <w:p>
      <w:pPr>
        <w:pStyle w:val="TextBody"/>
        <w:spacing w:before="0" w:after="0"/>
        <w:ind w:left="0" w:right="0" w:hanging="0"/>
        <w:jc w:val="left"/>
        <w:rPr/>
      </w:pPr>
      <w:r>
        <w:rPr>
          <w:rFonts w:ascii="Times New Roman;Times;serif" w:hAnsi="Times New Roman;Times;serif"/>
          <w:sz w:val="20"/>
        </w:rPr>
        <w:t>The following table summarizes financial assets as of </w:t>
      </w:r>
      <w:r>
        <w:rPr>
          <w:rStyle w:val="Emphasis"/>
          <w:rFonts w:ascii="Times New Roman;Times;serif" w:hAnsi="Times New Roman;Times;serif"/>
          <w:sz w:val="20"/>
        </w:rPr>
        <w:t xml:space="preserve"> March 31, 2023</w:t>
      </w:r>
      <w:r>
        <w:rPr>
          <w:rFonts w:ascii="Times New Roman;Times;serif" w:hAnsi="Times New Roman;Times;serif"/>
          <w:sz w:val="20"/>
        </w:rPr>
        <w:t xml:space="preserve"> and </w:t>
      </w:r>
      <w:r>
        <w:rPr>
          <w:rStyle w:val="Emphasis"/>
          <w:rFonts w:ascii="Times New Roman;Times;serif" w:hAnsi="Times New Roman;Times;serif"/>
          <w:sz w:val="20"/>
        </w:rPr>
        <w:t>December 31, 2022</w:t>
      </w:r>
      <w:r>
        <w:rPr>
          <w:rFonts w:ascii="Times New Roman;Times;serif" w:hAnsi="Times New Roman;Times;serif"/>
          <w:sz w:val="20"/>
        </w:rPr>
        <w:t xml:space="preserve"> measured at fair value on a recurring basis: </w:t>
      </w:r>
    </w:p>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tbl>
      <w:tblPr>
        <w:tblW w:w="7238" w:type="dxa"/>
        <w:jc w:val="left"/>
        <w:tblInd w:w="0" w:type="dxa"/>
        <w:tblCellMar>
          <w:top w:w="0" w:type="dxa"/>
          <w:left w:w="0" w:type="dxa"/>
          <w:bottom w:w="0" w:type="dxa"/>
          <w:right w:w="0" w:type="dxa"/>
        </w:tblCellMar>
      </w:tblPr>
      <w:tblGrid>
        <w:gridCol w:w="2420"/>
        <w:gridCol w:w="60"/>
        <w:gridCol w:w="125"/>
        <w:gridCol w:w="590"/>
        <w:gridCol w:w="60"/>
        <w:gridCol w:w="60"/>
        <w:gridCol w:w="125"/>
        <w:gridCol w:w="590"/>
        <w:gridCol w:w="60"/>
        <w:gridCol w:w="60"/>
        <w:gridCol w:w="377"/>
        <w:gridCol w:w="242"/>
        <w:gridCol w:w="60"/>
        <w:gridCol w:w="60"/>
        <w:gridCol w:w="125"/>
        <w:gridCol w:w="590"/>
        <w:gridCol w:w="60"/>
        <w:gridCol w:w="60"/>
        <w:gridCol w:w="125"/>
        <w:gridCol w:w="590"/>
        <w:gridCol w:w="60"/>
        <w:gridCol w:w="60"/>
        <w:gridCol w:w="377"/>
        <w:gridCol w:w="242"/>
        <w:gridCol w:w="60"/>
      </w:tblGrid>
      <w:tr>
        <w:trPr/>
        <w:tc>
          <w:tcPr>
            <w:tcW w:w="24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289" w:type="dxa"/>
            <w:gridSpan w:val="10"/>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March 31, 2023</w:t>
            </w:r>
          </w:p>
        </w:tc>
        <w:tc>
          <w:tcPr>
            <w:tcW w:w="60" w:type="dxa"/>
            <w:tcBorders/>
            <w:shd w:fill="FFFFFF" w:val="clear"/>
            <w:vAlign w:val="center"/>
          </w:tcPr>
          <w:p>
            <w:pPr>
              <w:pStyle w:val="TableContents"/>
              <w:spacing w:before="0" w:after="283"/>
              <w:rPr>
                <w:color w:val="000000"/>
              </w:rPr>
            </w:pPr>
            <w:r>
              <w:rPr>
                <w:color w:val="000000"/>
              </w:rPr>
              <w:t> </w:t>
            </w:r>
          </w:p>
        </w:tc>
        <w:tc>
          <w:tcPr>
            <w:tcW w:w="60" w:type="dxa"/>
            <w:tcBorders/>
            <w:shd w:fill="FFFFFF" w:val="clear"/>
            <w:vAlign w:val="center"/>
          </w:tcPr>
          <w:p>
            <w:pPr>
              <w:pStyle w:val="TableContents"/>
              <w:spacing w:before="0" w:after="283"/>
              <w:ind w:left="0" w:right="0" w:hanging="0"/>
              <w:rPr/>
            </w:pPr>
            <w:r>
              <w:rPr/>
              <w:t> </w:t>
            </w:r>
          </w:p>
        </w:tc>
        <w:tc>
          <w:tcPr>
            <w:tcW w:w="2289" w:type="dxa"/>
            <w:gridSpan w:val="10"/>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December 31, 2022</w:t>
            </w:r>
          </w:p>
        </w:tc>
        <w:tc>
          <w:tcPr>
            <w:tcW w:w="60" w:type="dxa"/>
            <w:tcBorders/>
            <w:shd w:fill="FFFFFF" w:val="clear"/>
            <w:vAlign w:val="center"/>
          </w:tcPr>
          <w:p>
            <w:pPr>
              <w:pStyle w:val="TableContents"/>
              <w:spacing w:before="0" w:after="283"/>
              <w:rPr>
                <w:color w:val="000000"/>
              </w:rPr>
            </w:pPr>
            <w:r>
              <w:rPr>
                <w:color w:val="000000"/>
              </w:rPr>
              <w:t> </w:t>
            </w:r>
          </w:p>
        </w:tc>
      </w:tr>
      <w:tr>
        <w:trPr/>
        <w:tc>
          <w:tcPr>
            <w:tcW w:w="2420"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 thousands)</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Level 1</w:t>
            </w:r>
          </w:p>
        </w:tc>
        <w:tc>
          <w:tcPr>
            <w:tcW w:w="60" w:type="dxa"/>
            <w:tcBorders/>
            <w:shd w:fill="FFFFFF" w:val="clear"/>
            <w:vAlign w:val="center"/>
          </w:tcPr>
          <w:p>
            <w:pPr>
              <w:pStyle w:val="TableContents"/>
              <w:spacing w:before="0" w:after="283"/>
              <w:rPr>
                <w:color w:val="000000"/>
              </w:rPr>
            </w:pPr>
            <w:r>
              <w:rPr>
                <w:color w:val="000000"/>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Level 2</w:t>
            </w:r>
          </w:p>
        </w:tc>
        <w:tc>
          <w:tcPr>
            <w:tcW w:w="60" w:type="dxa"/>
            <w:tcBorders/>
            <w:shd w:fill="FFFFFF" w:val="clear"/>
            <w:vAlign w:val="center"/>
          </w:tcPr>
          <w:p>
            <w:pPr>
              <w:pStyle w:val="TableContents"/>
              <w:spacing w:before="0" w:after="283"/>
              <w:rPr>
                <w:color w:val="000000"/>
              </w:rPr>
            </w:pPr>
            <w:r>
              <w:rPr>
                <w:color w:val="000000"/>
              </w:rPr>
              <w:t> </w:t>
            </w:r>
          </w:p>
        </w:tc>
        <w:tc>
          <w:tcPr>
            <w:tcW w:w="60" w:type="dxa"/>
            <w:tcBorders/>
            <w:shd w:fill="FFFFFF" w:val="clear"/>
            <w:vAlign w:val="center"/>
          </w:tcPr>
          <w:p>
            <w:pPr>
              <w:pStyle w:val="TableContents"/>
              <w:spacing w:before="0" w:after="283"/>
              <w:ind w:left="0" w:right="0" w:hanging="0"/>
              <w:rPr/>
            </w:pPr>
            <w:r>
              <w:rPr/>
              <w:t> </w:t>
            </w:r>
          </w:p>
        </w:tc>
        <w:tc>
          <w:tcPr>
            <w:tcW w:w="619"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Level 3</w:t>
            </w:r>
          </w:p>
        </w:tc>
        <w:tc>
          <w:tcPr>
            <w:tcW w:w="60" w:type="dxa"/>
            <w:tcBorders/>
            <w:shd w:fill="FFFFFF" w:val="clear"/>
            <w:vAlign w:val="center"/>
          </w:tcPr>
          <w:p>
            <w:pPr>
              <w:pStyle w:val="TableContents"/>
              <w:spacing w:before="0" w:after="283"/>
              <w:rPr>
                <w:color w:val="000000"/>
              </w:rPr>
            </w:pPr>
            <w:r>
              <w:rPr>
                <w:color w:val="000000"/>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Level 1</w:t>
            </w:r>
          </w:p>
        </w:tc>
        <w:tc>
          <w:tcPr>
            <w:tcW w:w="60" w:type="dxa"/>
            <w:tcBorders/>
            <w:shd w:fill="FFFFFF" w:val="clear"/>
            <w:vAlign w:val="center"/>
          </w:tcPr>
          <w:p>
            <w:pPr>
              <w:pStyle w:val="TableContents"/>
              <w:spacing w:before="0" w:after="283"/>
              <w:rPr>
                <w:color w:val="000000"/>
              </w:rPr>
            </w:pPr>
            <w:r>
              <w:rPr>
                <w:color w:val="000000"/>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Level 2</w:t>
            </w:r>
          </w:p>
        </w:tc>
        <w:tc>
          <w:tcPr>
            <w:tcW w:w="60" w:type="dxa"/>
            <w:tcBorders/>
            <w:shd w:fill="FFFFFF" w:val="clear"/>
            <w:vAlign w:val="center"/>
          </w:tcPr>
          <w:p>
            <w:pPr>
              <w:pStyle w:val="TableContents"/>
              <w:spacing w:before="0" w:after="283"/>
              <w:rPr>
                <w:color w:val="000000"/>
              </w:rPr>
            </w:pPr>
            <w:r>
              <w:rPr>
                <w:color w:val="000000"/>
              </w:rPr>
              <w:t> </w:t>
            </w:r>
          </w:p>
        </w:tc>
        <w:tc>
          <w:tcPr>
            <w:tcW w:w="60" w:type="dxa"/>
            <w:tcBorders/>
            <w:shd w:fill="FFFFFF" w:val="clear"/>
            <w:vAlign w:val="center"/>
          </w:tcPr>
          <w:p>
            <w:pPr>
              <w:pStyle w:val="TableContents"/>
              <w:spacing w:before="0" w:after="283"/>
              <w:ind w:left="0" w:right="0" w:hanging="0"/>
              <w:rPr/>
            </w:pPr>
            <w:r>
              <w:rPr/>
              <w:t> </w:t>
            </w:r>
          </w:p>
        </w:tc>
        <w:tc>
          <w:tcPr>
            <w:tcW w:w="619"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Level 3</w:t>
            </w:r>
          </w:p>
        </w:tc>
        <w:tc>
          <w:tcPr>
            <w:tcW w:w="60" w:type="dxa"/>
            <w:tcBorders/>
            <w:shd w:fill="FFFFFF" w:val="clear"/>
            <w:vAlign w:val="center"/>
          </w:tcPr>
          <w:p>
            <w:pPr>
              <w:pStyle w:val="TableContents"/>
              <w:spacing w:before="0" w:after="283"/>
              <w:rPr>
                <w:color w:val="000000"/>
              </w:rPr>
            </w:pPr>
            <w:r>
              <w:rPr>
                <w:color w:val="000000"/>
              </w:rPr>
              <w:t> </w:t>
            </w:r>
          </w:p>
        </w:tc>
      </w:tr>
      <w:tr>
        <w:trPr/>
        <w:tc>
          <w:tcPr>
            <w:tcW w:w="2420"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Financial Assets: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77" w:type="dxa"/>
            <w:tcBorders/>
            <w:shd w:fill="CCEEFF" w:val="clear"/>
            <w:vAlign w:val="center"/>
          </w:tcPr>
          <w:p>
            <w:pPr>
              <w:pStyle w:val="TableContents"/>
              <w:spacing w:before="0" w:after="283"/>
              <w:rPr/>
            </w:pPr>
            <w:r>
              <w:rPr/>
              <w:t> </w:t>
            </w:r>
          </w:p>
        </w:tc>
        <w:tc>
          <w:tcPr>
            <w:tcW w:w="242"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77" w:type="dxa"/>
            <w:tcBorders/>
            <w:shd w:fill="CCEEFF" w:val="clear"/>
            <w:vAlign w:val="center"/>
          </w:tcPr>
          <w:p>
            <w:pPr>
              <w:pStyle w:val="TableContents"/>
              <w:spacing w:before="0" w:after="283"/>
              <w:rPr/>
            </w:pPr>
            <w:r>
              <w:rPr/>
              <w:t> </w:t>
            </w:r>
          </w:p>
        </w:tc>
        <w:tc>
          <w:tcPr>
            <w:tcW w:w="242"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r>
      <w:tr>
        <w:trPr/>
        <w:tc>
          <w:tcPr>
            <w:tcW w:w="2420" w:type="dxa"/>
            <w:tcBorders/>
            <w:shd w:fill="FFFFFF" w:val="cle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Cash</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50,165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77"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242"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38,862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77"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242"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r>
      <w:tr>
        <w:trPr/>
        <w:tc>
          <w:tcPr>
            <w:tcW w:w="2420" w:type="dxa"/>
            <w:tcBorders/>
            <w:shd w:fill="CCEEFF" w:val="cle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Money market mutual fund</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11,886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77" w:type="dxa"/>
            <w:tcBorders/>
            <w:shd w:fill="CCEEFF" w:val="clear"/>
            <w:vAlign w:val="center"/>
          </w:tcPr>
          <w:p>
            <w:pPr>
              <w:pStyle w:val="TableContents"/>
              <w:spacing w:before="0" w:after="283"/>
              <w:rPr/>
            </w:pPr>
            <w:r>
              <w:rPr/>
              <w:t> </w:t>
            </w:r>
          </w:p>
        </w:tc>
        <w:tc>
          <w:tcPr>
            <w:tcW w:w="242"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17,696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77" w:type="dxa"/>
            <w:tcBorders/>
            <w:shd w:fill="CCEEFF" w:val="clear"/>
            <w:vAlign w:val="center"/>
          </w:tcPr>
          <w:p>
            <w:pPr>
              <w:pStyle w:val="TableContents"/>
              <w:spacing w:before="0" w:after="283"/>
              <w:rPr/>
            </w:pPr>
            <w:r>
              <w:rPr/>
              <w:t> </w:t>
            </w:r>
          </w:p>
        </w:tc>
        <w:tc>
          <w:tcPr>
            <w:tcW w:w="242"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r>
      <w:tr>
        <w:trPr/>
        <w:tc>
          <w:tcPr>
            <w:tcW w:w="2420" w:type="dxa"/>
            <w:tcBorders/>
            <w:shd w:fill="FFFFFF" w:val="cle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Marketable securities</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11,344</w:t>
            </w:r>
          </w:p>
        </w:tc>
        <w:tc>
          <w:tcPr>
            <w:tcW w:w="60" w:type="dxa"/>
            <w:tcBorders>
              <w:bottom w:val="single" w:sz="2" w:space="0" w:color="000000"/>
            </w:tcBorders>
            <w:shd w:fill="FFFFFF" w:val="clear"/>
            <w:tcMar>
              <w:bottom w:w="28" w:type="dxa"/>
            </w:tcMar>
            <w:vAlign w:val="center"/>
          </w:tcPr>
          <w:p>
            <w:pPr>
              <w:pStyle w:val="TableContents"/>
              <w:spacing w:before="0" w:after="0"/>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31,331</w:t>
            </w:r>
          </w:p>
        </w:tc>
        <w:tc>
          <w:tcPr>
            <w:tcW w:w="60" w:type="dxa"/>
            <w:tcBorders>
              <w:bottom w:val="single" w:sz="2" w:space="0" w:color="000000"/>
            </w:tcBorders>
            <w:shd w:fill="FFFFFF" w:val="clear"/>
            <w:tcMar>
              <w:bottom w:w="28" w:type="dxa"/>
            </w:tcMar>
            <w:vAlign w:val="center"/>
          </w:tcPr>
          <w:p>
            <w:pPr>
              <w:pStyle w:val="TableContents"/>
              <w:spacing w:before="0" w:after="0"/>
              <w:rPr/>
            </w:pPr>
            <w:r>
              <w:rPr/>
              <w:t> </w:t>
            </w:r>
          </w:p>
        </w:tc>
        <w:tc>
          <w:tcPr>
            <w:tcW w:w="60" w:type="dxa"/>
            <w:tcBorders/>
            <w:shd w:fill="FFFFFF" w:val="clear"/>
            <w:vAlign w:val="center"/>
          </w:tcPr>
          <w:p>
            <w:pPr>
              <w:pStyle w:val="TableContents"/>
              <w:spacing w:before="0" w:after="283"/>
              <w:ind w:left="0" w:right="0" w:hanging="0"/>
              <w:rPr/>
            </w:pPr>
            <w:r>
              <w:rPr/>
              <w:t> </w:t>
            </w:r>
          </w:p>
        </w:tc>
        <w:tc>
          <w:tcPr>
            <w:tcW w:w="377"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242"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spacing w:before="0" w:after="0"/>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9,881</w:t>
            </w:r>
          </w:p>
        </w:tc>
        <w:tc>
          <w:tcPr>
            <w:tcW w:w="60" w:type="dxa"/>
            <w:tcBorders>
              <w:bottom w:val="single" w:sz="2" w:space="0" w:color="000000"/>
            </w:tcBorders>
            <w:shd w:fill="FFFFFF" w:val="clear"/>
            <w:tcMar>
              <w:bottom w:w="28" w:type="dxa"/>
            </w:tcMar>
            <w:vAlign w:val="center"/>
          </w:tcPr>
          <w:p>
            <w:pPr>
              <w:pStyle w:val="TableContents"/>
              <w:spacing w:before="0" w:after="0"/>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40,106</w:t>
            </w:r>
          </w:p>
        </w:tc>
        <w:tc>
          <w:tcPr>
            <w:tcW w:w="60" w:type="dxa"/>
            <w:tcBorders>
              <w:bottom w:val="single" w:sz="2" w:space="0" w:color="000000"/>
            </w:tcBorders>
            <w:shd w:fill="FFFFFF" w:val="clear"/>
            <w:tcMar>
              <w:bottom w:w="28" w:type="dxa"/>
            </w:tcMar>
            <w:vAlign w:val="center"/>
          </w:tcPr>
          <w:p>
            <w:pPr>
              <w:pStyle w:val="TableContents"/>
              <w:spacing w:before="0" w:after="0"/>
              <w:rPr/>
            </w:pPr>
            <w:r>
              <w:rPr/>
              <w:t> </w:t>
            </w:r>
          </w:p>
        </w:tc>
        <w:tc>
          <w:tcPr>
            <w:tcW w:w="60" w:type="dxa"/>
            <w:tcBorders/>
            <w:shd w:fill="FFFFFF" w:val="clear"/>
            <w:vAlign w:val="center"/>
          </w:tcPr>
          <w:p>
            <w:pPr>
              <w:pStyle w:val="TableContents"/>
              <w:spacing w:before="0" w:after="283"/>
              <w:ind w:left="0" w:right="0" w:hanging="0"/>
              <w:rPr/>
            </w:pPr>
            <w:r>
              <w:rPr/>
              <w:t> </w:t>
            </w:r>
          </w:p>
        </w:tc>
        <w:tc>
          <w:tcPr>
            <w:tcW w:w="377"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242"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spacing w:before="0" w:after="0"/>
              <w:rPr/>
            </w:pPr>
            <w:r>
              <w:rPr/>
              <w:t> </w:t>
            </w:r>
          </w:p>
        </w:tc>
      </w:tr>
      <w:tr>
        <w:trPr/>
        <w:tc>
          <w:tcPr>
            <w:tcW w:w="24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Times;serif" w:hAnsi="Times New Roman;Times;serif"/>
                <w:color w:val="000000"/>
                <w:sz w:val="20"/>
              </w:rPr>
            </w:pPr>
            <w:r>
              <w:rPr>
                <w:rFonts w:ascii="Times New Roman;Times;serif" w:hAnsi="Times New Roman;Times;serif"/>
                <w:color w:val="000000"/>
                <w:sz w:val="20"/>
              </w:rPr>
              <w:t>$</w:t>
            </w:r>
          </w:p>
        </w:tc>
        <w:tc>
          <w:tcPr>
            <w:tcW w:w="590" w:type="dxa"/>
            <w:tcBorders/>
            <w:shd w:fill="CCEE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73,395</w:t>
            </w:r>
          </w:p>
        </w:tc>
        <w:tc>
          <w:tcPr>
            <w:tcW w:w="60" w:type="dxa"/>
            <w:tcBorders/>
            <w:shd w:fill="CCEEFF" w:val="clear"/>
            <w:vAlign w:val="center"/>
          </w:tcPr>
          <w:p>
            <w:pPr>
              <w:pStyle w:val="TableContents"/>
              <w:spacing w:before="0" w:after="283"/>
              <w:rPr>
                <w:color w:val="000000"/>
              </w:rPr>
            </w:pPr>
            <w:r>
              <w:rPr>
                <w:color w:val="000000"/>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Times;serif" w:hAnsi="Times New Roman;Times;serif"/>
                <w:color w:val="000000"/>
                <w:sz w:val="20"/>
              </w:rPr>
            </w:pPr>
            <w:r>
              <w:rPr>
                <w:rFonts w:ascii="Times New Roman;Times;serif" w:hAnsi="Times New Roman;Times;serif"/>
                <w:color w:val="000000"/>
                <w:sz w:val="20"/>
              </w:rPr>
              <w:t>$</w:t>
            </w:r>
          </w:p>
        </w:tc>
        <w:tc>
          <w:tcPr>
            <w:tcW w:w="590" w:type="dxa"/>
            <w:tcBorders/>
            <w:shd w:fill="CCEE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31,331</w:t>
            </w:r>
          </w:p>
        </w:tc>
        <w:tc>
          <w:tcPr>
            <w:tcW w:w="60" w:type="dxa"/>
            <w:tcBorders/>
            <w:shd w:fill="CCEEFF" w:val="clear"/>
            <w:vAlign w:val="center"/>
          </w:tcPr>
          <w:p>
            <w:pPr>
              <w:pStyle w:val="TableContents"/>
              <w:spacing w:before="0" w:after="283"/>
              <w:rPr>
                <w:color w:val="000000"/>
              </w:rPr>
            </w:pPr>
            <w:r>
              <w:rPr>
                <w:color w:val="000000"/>
              </w:rPr>
              <w:t> </w:t>
            </w:r>
          </w:p>
        </w:tc>
        <w:tc>
          <w:tcPr>
            <w:tcW w:w="60" w:type="dxa"/>
            <w:tcBorders/>
            <w:shd w:fill="CCEEFF" w:val="clear"/>
            <w:vAlign w:val="center"/>
          </w:tcPr>
          <w:p>
            <w:pPr>
              <w:pStyle w:val="TableContents"/>
              <w:spacing w:before="0" w:after="283"/>
              <w:ind w:left="0" w:right="0" w:hanging="0"/>
              <w:rPr/>
            </w:pPr>
            <w:r>
              <w:rPr/>
              <w:t> </w:t>
            </w:r>
          </w:p>
        </w:tc>
        <w:tc>
          <w:tcPr>
            <w:tcW w:w="377" w:type="dxa"/>
            <w:tcBorders/>
            <w:shd w:fill="CCEEFF" w:val="clear"/>
            <w:vAlign w:val="center"/>
          </w:tcPr>
          <w:p>
            <w:pPr>
              <w:pStyle w:val="TableContents"/>
              <w:spacing w:before="0" w:after="283"/>
              <w:ind w:left="0" w:right="0" w:hanging="0"/>
              <w:rPr>
                <w:rFonts w:ascii="Times New Roman;Times;serif" w:hAnsi="Times New Roman;Times;serif"/>
                <w:color w:val="000000"/>
                <w:sz w:val="20"/>
              </w:rPr>
            </w:pPr>
            <w:r>
              <w:rPr>
                <w:rFonts w:ascii="Times New Roman;Times;serif" w:hAnsi="Times New Roman;Times;serif"/>
                <w:color w:val="000000"/>
                <w:sz w:val="20"/>
              </w:rPr>
              <w:t>$</w:t>
            </w:r>
          </w:p>
        </w:tc>
        <w:tc>
          <w:tcPr>
            <w:tcW w:w="242" w:type="dxa"/>
            <w:tcBorders/>
            <w:shd w:fill="CCEE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CCEEFF" w:val="clear"/>
            <w:vAlign w:val="center"/>
          </w:tcPr>
          <w:p>
            <w:pPr>
              <w:pStyle w:val="TableContents"/>
              <w:spacing w:before="0" w:after="283"/>
              <w:rPr>
                <w:color w:val="000000"/>
              </w:rPr>
            </w:pPr>
            <w:r>
              <w:rPr>
                <w:color w:val="000000"/>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Times;serif" w:hAnsi="Times New Roman;Times;serif"/>
                <w:color w:val="000000"/>
                <w:sz w:val="20"/>
              </w:rPr>
            </w:pPr>
            <w:r>
              <w:rPr>
                <w:rFonts w:ascii="Times New Roman;Times;serif" w:hAnsi="Times New Roman;Times;serif"/>
                <w:color w:val="000000"/>
                <w:sz w:val="20"/>
              </w:rPr>
              <w:t>$</w:t>
            </w:r>
          </w:p>
        </w:tc>
        <w:tc>
          <w:tcPr>
            <w:tcW w:w="590" w:type="dxa"/>
            <w:tcBorders/>
            <w:shd w:fill="CCEE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66,439</w:t>
            </w:r>
          </w:p>
        </w:tc>
        <w:tc>
          <w:tcPr>
            <w:tcW w:w="60" w:type="dxa"/>
            <w:tcBorders/>
            <w:shd w:fill="CCEEFF" w:val="clear"/>
            <w:vAlign w:val="center"/>
          </w:tcPr>
          <w:p>
            <w:pPr>
              <w:pStyle w:val="TableContents"/>
              <w:spacing w:before="0" w:after="283"/>
              <w:rPr>
                <w:color w:val="000000"/>
              </w:rPr>
            </w:pPr>
            <w:r>
              <w:rPr>
                <w:color w:val="000000"/>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Times;serif" w:hAnsi="Times New Roman;Times;serif"/>
                <w:color w:val="000000"/>
                <w:sz w:val="20"/>
              </w:rPr>
            </w:pPr>
            <w:r>
              <w:rPr>
                <w:rFonts w:ascii="Times New Roman;Times;serif" w:hAnsi="Times New Roman;Times;serif"/>
                <w:color w:val="000000"/>
                <w:sz w:val="20"/>
              </w:rPr>
              <w:t>$</w:t>
            </w:r>
          </w:p>
        </w:tc>
        <w:tc>
          <w:tcPr>
            <w:tcW w:w="590" w:type="dxa"/>
            <w:tcBorders/>
            <w:shd w:fill="CCEE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40,106</w:t>
            </w:r>
          </w:p>
        </w:tc>
        <w:tc>
          <w:tcPr>
            <w:tcW w:w="60" w:type="dxa"/>
            <w:tcBorders/>
            <w:shd w:fill="CCEEFF" w:val="clear"/>
            <w:vAlign w:val="center"/>
          </w:tcPr>
          <w:p>
            <w:pPr>
              <w:pStyle w:val="TableContents"/>
              <w:spacing w:before="0" w:after="283"/>
              <w:rPr>
                <w:color w:val="000000"/>
              </w:rPr>
            </w:pPr>
            <w:r>
              <w:rPr>
                <w:color w:val="000000"/>
              </w:rPr>
              <w:t> </w:t>
            </w:r>
          </w:p>
        </w:tc>
        <w:tc>
          <w:tcPr>
            <w:tcW w:w="60" w:type="dxa"/>
            <w:tcBorders/>
            <w:shd w:fill="CCEEFF" w:val="clear"/>
            <w:vAlign w:val="center"/>
          </w:tcPr>
          <w:p>
            <w:pPr>
              <w:pStyle w:val="TableContents"/>
              <w:spacing w:before="0" w:after="283"/>
              <w:ind w:left="0" w:right="0" w:hanging="0"/>
              <w:rPr/>
            </w:pPr>
            <w:r>
              <w:rPr/>
              <w:t> </w:t>
            </w:r>
          </w:p>
        </w:tc>
        <w:tc>
          <w:tcPr>
            <w:tcW w:w="377" w:type="dxa"/>
            <w:tcBorders/>
            <w:shd w:fill="CCEEFF" w:val="clear"/>
            <w:vAlign w:val="center"/>
          </w:tcPr>
          <w:p>
            <w:pPr>
              <w:pStyle w:val="TableContents"/>
              <w:spacing w:before="0" w:after="283"/>
              <w:ind w:left="0" w:right="0" w:hanging="0"/>
              <w:rPr>
                <w:rFonts w:ascii="Times New Roman;Times;serif" w:hAnsi="Times New Roman;Times;serif"/>
                <w:color w:val="000000"/>
                <w:sz w:val="20"/>
              </w:rPr>
            </w:pPr>
            <w:r>
              <w:rPr>
                <w:rFonts w:ascii="Times New Roman;Times;serif" w:hAnsi="Times New Roman;Times;serif"/>
                <w:color w:val="000000"/>
                <w:sz w:val="20"/>
              </w:rPr>
              <w:t>$</w:t>
            </w:r>
          </w:p>
        </w:tc>
        <w:tc>
          <w:tcPr>
            <w:tcW w:w="242" w:type="dxa"/>
            <w:tcBorders/>
            <w:shd w:fill="CCEE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CCEEFF" w:val="clear"/>
            <w:vAlign w:val="center"/>
          </w:tcPr>
          <w:p>
            <w:pPr>
              <w:pStyle w:val="TableContents"/>
              <w:spacing w:before="0" w:after="283"/>
              <w:rPr>
                <w:color w:val="000000"/>
              </w:rPr>
            </w:pPr>
            <w:r>
              <w:rPr>
                <w:color w:val="000000"/>
              </w:rPr>
              <w:t> </w:t>
            </w:r>
          </w:p>
        </w:tc>
      </w:tr>
    </w:tbl>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6</w:t>
      </w:r>
      <w:r>
        <w:rPr>
          <w:rFonts w:ascii="Times New Roman;Times;serif" w:hAnsi="Times New Roman;Times;serif"/>
          <w:b/>
          <w:sz w:val="20"/>
        </w:rPr>
        <w:t> – Marketable Securities</w:t>
      </w:r>
    </w:p>
    <w:p>
      <w:pPr>
        <w:pStyle w:val="TextBody"/>
        <w:spacing w:before="0" w:after="0"/>
        <w:ind w:left="0" w:right="0" w:hanging="0"/>
        <w:jc w:val="left"/>
        <w:rPr/>
      </w:pPr>
      <w:r>
        <w:rPr/>
        <w:t> </w:t>
      </w:r>
    </w:p>
    <w:p>
      <w:pPr>
        <w:pStyle w:val="TextBody"/>
        <w:spacing w:before="0" w:after="0"/>
        <w:ind w:left="0" w:right="0" w:hanging="0"/>
        <w:jc w:val="left"/>
        <w:rPr/>
      </w:pPr>
      <w:r>
        <w:rPr>
          <w:rFonts w:ascii="Times New Roman;Times;serif" w:hAnsi="Times New Roman;Times;serif"/>
          <w:sz w:val="20"/>
        </w:rPr>
        <w:t>The Company invests in short-term and long-term agency, municipal, corporate and other debt securities. The securities are categorized as available-for-sale and are recorded at fair value. The following table summarizes information regarding the Company’s short-term and long-term marketable securities as of </w:t>
      </w:r>
      <w:r>
        <w:rPr>
          <w:rStyle w:val="Emphasis"/>
          <w:rFonts w:ascii="Times New Roman;Times;serif" w:hAnsi="Times New Roman;Times;serif"/>
          <w:sz w:val="20"/>
        </w:rPr>
        <w:t xml:space="preserve"> March 31, 2023</w:t>
      </w:r>
      <w:r>
        <w:rPr>
          <w:rFonts w:ascii="Times New Roman;Times;serif" w:hAnsi="Times New Roman;Times;serif"/>
          <w:sz w:val="20"/>
        </w:rPr>
        <w:t xml:space="preserve"> and </w:t>
      </w:r>
      <w:r>
        <w:rPr>
          <w:rStyle w:val="Emphasis"/>
          <w:rFonts w:ascii="Times New Roman;Times;serif" w:hAnsi="Times New Roman;Times;serif"/>
          <w:sz w:val="20"/>
        </w:rPr>
        <w:t>December 31, 2022</w:t>
      </w:r>
      <w:r>
        <w:rPr>
          <w:rFonts w:ascii="Times New Roman;Times;serif" w:hAnsi="Times New Roman;Times;serif"/>
          <w:sz w:val="20"/>
        </w:rPr>
        <w:t>:</w:t>
      </w:r>
    </w:p>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tbl>
      <w:tblPr>
        <w:tblW w:w="8042" w:type="dxa"/>
        <w:jc w:val="left"/>
        <w:tblInd w:w="0" w:type="dxa"/>
        <w:tblCellMar>
          <w:top w:w="0" w:type="dxa"/>
          <w:left w:w="0" w:type="dxa"/>
          <w:bottom w:w="0" w:type="dxa"/>
          <w:right w:w="0" w:type="dxa"/>
        </w:tblCellMar>
      </w:tblPr>
      <w:tblGrid>
        <w:gridCol w:w="2945"/>
        <w:gridCol w:w="60"/>
        <w:gridCol w:w="125"/>
        <w:gridCol w:w="590"/>
        <w:gridCol w:w="60"/>
        <w:gridCol w:w="60"/>
        <w:gridCol w:w="879"/>
        <w:gridCol w:w="565"/>
        <w:gridCol w:w="60"/>
        <w:gridCol w:w="60"/>
        <w:gridCol w:w="279"/>
        <w:gridCol w:w="1225"/>
        <w:gridCol w:w="80"/>
        <w:gridCol w:w="60"/>
        <w:gridCol w:w="163"/>
        <w:gridCol w:w="771"/>
        <w:gridCol w:w="60"/>
      </w:tblGrid>
      <w:tr>
        <w:trPr/>
        <w:tc>
          <w:tcPr>
            <w:tcW w:w="29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977" w:type="dxa"/>
            <w:gridSpan w:val="14"/>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March 31, 2023</w:t>
            </w:r>
          </w:p>
        </w:tc>
        <w:tc>
          <w:tcPr>
            <w:tcW w:w="60" w:type="dxa"/>
            <w:tcBorders/>
            <w:shd w:fill="FFFFFF" w:val="clear"/>
            <w:vAlign w:val="center"/>
          </w:tcPr>
          <w:p>
            <w:pPr>
              <w:pStyle w:val="TableContents"/>
              <w:spacing w:before="0" w:after="283"/>
              <w:rPr>
                <w:color w:val="000000"/>
              </w:rPr>
            </w:pPr>
            <w:r>
              <w:rPr>
                <w:color w:val="000000"/>
              </w:rPr>
              <w:t> </w:t>
            </w:r>
          </w:p>
        </w:tc>
      </w:tr>
      <w:tr>
        <w:trPr/>
        <w:tc>
          <w:tcPr>
            <w:tcW w:w="2945"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 thousands)</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Cost</w:t>
            </w:r>
          </w:p>
        </w:tc>
        <w:tc>
          <w:tcPr>
            <w:tcW w:w="60" w:type="dxa"/>
            <w:tcBorders/>
            <w:shd w:fill="FFFFFF" w:val="clear"/>
            <w:vAlign w:val="center"/>
          </w:tcPr>
          <w:p>
            <w:pPr>
              <w:pStyle w:val="TableContents"/>
              <w:spacing w:before="0" w:after="283"/>
              <w:rPr>
                <w:color w:val="000000"/>
              </w:rPr>
            </w:pPr>
            <w:r>
              <w:rPr>
                <w:color w:val="000000"/>
              </w:rPr>
              <w:t> </w:t>
            </w:r>
          </w:p>
        </w:tc>
        <w:tc>
          <w:tcPr>
            <w:tcW w:w="60" w:type="dxa"/>
            <w:tcBorders/>
            <w:shd w:fill="FFFFFF" w:val="clear"/>
            <w:vAlign w:val="center"/>
          </w:tcPr>
          <w:p>
            <w:pPr>
              <w:pStyle w:val="TableContents"/>
              <w:spacing w:before="0" w:after="283"/>
              <w:ind w:left="0" w:right="0" w:hanging="0"/>
              <w:rPr/>
            </w:pPr>
            <w:r>
              <w:rPr/>
              <w:t> </w:t>
            </w:r>
          </w:p>
        </w:tc>
        <w:tc>
          <w:tcPr>
            <w:tcW w:w="1444"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Unrealized Gains</w:t>
            </w:r>
          </w:p>
        </w:tc>
        <w:tc>
          <w:tcPr>
            <w:tcW w:w="60" w:type="dxa"/>
            <w:tcBorders/>
            <w:shd w:fill="FFFFFF" w:val="clear"/>
            <w:vAlign w:val="center"/>
          </w:tcPr>
          <w:p>
            <w:pPr>
              <w:pStyle w:val="TableContents"/>
              <w:spacing w:before="0" w:after="283"/>
              <w:rPr>
                <w:color w:val="000000"/>
              </w:rPr>
            </w:pPr>
            <w:r>
              <w:rPr>
                <w:color w:val="000000"/>
              </w:rPr>
              <w:t> </w:t>
            </w:r>
          </w:p>
        </w:tc>
        <w:tc>
          <w:tcPr>
            <w:tcW w:w="60" w:type="dxa"/>
            <w:tcBorders/>
            <w:shd w:fill="FFFFFF" w:val="clear"/>
            <w:vAlign w:val="center"/>
          </w:tcPr>
          <w:p>
            <w:pPr>
              <w:pStyle w:val="TableContents"/>
              <w:spacing w:before="0" w:after="283"/>
              <w:ind w:left="0" w:right="0" w:hanging="0"/>
              <w:rPr/>
            </w:pPr>
            <w:r>
              <w:rPr/>
              <w:t> </w:t>
            </w:r>
          </w:p>
        </w:tc>
        <w:tc>
          <w:tcPr>
            <w:tcW w:w="1504"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Unrealized Losses</w:t>
            </w:r>
          </w:p>
        </w:tc>
        <w:tc>
          <w:tcPr>
            <w:tcW w:w="80" w:type="dxa"/>
            <w:tcBorders/>
            <w:shd w:fill="FFFFFF" w:val="clear"/>
            <w:vAlign w:val="center"/>
          </w:tcPr>
          <w:p>
            <w:pPr>
              <w:pStyle w:val="TableContents"/>
              <w:spacing w:before="0" w:after="283"/>
              <w:rPr>
                <w:color w:val="000000"/>
              </w:rPr>
            </w:pPr>
            <w:r>
              <w:rPr>
                <w:color w:val="000000"/>
              </w:rPr>
              <w:t> </w:t>
            </w:r>
          </w:p>
        </w:tc>
        <w:tc>
          <w:tcPr>
            <w:tcW w:w="60" w:type="dxa"/>
            <w:tcBorders/>
            <w:shd w:fill="FFFFFF" w:val="clear"/>
            <w:vAlign w:val="center"/>
          </w:tcPr>
          <w:p>
            <w:pPr>
              <w:pStyle w:val="TableContents"/>
              <w:spacing w:before="0" w:after="283"/>
              <w:ind w:left="0" w:right="0" w:hanging="0"/>
              <w:rPr/>
            </w:pPr>
            <w:r>
              <w:rPr/>
              <w:t> </w:t>
            </w:r>
          </w:p>
        </w:tc>
        <w:tc>
          <w:tcPr>
            <w:tcW w:w="934"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Fair Value</w:t>
            </w:r>
          </w:p>
        </w:tc>
        <w:tc>
          <w:tcPr>
            <w:tcW w:w="60" w:type="dxa"/>
            <w:tcBorders/>
            <w:shd w:fill="FFFFFF" w:val="clear"/>
            <w:vAlign w:val="center"/>
          </w:tcPr>
          <w:p>
            <w:pPr>
              <w:pStyle w:val="TableContents"/>
              <w:spacing w:before="0" w:after="283"/>
              <w:rPr>
                <w:color w:val="000000"/>
              </w:rPr>
            </w:pPr>
            <w:r>
              <w:rPr>
                <w:color w:val="000000"/>
              </w:rPr>
              <w:t> </w:t>
            </w:r>
          </w:p>
        </w:tc>
      </w:tr>
      <w:tr>
        <w:trPr/>
        <w:tc>
          <w:tcPr>
            <w:tcW w:w="294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municipal securities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14,377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9"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56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9"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22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(330</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71"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14,047</w:t>
            </w:r>
          </w:p>
        </w:tc>
        <w:tc>
          <w:tcPr>
            <w:tcW w:w="60" w:type="dxa"/>
            <w:tcBorders/>
            <w:shd w:fill="CCEEFF" w:val="clear"/>
            <w:vAlign w:val="center"/>
          </w:tcPr>
          <w:p>
            <w:pPr>
              <w:pStyle w:val="TableContents"/>
              <w:spacing w:before="0" w:after="283"/>
              <w:rPr/>
            </w:pPr>
            <w:r>
              <w:rPr/>
              <w:t> </w:t>
            </w:r>
          </w:p>
        </w:tc>
      </w:tr>
      <w:tr>
        <w:trPr/>
        <w:tc>
          <w:tcPr>
            <w:tcW w:w="2945"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debt securities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6,567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79" w:type="dxa"/>
            <w:tcBorders/>
            <w:shd w:fill="FFFFFF" w:val="clear"/>
            <w:vAlign w:val="center"/>
          </w:tcPr>
          <w:p>
            <w:pPr>
              <w:pStyle w:val="TableContents"/>
              <w:spacing w:before="0" w:after="283"/>
              <w:rPr/>
            </w:pPr>
            <w:r>
              <w:rPr/>
              <w:t> </w:t>
            </w:r>
          </w:p>
        </w:tc>
        <w:tc>
          <w:tcPr>
            <w:tcW w:w="56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9" w:type="dxa"/>
            <w:tcBorders/>
            <w:shd w:fill="FFFFFF" w:val="clear"/>
            <w:vAlign w:val="center"/>
          </w:tcPr>
          <w:p>
            <w:pPr>
              <w:pStyle w:val="TableContents"/>
              <w:spacing w:before="0" w:after="283"/>
              <w:rPr/>
            </w:pPr>
            <w:r>
              <w:rPr/>
              <w:t> </w:t>
            </w:r>
          </w:p>
        </w:tc>
        <w:tc>
          <w:tcPr>
            <w:tcW w:w="122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(153</w:t>
            </w:r>
          </w:p>
        </w:tc>
        <w:tc>
          <w:tcPr>
            <w:tcW w:w="8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163" w:type="dxa"/>
            <w:tcBorders/>
            <w:shd w:fill="FFFFFF" w:val="clear"/>
            <w:vAlign w:val="center"/>
          </w:tcPr>
          <w:p>
            <w:pPr>
              <w:pStyle w:val="TableContents"/>
              <w:spacing w:before="0" w:after="283"/>
              <w:rPr/>
            </w:pPr>
            <w:r>
              <w:rPr/>
              <w:t> </w:t>
            </w:r>
          </w:p>
        </w:tc>
        <w:tc>
          <w:tcPr>
            <w:tcW w:w="771"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6,414</w:t>
            </w:r>
          </w:p>
        </w:tc>
        <w:tc>
          <w:tcPr>
            <w:tcW w:w="60" w:type="dxa"/>
            <w:tcBorders/>
            <w:shd w:fill="FFFFFF"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government agency securities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22,282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9" w:type="dxa"/>
            <w:tcBorders/>
            <w:shd w:fill="CCEEFF" w:val="clear"/>
            <w:vAlign w:val="center"/>
          </w:tcPr>
          <w:p>
            <w:pPr>
              <w:pStyle w:val="TableContents"/>
              <w:spacing w:before="0" w:after="283"/>
              <w:rPr/>
            </w:pPr>
            <w:r>
              <w:rPr/>
              <w:t> </w:t>
            </w:r>
          </w:p>
        </w:tc>
        <w:tc>
          <w:tcPr>
            <w:tcW w:w="56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9" w:type="dxa"/>
            <w:tcBorders/>
            <w:shd w:fill="CCEEFF" w:val="clear"/>
            <w:vAlign w:val="center"/>
          </w:tcPr>
          <w:p>
            <w:pPr>
              <w:pStyle w:val="TableContents"/>
              <w:spacing w:before="0" w:after="283"/>
              <w:rPr/>
            </w:pPr>
            <w:r>
              <w:rPr/>
              <w:t> </w:t>
            </w:r>
          </w:p>
        </w:tc>
        <w:tc>
          <w:tcPr>
            <w:tcW w:w="122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(558</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771"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21,724</w:t>
            </w:r>
          </w:p>
        </w:tc>
        <w:tc>
          <w:tcPr>
            <w:tcW w:w="60" w:type="dxa"/>
            <w:tcBorders/>
            <w:shd w:fill="CCEEFF" w:val="clear"/>
            <w:vAlign w:val="center"/>
          </w:tcPr>
          <w:p>
            <w:pPr>
              <w:pStyle w:val="TableContents"/>
              <w:spacing w:before="0" w:after="283"/>
              <w:rPr/>
            </w:pPr>
            <w:r>
              <w:rPr/>
              <w:t> </w:t>
            </w:r>
          </w:p>
        </w:tc>
      </w:tr>
      <w:tr>
        <w:trPr/>
        <w:tc>
          <w:tcPr>
            <w:tcW w:w="2945"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Certificates of deposit/time deposits</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494</w:t>
            </w:r>
          </w:p>
        </w:tc>
        <w:tc>
          <w:tcPr>
            <w:tcW w:w="60" w:type="dxa"/>
            <w:tcBorders>
              <w:bottom w:val="single" w:sz="2" w:space="0" w:color="000000"/>
            </w:tcBorders>
            <w:shd w:fill="FFFFFF" w:val="clear"/>
            <w:tcMar>
              <w:bottom w:w="28" w:type="dxa"/>
            </w:tcMar>
            <w:vAlign w:val="center"/>
          </w:tcPr>
          <w:p>
            <w:pPr>
              <w:pStyle w:val="TableContents"/>
              <w:spacing w:before="0" w:after="0"/>
              <w:rPr/>
            </w:pPr>
            <w:r>
              <w:rPr/>
              <w:t> </w:t>
            </w:r>
          </w:p>
        </w:tc>
        <w:tc>
          <w:tcPr>
            <w:tcW w:w="60" w:type="dxa"/>
            <w:tcBorders/>
            <w:shd w:fill="FFFFFF" w:val="clear"/>
            <w:vAlign w:val="center"/>
          </w:tcPr>
          <w:p>
            <w:pPr>
              <w:pStyle w:val="TableContents"/>
              <w:spacing w:before="0" w:after="283"/>
              <w:ind w:left="0" w:right="0" w:hanging="0"/>
              <w:rPr/>
            </w:pPr>
            <w:r>
              <w:rPr/>
              <w:t> </w:t>
            </w:r>
          </w:p>
        </w:tc>
        <w:tc>
          <w:tcPr>
            <w:tcW w:w="879"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565"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spacing w:before="0" w:after="0"/>
              <w:rPr/>
            </w:pPr>
            <w:r>
              <w:rPr/>
              <w:t> </w:t>
            </w:r>
          </w:p>
        </w:tc>
        <w:tc>
          <w:tcPr>
            <w:tcW w:w="60" w:type="dxa"/>
            <w:tcBorders/>
            <w:shd w:fill="FFFFFF" w:val="clear"/>
            <w:vAlign w:val="center"/>
          </w:tcPr>
          <w:p>
            <w:pPr>
              <w:pStyle w:val="TableContents"/>
              <w:spacing w:before="0" w:after="283"/>
              <w:ind w:left="0" w:right="0" w:hanging="0"/>
              <w:rPr/>
            </w:pPr>
            <w:r>
              <w:rPr/>
              <w:t> </w:t>
            </w:r>
          </w:p>
        </w:tc>
        <w:tc>
          <w:tcPr>
            <w:tcW w:w="279"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25"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bottom w:val="single" w:sz="2" w:space="0" w:color="000000"/>
            </w:tcBorders>
            <w:shd w:fill="FFFFFF" w:val="clear"/>
            <w:tcMar>
              <w:bottom w:w="28" w:type="dxa"/>
            </w:tcM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ind w:left="0" w:right="0" w:hanging="0"/>
              <w:rPr/>
            </w:pPr>
            <w:r>
              <w:rPr/>
              <w:t> </w:t>
            </w:r>
          </w:p>
        </w:tc>
        <w:tc>
          <w:tcPr>
            <w:tcW w:w="163"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71"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c>
          <w:tcPr>
            <w:tcW w:w="60" w:type="dxa"/>
            <w:tcBorders>
              <w:bottom w:val="single" w:sz="2" w:space="0" w:color="000000"/>
            </w:tcBorders>
            <w:shd w:fill="FFFFFF" w:val="clear"/>
            <w:tcMar>
              <w:bottom w:w="28" w:type="dxa"/>
            </w:tcMar>
            <w:vAlign w:val="center"/>
          </w:tcPr>
          <w:p>
            <w:pPr>
              <w:pStyle w:val="TableContents"/>
              <w:spacing w:before="0" w:after="0"/>
              <w:rPr/>
            </w:pPr>
            <w:r>
              <w:rPr/>
              <w:t> </w:t>
            </w:r>
          </w:p>
        </w:tc>
      </w:tr>
      <w:tr>
        <w:trPr/>
        <w:tc>
          <w:tcPr>
            <w:tcW w:w="294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marketable securities</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Times;serif" w:hAnsi="Times New Roman;Times;serif"/>
                <w:color w:val="000000"/>
                <w:sz w:val="20"/>
              </w:rPr>
            </w:pPr>
            <w:r>
              <w:rPr>
                <w:rFonts w:ascii="Times New Roman;Times;serif" w:hAnsi="Times New Roman;Times;serif"/>
                <w:color w:val="000000"/>
                <w:sz w:val="20"/>
              </w:rPr>
              <w:t>$</w:t>
            </w:r>
          </w:p>
        </w:tc>
        <w:tc>
          <w:tcPr>
            <w:tcW w:w="590" w:type="dxa"/>
            <w:tcBorders/>
            <w:shd w:fill="CCEE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43,720</w:t>
            </w:r>
          </w:p>
        </w:tc>
        <w:tc>
          <w:tcPr>
            <w:tcW w:w="60" w:type="dxa"/>
            <w:tcBorders/>
            <w:shd w:fill="CCEEFF" w:val="clear"/>
            <w:vAlign w:val="center"/>
          </w:tcPr>
          <w:p>
            <w:pPr>
              <w:pStyle w:val="TableContents"/>
              <w:spacing w:before="0" w:after="283"/>
              <w:rPr>
                <w:color w:val="000000"/>
              </w:rPr>
            </w:pPr>
            <w:r>
              <w:rPr>
                <w:color w:val="000000"/>
              </w:rPr>
              <w:t> </w:t>
            </w:r>
          </w:p>
        </w:tc>
        <w:tc>
          <w:tcPr>
            <w:tcW w:w="60" w:type="dxa"/>
            <w:tcBorders/>
            <w:shd w:fill="CCEEFF" w:val="clear"/>
            <w:vAlign w:val="center"/>
          </w:tcPr>
          <w:p>
            <w:pPr>
              <w:pStyle w:val="TableContents"/>
              <w:spacing w:before="0" w:after="283"/>
              <w:ind w:left="0" w:right="0" w:hanging="0"/>
              <w:rPr/>
            </w:pPr>
            <w:r>
              <w:rPr/>
              <w:t> </w:t>
            </w:r>
          </w:p>
        </w:tc>
        <w:tc>
          <w:tcPr>
            <w:tcW w:w="879" w:type="dxa"/>
            <w:tcBorders/>
            <w:shd w:fill="CCEEFF" w:val="clear"/>
            <w:vAlign w:val="center"/>
          </w:tcPr>
          <w:p>
            <w:pPr>
              <w:pStyle w:val="TableContents"/>
              <w:spacing w:before="0" w:after="283"/>
              <w:ind w:left="0" w:right="0" w:hanging="0"/>
              <w:rPr>
                <w:rFonts w:ascii="Times New Roman;Times;serif" w:hAnsi="Times New Roman;Times;serif"/>
                <w:color w:val="000000"/>
                <w:sz w:val="20"/>
              </w:rPr>
            </w:pPr>
            <w:r>
              <w:rPr>
                <w:rFonts w:ascii="Times New Roman;Times;serif" w:hAnsi="Times New Roman;Times;serif"/>
                <w:color w:val="000000"/>
                <w:sz w:val="20"/>
              </w:rPr>
              <w:t>$</w:t>
            </w:r>
          </w:p>
        </w:tc>
        <w:tc>
          <w:tcPr>
            <w:tcW w:w="565" w:type="dxa"/>
            <w:tcBorders/>
            <w:shd w:fill="CCEE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CCEEFF" w:val="clear"/>
            <w:vAlign w:val="center"/>
          </w:tcPr>
          <w:p>
            <w:pPr>
              <w:pStyle w:val="TableContents"/>
              <w:spacing w:before="0" w:after="283"/>
              <w:rPr>
                <w:color w:val="000000"/>
              </w:rPr>
            </w:pPr>
            <w:r>
              <w:rPr>
                <w:color w:val="000000"/>
              </w:rPr>
              <w:t> </w:t>
            </w:r>
          </w:p>
        </w:tc>
        <w:tc>
          <w:tcPr>
            <w:tcW w:w="60" w:type="dxa"/>
            <w:tcBorders/>
            <w:shd w:fill="CCEEFF" w:val="clear"/>
            <w:vAlign w:val="center"/>
          </w:tcPr>
          <w:p>
            <w:pPr>
              <w:pStyle w:val="TableContents"/>
              <w:spacing w:before="0" w:after="283"/>
              <w:ind w:left="0" w:right="0" w:hanging="0"/>
              <w:rPr/>
            </w:pPr>
            <w:r>
              <w:rPr/>
              <w:t> </w:t>
            </w:r>
          </w:p>
        </w:tc>
        <w:tc>
          <w:tcPr>
            <w:tcW w:w="279" w:type="dxa"/>
            <w:tcBorders/>
            <w:shd w:fill="CCEEFF" w:val="clear"/>
            <w:vAlign w:val="center"/>
          </w:tcPr>
          <w:p>
            <w:pPr>
              <w:pStyle w:val="TableContents"/>
              <w:spacing w:before="0" w:after="283"/>
              <w:ind w:left="0" w:right="0" w:hanging="0"/>
              <w:rPr>
                <w:rFonts w:ascii="Times New Roman;Times;serif" w:hAnsi="Times New Roman;Times;serif"/>
                <w:color w:val="000000"/>
                <w:sz w:val="20"/>
              </w:rPr>
            </w:pPr>
            <w:r>
              <w:rPr>
                <w:rFonts w:ascii="Times New Roman;Times;serif" w:hAnsi="Times New Roman;Times;serif"/>
                <w:color w:val="000000"/>
                <w:sz w:val="20"/>
              </w:rPr>
              <w:t>$</w:t>
            </w:r>
          </w:p>
        </w:tc>
        <w:tc>
          <w:tcPr>
            <w:tcW w:w="1225" w:type="dxa"/>
            <w:tcBorders/>
            <w:shd w:fill="CCEE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(1,045</w:t>
            </w:r>
          </w:p>
        </w:tc>
        <w:tc>
          <w:tcPr>
            <w:tcW w:w="80" w:type="dxa"/>
            <w:tcBorders/>
            <w:shd w:fill="CCEEFF" w:val="clear"/>
            <w:vAlign w:val="center"/>
          </w:tcPr>
          <w:p>
            <w:pPr>
              <w:pStyle w:val="TableContents"/>
              <w:spacing w:before="0" w:after="283"/>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CCEEFF" w:val="clear"/>
            <w:vAlign w:val="center"/>
          </w:tcPr>
          <w:p>
            <w:pPr>
              <w:pStyle w:val="TableContents"/>
              <w:spacing w:before="0" w:after="283"/>
              <w:ind w:left="0" w:right="0" w:hanging="0"/>
              <w:rPr/>
            </w:pPr>
            <w:r>
              <w:rPr/>
              <w:t> </w:t>
            </w:r>
          </w:p>
        </w:tc>
        <w:tc>
          <w:tcPr>
            <w:tcW w:w="163" w:type="dxa"/>
            <w:tcBorders/>
            <w:shd w:fill="CCEEFF" w:val="clear"/>
            <w:vAlign w:val="center"/>
          </w:tcPr>
          <w:p>
            <w:pPr>
              <w:pStyle w:val="TableContents"/>
              <w:spacing w:before="0" w:after="283"/>
              <w:ind w:left="0" w:right="0" w:hanging="0"/>
              <w:rPr>
                <w:rFonts w:ascii="Times New Roman;Times;serif" w:hAnsi="Times New Roman;Times;serif"/>
                <w:color w:val="000000"/>
                <w:sz w:val="20"/>
              </w:rPr>
            </w:pPr>
            <w:r>
              <w:rPr>
                <w:rFonts w:ascii="Times New Roman;Times;serif" w:hAnsi="Times New Roman;Times;serif"/>
                <w:color w:val="000000"/>
                <w:sz w:val="20"/>
              </w:rPr>
              <w:t>$</w:t>
            </w:r>
          </w:p>
        </w:tc>
        <w:tc>
          <w:tcPr>
            <w:tcW w:w="771" w:type="dxa"/>
            <w:tcBorders/>
            <w:shd w:fill="CCEE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42,675</w:t>
            </w:r>
          </w:p>
        </w:tc>
        <w:tc>
          <w:tcPr>
            <w:tcW w:w="60" w:type="dxa"/>
            <w:tcBorders/>
            <w:shd w:fill="CCEEFF" w:val="clear"/>
            <w:vAlign w:val="center"/>
          </w:tcPr>
          <w:p>
            <w:pPr>
              <w:pStyle w:val="TableContents"/>
              <w:spacing w:before="0" w:after="283"/>
              <w:rPr>
                <w:color w:val="000000"/>
              </w:rPr>
            </w:pPr>
            <w:r>
              <w:rPr>
                <w:color w:val="000000"/>
              </w:rPr>
              <w:t> </w:t>
            </w:r>
          </w:p>
        </w:tc>
      </w:tr>
    </w:tbl>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p>
      <w:pPr>
        <w:pStyle w:val="TextBody"/>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HorizontalLine"/>
        <w:rPr/>
      </w:pPr>
      <w:r>
        <w:rPr/>
      </w:r>
    </w:p>
    <w:p>
      <w:pPr>
        <w:pStyle w:val="TextBody"/>
        <w:spacing w:before="0" w:after="0"/>
        <w:ind w:left="0" w:right="0" w:hanging="0"/>
        <w:jc w:val="left"/>
        <w:rPr/>
      </w:pPr>
      <w:r>
        <w:rPr/>
        <w:t> </w:t>
      </w:r>
    </w:p>
    <w:tbl>
      <w:tblPr>
        <w:tblW w:w="8042" w:type="dxa"/>
        <w:jc w:val="left"/>
        <w:tblInd w:w="0" w:type="dxa"/>
        <w:tblCellMar>
          <w:top w:w="0" w:type="dxa"/>
          <w:left w:w="0" w:type="dxa"/>
          <w:bottom w:w="0" w:type="dxa"/>
          <w:right w:w="0" w:type="dxa"/>
        </w:tblCellMar>
      </w:tblPr>
      <w:tblGrid>
        <w:gridCol w:w="2945"/>
        <w:gridCol w:w="60"/>
        <w:gridCol w:w="125"/>
        <w:gridCol w:w="590"/>
        <w:gridCol w:w="60"/>
        <w:gridCol w:w="60"/>
        <w:gridCol w:w="879"/>
        <w:gridCol w:w="565"/>
        <w:gridCol w:w="60"/>
        <w:gridCol w:w="60"/>
        <w:gridCol w:w="279"/>
        <w:gridCol w:w="1225"/>
        <w:gridCol w:w="80"/>
        <w:gridCol w:w="60"/>
        <w:gridCol w:w="163"/>
        <w:gridCol w:w="771"/>
        <w:gridCol w:w="60"/>
      </w:tblGrid>
      <w:tr>
        <w:trPr/>
        <w:tc>
          <w:tcPr>
            <w:tcW w:w="29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977" w:type="dxa"/>
            <w:gridSpan w:val="14"/>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December 31, 2022</w:t>
            </w:r>
          </w:p>
        </w:tc>
        <w:tc>
          <w:tcPr>
            <w:tcW w:w="60" w:type="dxa"/>
            <w:tcBorders/>
            <w:shd w:fill="FFFFFF" w:val="clear"/>
            <w:vAlign w:val="center"/>
          </w:tcPr>
          <w:p>
            <w:pPr>
              <w:pStyle w:val="TableContents"/>
              <w:spacing w:before="0" w:after="283"/>
              <w:rPr>
                <w:color w:val="000000"/>
              </w:rPr>
            </w:pPr>
            <w:r>
              <w:rPr>
                <w:color w:val="000000"/>
              </w:rPr>
              <w:t> </w:t>
            </w:r>
          </w:p>
        </w:tc>
      </w:tr>
      <w:tr>
        <w:trPr/>
        <w:tc>
          <w:tcPr>
            <w:tcW w:w="2945"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 thousands)</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Cost</w:t>
            </w:r>
          </w:p>
        </w:tc>
        <w:tc>
          <w:tcPr>
            <w:tcW w:w="60" w:type="dxa"/>
            <w:tcBorders/>
            <w:shd w:fill="FFFFFF" w:val="clear"/>
            <w:vAlign w:val="center"/>
          </w:tcPr>
          <w:p>
            <w:pPr>
              <w:pStyle w:val="TableContents"/>
              <w:spacing w:before="0" w:after="283"/>
              <w:rPr>
                <w:color w:val="000000"/>
              </w:rPr>
            </w:pPr>
            <w:r>
              <w:rPr>
                <w:color w:val="000000"/>
              </w:rPr>
              <w:t> </w:t>
            </w:r>
          </w:p>
        </w:tc>
        <w:tc>
          <w:tcPr>
            <w:tcW w:w="60" w:type="dxa"/>
            <w:tcBorders/>
            <w:shd w:fill="FFFFFF" w:val="clear"/>
            <w:vAlign w:val="center"/>
          </w:tcPr>
          <w:p>
            <w:pPr>
              <w:pStyle w:val="TableContents"/>
              <w:spacing w:before="0" w:after="283"/>
              <w:ind w:left="0" w:right="0" w:hanging="0"/>
              <w:rPr/>
            </w:pPr>
            <w:r>
              <w:rPr/>
              <w:t> </w:t>
            </w:r>
          </w:p>
        </w:tc>
        <w:tc>
          <w:tcPr>
            <w:tcW w:w="1444"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Unrealized Gains</w:t>
            </w:r>
          </w:p>
        </w:tc>
        <w:tc>
          <w:tcPr>
            <w:tcW w:w="60" w:type="dxa"/>
            <w:tcBorders/>
            <w:shd w:fill="FFFFFF" w:val="clear"/>
            <w:vAlign w:val="center"/>
          </w:tcPr>
          <w:p>
            <w:pPr>
              <w:pStyle w:val="TableContents"/>
              <w:spacing w:before="0" w:after="283"/>
              <w:rPr>
                <w:color w:val="000000"/>
              </w:rPr>
            </w:pPr>
            <w:r>
              <w:rPr>
                <w:color w:val="000000"/>
              </w:rPr>
              <w:t> </w:t>
            </w:r>
          </w:p>
        </w:tc>
        <w:tc>
          <w:tcPr>
            <w:tcW w:w="60" w:type="dxa"/>
            <w:tcBorders/>
            <w:shd w:fill="FFFFFF" w:val="clear"/>
            <w:vAlign w:val="center"/>
          </w:tcPr>
          <w:p>
            <w:pPr>
              <w:pStyle w:val="TableContents"/>
              <w:spacing w:before="0" w:after="283"/>
              <w:ind w:left="0" w:right="0" w:hanging="0"/>
              <w:rPr/>
            </w:pPr>
            <w:r>
              <w:rPr/>
              <w:t> </w:t>
            </w:r>
          </w:p>
        </w:tc>
        <w:tc>
          <w:tcPr>
            <w:tcW w:w="1504"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Unrealized Losses</w:t>
            </w:r>
          </w:p>
        </w:tc>
        <w:tc>
          <w:tcPr>
            <w:tcW w:w="80" w:type="dxa"/>
            <w:tcBorders/>
            <w:shd w:fill="FFFFFF" w:val="clear"/>
            <w:vAlign w:val="center"/>
          </w:tcPr>
          <w:p>
            <w:pPr>
              <w:pStyle w:val="TableContents"/>
              <w:spacing w:before="0" w:after="283"/>
              <w:rPr>
                <w:color w:val="000000"/>
              </w:rPr>
            </w:pPr>
            <w:r>
              <w:rPr>
                <w:color w:val="000000"/>
              </w:rPr>
              <w:t> </w:t>
            </w:r>
          </w:p>
        </w:tc>
        <w:tc>
          <w:tcPr>
            <w:tcW w:w="60" w:type="dxa"/>
            <w:tcBorders/>
            <w:shd w:fill="FFFFFF" w:val="clear"/>
            <w:vAlign w:val="center"/>
          </w:tcPr>
          <w:p>
            <w:pPr>
              <w:pStyle w:val="TableContents"/>
              <w:spacing w:before="0" w:after="283"/>
              <w:ind w:left="0" w:right="0" w:hanging="0"/>
              <w:rPr/>
            </w:pPr>
            <w:r>
              <w:rPr/>
              <w:t> </w:t>
            </w:r>
          </w:p>
        </w:tc>
        <w:tc>
          <w:tcPr>
            <w:tcW w:w="934"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Fair Value</w:t>
            </w:r>
          </w:p>
        </w:tc>
        <w:tc>
          <w:tcPr>
            <w:tcW w:w="60" w:type="dxa"/>
            <w:tcBorders/>
            <w:shd w:fill="FFFFFF" w:val="clear"/>
            <w:vAlign w:val="center"/>
          </w:tcPr>
          <w:p>
            <w:pPr>
              <w:pStyle w:val="TableContents"/>
              <w:spacing w:before="0" w:after="283"/>
              <w:rPr>
                <w:color w:val="000000"/>
              </w:rPr>
            </w:pPr>
            <w:r>
              <w:rPr>
                <w:color w:val="000000"/>
              </w:rPr>
              <w:t> </w:t>
            </w:r>
          </w:p>
        </w:tc>
      </w:tr>
      <w:tr>
        <w:trPr/>
        <w:tc>
          <w:tcPr>
            <w:tcW w:w="294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municipal securities</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15,574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879"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565"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79"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225"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(417</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ind w:left="0" w:right="0" w:hanging="0"/>
              <w:rPr/>
            </w:pPr>
            <w:r>
              <w:rPr/>
              <w:t> </w:t>
            </w:r>
          </w:p>
        </w:tc>
        <w:tc>
          <w:tcPr>
            <w:tcW w:w="163"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771"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15,157</w:t>
            </w:r>
          </w:p>
        </w:tc>
        <w:tc>
          <w:tcPr>
            <w:tcW w:w="60" w:type="dxa"/>
            <w:tcBorders/>
            <w:shd w:fill="CCEEFF" w:val="clear"/>
            <w:vAlign w:val="center"/>
          </w:tcPr>
          <w:p>
            <w:pPr>
              <w:pStyle w:val="TableContents"/>
              <w:spacing w:before="0" w:after="283"/>
              <w:rPr/>
            </w:pPr>
            <w:r>
              <w:rPr/>
              <w:t> </w:t>
            </w:r>
          </w:p>
        </w:tc>
      </w:tr>
      <w:tr>
        <w:trPr/>
        <w:tc>
          <w:tcPr>
            <w:tcW w:w="2945"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debt securities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9,578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79" w:type="dxa"/>
            <w:tcBorders/>
            <w:shd w:fill="FFFFFF" w:val="clear"/>
            <w:vAlign w:val="center"/>
          </w:tcPr>
          <w:p>
            <w:pPr>
              <w:pStyle w:val="TableContents"/>
              <w:spacing w:before="0" w:after="283"/>
              <w:ind w:left="0" w:right="0" w:hanging="0"/>
              <w:rPr/>
            </w:pPr>
            <w:r>
              <w:rPr/>
              <w:t> </w:t>
            </w:r>
          </w:p>
        </w:tc>
        <w:tc>
          <w:tcPr>
            <w:tcW w:w="565"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9" w:type="dxa"/>
            <w:tcBorders/>
            <w:shd w:fill="FFFFFF" w:val="clear"/>
            <w:vAlign w:val="center"/>
          </w:tcPr>
          <w:p>
            <w:pPr>
              <w:pStyle w:val="TableContents"/>
              <w:spacing w:before="0" w:after="283"/>
              <w:ind w:left="0" w:right="0" w:hanging="0"/>
              <w:rPr/>
            </w:pPr>
            <w:r>
              <w:rPr/>
              <w:t> </w:t>
            </w:r>
          </w:p>
        </w:tc>
        <w:tc>
          <w:tcPr>
            <w:tcW w:w="1225"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(205</w:t>
            </w:r>
          </w:p>
        </w:tc>
        <w:tc>
          <w:tcPr>
            <w:tcW w:w="8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163" w:type="dxa"/>
            <w:tcBorders/>
            <w:shd w:fill="FFFFFF" w:val="clear"/>
            <w:vAlign w:val="center"/>
          </w:tcPr>
          <w:p>
            <w:pPr>
              <w:pStyle w:val="TableContents"/>
              <w:spacing w:before="0" w:after="283"/>
              <w:ind w:left="0" w:right="0" w:hanging="0"/>
              <w:rPr/>
            </w:pPr>
            <w:r>
              <w:rPr/>
              <w:t> </w:t>
            </w:r>
          </w:p>
        </w:tc>
        <w:tc>
          <w:tcPr>
            <w:tcW w:w="771"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9,373</w:t>
            </w:r>
          </w:p>
        </w:tc>
        <w:tc>
          <w:tcPr>
            <w:tcW w:w="60" w:type="dxa"/>
            <w:tcBorders/>
            <w:shd w:fill="FFFFFF"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government agency securities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25,275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9" w:type="dxa"/>
            <w:tcBorders/>
            <w:shd w:fill="CCEEFF" w:val="clear"/>
            <w:vAlign w:val="center"/>
          </w:tcPr>
          <w:p>
            <w:pPr>
              <w:pStyle w:val="TableContents"/>
              <w:spacing w:before="0" w:after="283"/>
              <w:ind w:left="0" w:right="0" w:hanging="0"/>
              <w:rPr/>
            </w:pPr>
            <w:r>
              <w:rPr/>
              <w:t> </w:t>
            </w:r>
          </w:p>
        </w:tc>
        <w:tc>
          <w:tcPr>
            <w:tcW w:w="565"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9" w:type="dxa"/>
            <w:tcBorders/>
            <w:shd w:fill="CCEEFF" w:val="clear"/>
            <w:vAlign w:val="center"/>
          </w:tcPr>
          <w:p>
            <w:pPr>
              <w:pStyle w:val="TableContents"/>
              <w:spacing w:before="0" w:after="283"/>
              <w:ind w:left="0" w:right="0" w:hanging="0"/>
              <w:rPr/>
            </w:pPr>
            <w:r>
              <w:rPr/>
              <w:t> </w:t>
            </w:r>
          </w:p>
        </w:tc>
        <w:tc>
          <w:tcPr>
            <w:tcW w:w="1225"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(750</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ind w:left="0" w:right="0" w:hanging="0"/>
              <w:rPr/>
            </w:pPr>
            <w:r>
              <w:rPr/>
              <w:t> </w:t>
            </w:r>
          </w:p>
        </w:tc>
        <w:tc>
          <w:tcPr>
            <w:tcW w:w="771"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24,525</w:t>
            </w:r>
          </w:p>
        </w:tc>
        <w:tc>
          <w:tcPr>
            <w:tcW w:w="60" w:type="dxa"/>
            <w:tcBorders/>
            <w:shd w:fill="CCEEFF" w:val="clear"/>
            <w:vAlign w:val="center"/>
          </w:tcPr>
          <w:p>
            <w:pPr>
              <w:pStyle w:val="TableContents"/>
              <w:spacing w:before="0" w:after="283"/>
              <w:rPr/>
            </w:pPr>
            <w:r>
              <w:rPr/>
              <w:t> </w:t>
            </w:r>
          </w:p>
        </w:tc>
      </w:tr>
      <w:tr>
        <w:trPr/>
        <w:tc>
          <w:tcPr>
            <w:tcW w:w="2945"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Certificates of deposit/time deposits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939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79" w:type="dxa"/>
            <w:tcBorders/>
            <w:shd w:fill="FFFFFF" w:val="clear"/>
            <w:vAlign w:val="center"/>
          </w:tcPr>
          <w:p>
            <w:pPr>
              <w:pStyle w:val="TableContents"/>
              <w:spacing w:before="0" w:after="283"/>
              <w:ind w:left="0" w:right="0" w:hanging="0"/>
              <w:rPr/>
            </w:pPr>
            <w:r>
              <w:rPr/>
              <w:t> </w:t>
            </w:r>
          </w:p>
        </w:tc>
        <w:tc>
          <w:tcPr>
            <w:tcW w:w="565"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9" w:type="dxa"/>
            <w:tcBorders/>
            <w:shd w:fill="FFFFFF" w:val="clear"/>
            <w:vAlign w:val="center"/>
          </w:tcPr>
          <w:p>
            <w:pPr>
              <w:pStyle w:val="TableContents"/>
              <w:spacing w:before="0" w:after="283"/>
              <w:ind w:left="0" w:right="0" w:hanging="0"/>
              <w:rPr/>
            </w:pPr>
            <w:r>
              <w:rPr/>
              <w:t> </w:t>
            </w:r>
          </w:p>
        </w:tc>
        <w:tc>
          <w:tcPr>
            <w:tcW w:w="1225"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163" w:type="dxa"/>
            <w:tcBorders/>
            <w:shd w:fill="FFFFFF" w:val="clear"/>
            <w:vAlign w:val="center"/>
          </w:tcPr>
          <w:p>
            <w:pPr>
              <w:pStyle w:val="TableContents"/>
              <w:spacing w:before="0" w:after="283"/>
              <w:ind w:left="0" w:right="0" w:hanging="0"/>
              <w:rPr/>
            </w:pPr>
            <w:r>
              <w:rPr/>
              <w:t> </w:t>
            </w:r>
          </w:p>
        </w:tc>
        <w:tc>
          <w:tcPr>
            <w:tcW w:w="771"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932</w:t>
            </w:r>
          </w:p>
        </w:tc>
        <w:tc>
          <w:tcPr>
            <w:tcW w:w="60" w:type="dxa"/>
            <w:tcBorders/>
            <w:shd w:fill="FFFFFF"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marketable securities</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Times;serif" w:hAnsi="Times New Roman;Times;serif"/>
                <w:color w:val="000000"/>
                <w:sz w:val="20"/>
              </w:rPr>
            </w:pPr>
            <w:r>
              <w:rPr>
                <w:rFonts w:ascii="Times New Roman;Times;serif" w:hAnsi="Times New Roman;Times;serif"/>
                <w:color w:val="000000"/>
                <w:sz w:val="20"/>
              </w:rPr>
              <w:t>$</w:t>
            </w:r>
          </w:p>
        </w:tc>
        <w:tc>
          <w:tcPr>
            <w:tcW w:w="590" w:type="dxa"/>
            <w:tcBorders/>
            <w:shd w:fill="CCEE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51,366</w:t>
            </w:r>
          </w:p>
        </w:tc>
        <w:tc>
          <w:tcPr>
            <w:tcW w:w="60" w:type="dxa"/>
            <w:tcBorders/>
            <w:shd w:fill="CCEEFF" w:val="clear"/>
            <w:vAlign w:val="center"/>
          </w:tcPr>
          <w:p>
            <w:pPr>
              <w:pStyle w:val="TableContents"/>
              <w:spacing w:before="0" w:after="283"/>
              <w:rPr>
                <w:color w:val="000000"/>
              </w:rPr>
            </w:pPr>
            <w:r>
              <w:rPr>
                <w:color w:val="000000"/>
              </w:rPr>
              <w:t> </w:t>
            </w:r>
          </w:p>
        </w:tc>
        <w:tc>
          <w:tcPr>
            <w:tcW w:w="60" w:type="dxa"/>
            <w:tcBorders/>
            <w:shd w:fill="CCEEFF" w:val="clear"/>
            <w:vAlign w:val="center"/>
          </w:tcPr>
          <w:p>
            <w:pPr>
              <w:pStyle w:val="TableContents"/>
              <w:spacing w:before="0" w:after="283"/>
              <w:ind w:left="0" w:right="0" w:hanging="0"/>
              <w:rPr/>
            </w:pPr>
            <w:r>
              <w:rPr/>
              <w:t> </w:t>
            </w:r>
          </w:p>
        </w:tc>
        <w:tc>
          <w:tcPr>
            <w:tcW w:w="879" w:type="dxa"/>
            <w:tcBorders/>
            <w:shd w:fill="CCEEFF" w:val="clear"/>
            <w:vAlign w:val="center"/>
          </w:tcPr>
          <w:p>
            <w:pPr>
              <w:pStyle w:val="TableContents"/>
              <w:spacing w:before="0" w:after="283"/>
              <w:ind w:left="0" w:right="0" w:hanging="0"/>
              <w:rPr>
                <w:rFonts w:ascii="Times New Roman;Times;serif" w:hAnsi="Times New Roman;Times;serif"/>
                <w:color w:val="000000"/>
                <w:sz w:val="20"/>
              </w:rPr>
            </w:pPr>
            <w:r>
              <w:rPr>
                <w:rFonts w:ascii="Times New Roman;Times;serif" w:hAnsi="Times New Roman;Times;serif"/>
                <w:color w:val="000000"/>
                <w:sz w:val="20"/>
              </w:rPr>
              <w:t>$</w:t>
            </w:r>
          </w:p>
        </w:tc>
        <w:tc>
          <w:tcPr>
            <w:tcW w:w="565" w:type="dxa"/>
            <w:tcBorders/>
            <w:shd w:fill="CCEE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CCEEFF" w:val="clear"/>
            <w:vAlign w:val="center"/>
          </w:tcPr>
          <w:p>
            <w:pPr>
              <w:pStyle w:val="TableContents"/>
              <w:spacing w:before="0" w:after="283"/>
              <w:rPr>
                <w:color w:val="000000"/>
              </w:rPr>
            </w:pPr>
            <w:r>
              <w:rPr>
                <w:color w:val="000000"/>
              </w:rPr>
              <w:t> </w:t>
            </w:r>
          </w:p>
        </w:tc>
        <w:tc>
          <w:tcPr>
            <w:tcW w:w="60" w:type="dxa"/>
            <w:tcBorders/>
            <w:shd w:fill="CCEEFF" w:val="clear"/>
            <w:vAlign w:val="center"/>
          </w:tcPr>
          <w:p>
            <w:pPr>
              <w:pStyle w:val="TableContents"/>
              <w:spacing w:before="0" w:after="283"/>
              <w:ind w:left="0" w:right="0" w:hanging="0"/>
              <w:rPr/>
            </w:pPr>
            <w:r>
              <w:rPr/>
              <w:t> </w:t>
            </w:r>
          </w:p>
        </w:tc>
        <w:tc>
          <w:tcPr>
            <w:tcW w:w="279" w:type="dxa"/>
            <w:tcBorders/>
            <w:shd w:fill="CCEEFF" w:val="clear"/>
            <w:vAlign w:val="center"/>
          </w:tcPr>
          <w:p>
            <w:pPr>
              <w:pStyle w:val="TableContents"/>
              <w:spacing w:before="0" w:after="283"/>
              <w:ind w:left="0" w:right="0" w:hanging="0"/>
              <w:rPr>
                <w:rFonts w:ascii="Times New Roman;Times;serif" w:hAnsi="Times New Roman;Times;serif"/>
                <w:color w:val="000000"/>
                <w:sz w:val="20"/>
              </w:rPr>
            </w:pPr>
            <w:r>
              <w:rPr>
                <w:rFonts w:ascii="Times New Roman;Times;serif" w:hAnsi="Times New Roman;Times;serif"/>
                <w:color w:val="000000"/>
                <w:sz w:val="20"/>
              </w:rPr>
              <w:t>$</w:t>
            </w:r>
          </w:p>
        </w:tc>
        <w:tc>
          <w:tcPr>
            <w:tcW w:w="1225" w:type="dxa"/>
            <w:tcBorders/>
            <w:shd w:fill="CCEE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(1,379</w:t>
            </w:r>
          </w:p>
        </w:tc>
        <w:tc>
          <w:tcPr>
            <w:tcW w:w="80" w:type="dxa"/>
            <w:tcBorders/>
            <w:shd w:fill="CCEEFF" w:val="clear"/>
            <w:vAlign w:val="center"/>
          </w:tcPr>
          <w:p>
            <w:pPr>
              <w:pStyle w:val="TableContents"/>
              <w:spacing w:before="0" w:after="283"/>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CCEEFF" w:val="clear"/>
            <w:vAlign w:val="center"/>
          </w:tcPr>
          <w:p>
            <w:pPr>
              <w:pStyle w:val="TableContents"/>
              <w:spacing w:before="0" w:after="283"/>
              <w:ind w:left="0" w:right="0" w:hanging="0"/>
              <w:rPr/>
            </w:pPr>
            <w:r>
              <w:rPr/>
              <w:t> </w:t>
            </w:r>
          </w:p>
        </w:tc>
        <w:tc>
          <w:tcPr>
            <w:tcW w:w="163" w:type="dxa"/>
            <w:tcBorders/>
            <w:shd w:fill="CCEEFF" w:val="clear"/>
            <w:vAlign w:val="center"/>
          </w:tcPr>
          <w:p>
            <w:pPr>
              <w:pStyle w:val="TableContents"/>
              <w:spacing w:before="0" w:after="283"/>
              <w:ind w:left="0" w:right="0" w:hanging="0"/>
              <w:rPr>
                <w:rFonts w:ascii="Times New Roman;Times;serif" w:hAnsi="Times New Roman;Times;serif"/>
                <w:color w:val="000000"/>
                <w:sz w:val="20"/>
              </w:rPr>
            </w:pPr>
            <w:r>
              <w:rPr>
                <w:rFonts w:ascii="Times New Roman;Times;serif" w:hAnsi="Times New Roman;Times;serif"/>
                <w:color w:val="000000"/>
                <w:sz w:val="20"/>
              </w:rPr>
              <w:t>$</w:t>
            </w:r>
          </w:p>
        </w:tc>
        <w:tc>
          <w:tcPr>
            <w:tcW w:w="771" w:type="dxa"/>
            <w:tcBorders/>
            <w:shd w:fill="CCEE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49,987</w:t>
            </w:r>
          </w:p>
        </w:tc>
        <w:tc>
          <w:tcPr>
            <w:tcW w:w="60" w:type="dxa"/>
            <w:tcBorders/>
            <w:shd w:fill="CCEEFF" w:val="clear"/>
            <w:vAlign w:val="center"/>
          </w:tcPr>
          <w:p>
            <w:pPr>
              <w:pStyle w:val="TableContents"/>
              <w:spacing w:before="0" w:after="283"/>
              <w:rPr>
                <w:color w:val="000000"/>
              </w:rPr>
            </w:pPr>
            <w:r>
              <w:rPr>
                <w:color w:val="000000"/>
              </w:rPr>
              <w:t> </w:t>
            </w:r>
          </w:p>
        </w:tc>
      </w:tr>
    </w:tbl>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p>
      <w:pPr>
        <w:pStyle w:val="TextBody"/>
        <w:spacing w:before="0" w:after="0"/>
        <w:ind w:left="0" w:right="0" w:hanging="0"/>
        <w:jc w:val="left"/>
        <w:rPr/>
      </w:pPr>
      <w:r>
        <w:rPr>
          <w:rFonts w:ascii="Times New Roman;Times;serif" w:hAnsi="Times New Roman;Times;serif"/>
          <w:sz w:val="20"/>
        </w:rPr>
        <w:t xml:space="preserve">Fair values for the corporate debt securities are primarily determined based on quoted market prices (Level </w:t>
      </w:r>
      <w:r>
        <w:rPr>
          <w:rStyle w:val="Emphasis"/>
          <w:rFonts w:ascii="Times New Roman;Times;serif" w:hAnsi="Times New Roman;Times;serif"/>
          <w:sz w:val="20"/>
        </w:rPr>
        <w:t>1</w:t>
      </w:r>
      <w:r>
        <w:rPr>
          <w:rFonts w:ascii="Times New Roman;Times;serif" w:hAnsi="Times New Roman;Times;serif"/>
          <w:sz w:val="20"/>
        </w:rPr>
        <w:t xml:space="preserve">). Fair values for the U.S. municipal securities, U.S. government agency securities, certificates of deposit and U.S. treasury securities are primarily determined using dealer quotes or quoted market prices for similar securities (Level </w:t>
      </w:r>
      <w:r>
        <w:rPr>
          <w:rStyle w:val="Emphasis"/>
          <w:rFonts w:ascii="Times New Roman;Times;serif" w:hAnsi="Times New Roman;Times;serif"/>
          <w:sz w:val="20"/>
        </w:rPr>
        <w:t>2</w:t>
      </w:r>
      <w:r>
        <w:rPr>
          <w:rFonts w:ascii="Times New Roman;Times;serif" w:hAnsi="Times New Roman;Times;serif"/>
          <w:sz w:val="20"/>
        </w:rPr>
        <w:t>).</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Classification of marketable securities as current or non-current is based upon the security’s maturity date as of the date of these financial statements.</w:t>
      </w:r>
    </w:p>
    <w:p>
      <w:pPr>
        <w:pStyle w:val="TextBody"/>
        <w:spacing w:before="0" w:after="0"/>
        <w:ind w:left="0" w:right="0" w:hanging="0"/>
        <w:jc w:val="left"/>
        <w:rPr/>
      </w:pPr>
      <w:r>
        <w:rPr/>
        <w:t> </w:t>
      </w:r>
    </w:p>
    <w:p>
      <w:pPr>
        <w:pStyle w:val="TextBody"/>
        <w:spacing w:before="0" w:after="0"/>
        <w:ind w:left="0" w:right="0" w:hanging="0"/>
        <w:jc w:val="left"/>
        <w:rPr/>
      </w:pPr>
      <w:r>
        <w:rPr>
          <w:rFonts w:ascii="Times New Roman;Times;serif" w:hAnsi="Times New Roman;Times;serif"/>
          <w:sz w:val="20"/>
        </w:rPr>
        <w:t>The </w:t>
      </w:r>
      <w:r>
        <w:rPr>
          <w:rStyle w:val="Emphasis"/>
          <w:rFonts w:ascii="Times New Roman;Times;serif" w:hAnsi="Times New Roman;Times;serif"/>
          <w:sz w:val="20"/>
        </w:rPr>
        <w:t xml:space="preserve"> March 31, 2023</w:t>
      </w:r>
      <w:r>
        <w:rPr>
          <w:rFonts w:ascii="Times New Roman;Times;serif" w:hAnsi="Times New Roman;Times;serif"/>
          <w:sz w:val="20"/>
        </w:rPr>
        <w:t xml:space="preserve"> balance of available-for-sale debt securities by contractual maturity is shown in the following table at fair value. Actual maturities </w:t>
      </w:r>
      <w:r>
        <w:rPr>
          <w:rStyle w:val="Emphasis"/>
          <w:rFonts w:ascii="Times New Roman;Times;serif" w:hAnsi="Times New Roman;Times;serif"/>
          <w:sz w:val="20"/>
        </w:rPr>
        <w:t xml:space="preserve">may </w:t>
      </w:r>
      <w:r>
        <w:rPr>
          <w:rFonts w:ascii="Times New Roman;Times;serif" w:hAnsi="Times New Roman;Times;serif"/>
          <w:sz w:val="20"/>
        </w:rPr>
        <w:t xml:space="preserve">differ from contractual maturities because the issuers of the securities </w:t>
      </w:r>
      <w:r>
        <w:rPr>
          <w:rStyle w:val="Emphasis"/>
          <w:rFonts w:ascii="Times New Roman;Times;serif" w:hAnsi="Times New Roman;Times;serif"/>
          <w:sz w:val="20"/>
        </w:rPr>
        <w:t xml:space="preserve">may </w:t>
      </w:r>
      <w:r>
        <w:rPr>
          <w:rFonts w:ascii="Times New Roman;Times;serif" w:hAnsi="Times New Roman;Times;serif"/>
          <w:sz w:val="20"/>
        </w:rPr>
        <w:t>have the right to prepay obligations without prepayment penalties.</w:t>
      </w:r>
    </w:p>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tbl>
      <w:tblPr>
        <w:tblW w:w="3999" w:type="dxa"/>
        <w:jc w:val="left"/>
        <w:tblInd w:w="0" w:type="dxa"/>
        <w:tblCellMar>
          <w:top w:w="0" w:type="dxa"/>
          <w:left w:w="0" w:type="dxa"/>
          <w:bottom w:w="0" w:type="dxa"/>
          <w:right w:w="0" w:type="dxa"/>
        </w:tblCellMar>
      </w:tblPr>
      <w:tblGrid>
        <w:gridCol w:w="3005"/>
        <w:gridCol w:w="60"/>
        <w:gridCol w:w="152"/>
        <w:gridCol w:w="722"/>
        <w:gridCol w:w="60"/>
      </w:tblGrid>
      <w:tr>
        <w:trPr/>
        <w:tc>
          <w:tcPr>
            <w:tcW w:w="300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74"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March 31,</w:t>
            </w:r>
          </w:p>
        </w:tc>
        <w:tc>
          <w:tcPr>
            <w:tcW w:w="60" w:type="dxa"/>
            <w:tcBorders/>
            <w:shd w:fill="FFFFFF" w:val="clear"/>
            <w:vAlign w:val="center"/>
          </w:tcPr>
          <w:p>
            <w:pPr>
              <w:pStyle w:val="TableContents"/>
              <w:spacing w:before="0" w:after="283"/>
              <w:ind w:left="0" w:right="0" w:hanging="0"/>
              <w:rPr/>
            </w:pPr>
            <w:r>
              <w:rPr/>
              <w:t> </w:t>
            </w:r>
          </w:p>
        </w:tc>
      </w:tr>
      <w:tr>
        <w:trPr/>
        <w:tc>
          <w:tcPr>
            <w:tcW w:w="3005"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 thousands)</w:t>
            </w:r>
          </w:p>
        </w:tc>
        <w:tc>
          <w:tcPr>
            <w:tcW w:w="60" w:type="dxa"/>
            <w:tcBorders/>
            <w:shd w:fill="FFFFFF" w:val="clear"/>
            <w:vAlign w:val="center"/>
          </w:tcPr>
          <w:p>
            <w:pPr>
              <w:pStyle w:val="TableContents"/>
              <w:spacing w:before="0" w:after="0"/>
              <w:ind w:left="0" w:right="0" w:hanging="0"/>
              <w:rPr/>
            </w:pPr>
            <w:r>
              <w:rPr/>
              <w:t> </w:t>
            </w:r>
          </w:p>
        </w:tc>
        <w:tc>
          <w:tcPr>
            <w:tcW w:w="87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2023</w:t>
            </w:r>
          </w:p>
        </w:tc>
        <w:tc>
          <w:tcPr>
            <w:tcW w:w="60" w:type="dxa"/>
            <w:tcBorders>
              <w:bottom w:val="single" w:sz="2" w:space="0" w:color="000000"/>
            </w:tcBorders>
            <w:shd w:fill="FFFFFF" w:val="clear"/>
            <w:tcMar>
              <w:bottom w:w="28" w:type="dxa"/>
            </w:tcMar>
            <w:vAlign w:val="center"/>
          </w:tcPr>
          <w:p>
            <w:pPr>
              <w:pStyle w:val="TableContents"/>
              <w:spacing w:before="0" w:after="0"/>
              <w:rPr/>
            </w:pPr>
            <w:r>
              <w:rPr/>
              <w:t> </w:t>
            </w:r>
          </w:p>
        </w:tc>
      </w:tr>
      <w:tr>
        <w:trPr/>
        <w:tc>
          <w:tcPr>
            <w:tcW w:w="300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Due in one year or less</w:t>
            </w:r>
          </w:p>
        </w:tc>
        <w:tc>
          <w:tcPr>
            <w:tcW w:w="60" w:type="dxa"/>
            <w:tcBorders/>
            <w:shd w:fill="CCEEFF" w:val="clear"/>
            <w:vAlign w:val="center"/>
          </w:tcPr>
          <w:p>
            <w:pPr>
              <w:pStyle w:val="TableContents"/>
              <w:spacing w:before="0" w:after="283"/>
              <w:ind w:left="0" w:right="0" w:hanging="0"/>
              <w:rPr/>
            </w:pPr>
            <w:r>
              <w:rPr/>
              <w:t> </w:t>
            </w:r>
          </w:p>
        </w:tc>
        <w:tc>
          <w:tcPr>
            <w:tcW w:w="152"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22,851</w:t>
            </w:r>
          </w:p>
        </w:tc>
        <w:tc>
          <w:tcPr>
            <w:tcW w:w="60" w:type="dxa"/>
            <w:tcBorders/>
            <w:shd w:fill="CCEEFF" w:val="clear"/>
            <w:vAlign w:val="center"/>
          </w:tcPr>
          <w:p>
            <w:pPr>
              <w:pStyle w:val="TableContents"/>
              <w:spacing w:before="0" w:after="283"/>
              <w:rPr/>
            </w:pPr>
            <w:r>
              <w:rPr/>
              <w:t> </w:t>
            </w:r>
          </w:p>
        </w:tc>
      </w:tr>
      <w:tr>
        <w:trPr/>
        <w:tc>
          <w:tcPr>
            <w:tcW w:w="3005"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Due after one year through five years</w:t>
            </w:r>
          </w:p>
        </w:tc>
        <w:tc>
          <w:tcPr>
            <w:tcW w:w="60"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ind w:left="0" w:right="0" w:hanging="0"/>
              <w:rPr>
                <w:color w:val="000000"/>
              </w:rPr>
            </w:pPr>
            <w:r>
              <w:rPr>
                <w:color w:val="000000"/>
              </w:rPr>
              <w:t> </w:t>
            </w:r>
          </w:p>
        </w:tc>
        <w:tc>
          <w:tcPr>
            <w:tcW w:w="722" w:type="dxa"/>
            <w:tcBorders/>
            <w:shd w:fill="FFFF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19,824</w:t>
            </w:r>
          </w:p>
        </w:tc>
        <w:tc>
          <w:tcPr>
            <w:tcW w:w="60" w:type="dxa"/>
            <w:tcBorders/>
            <w:shd w:fill="FFFFFF" w:val="clear"/>
            <w:vAlign w:val="center"/>
          </w:tcPr>
          <w:p>
            <w:pPr>
              <w:pStyle w:val="TableContents"/>
              <w:spacing w:before="0" w:after="283"/>
              <w:rPr>
                <w:color w:val="000000"/>
              </w:rPr>
            </w:pPr>
            <w:r>
              <w:rPr>
                <w:color w:val="000000"/>
              </w:rPr>
              <w:t> </w:t>
            </w:r>
          </w:p>
        </w:tc>
      </w:tr>
      <w:tr>
        <w:trPr/>
        <w:tc>
          <w:tcPr>
            <w:tcW w:w="300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marketable securities</w:t>
            </w:r>
          </w:p>
        </w:tc>
        <w:tc>
          <w:tcPr>
            <w:tcW w:w="60" w:type="dxa"/>
            <w:tcBorders/>
            <w:shd w:fill="CCEEFF" w:val="clear"/>
            <w:vAlign w:val="center"/>
          </w:tcPr>
          <w:p>
            <w:pPr>
              <w:pStyle w:val="TableContents"/>
              <w:spacing w:before="0" w:after="283"/>
              <w:ind w:left="0" w:right="0" w:hanging="0"/>
              <w:rPr/>
            </w:pPr>
            <w:r>
              <w:rPr/>
              <w:t> </w:t>
            </w:r>
          </w:p>
        </w:tc>
        <w:tc>
          <w:tcPr>
            <w:tcW w:w="152" w:type="dxa"/>
            <w:tcBorders/>
            <w:shd w:fill="CCEEFF" w:val="clear"/>
            <w:vAlign w:val="center"/>
          </w:tcPr>
          <w:p>
            <w:pPr>
              <w:pStyle w:val="TableContents"/>
              <w:spacing w:before="0" w:after="283"/>
              <w:ind w:left="0" w:right="0" w:hanging="0"/>
              <w:rPr>
                <w:rFonts w:ascii="Times New Roman;Times;serif" w:hAnsi="Times New Roman;Times;serif"/>
                <w:color w:val="000000"/>
                <w:sz w:val="20"/>
              </w:rPr>
            </w:pPr>
            <w:r>
              <w:rPr>
                <w:rFonts w:ascii="Times New Roman;Times;serif" w:hAnsi="Times New Roman;Times;serif"/>
                <w:color w:val="000000"/>
                <w:sz w:val="20"/>
              </w:rPr>
              <w:t>$</w:t>
            </w:r>
          </w:p>
        </w:tc>
        <w:tc>
          <w:tcPr>
            <w:tcW w:w="722" w:type="dxa"/>
            <w:tcBorders/>
            <w:shd w:fill="CCEE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42,675</w:t>
            </w:r>
          </w:p>
        </w:tc>
        <w:tc>
          <w:tcPr>
            <w:tcW w:w="60" w:type="dxa"/>
            <w:tcBorders/>
            <w:shd w:fill="CCEEFF" w:val="clear"/>
            <w:vAlign w:val="center"/>
          </w:tcPr>
          <w:p>
            <w:pPr>
              <w:pStyle w:val="TableContents"/>
              <w:spacing w:before="0" w:after="283"/>
              <w:rPr>
                <w:color w:val="000000"/>
              </w:rPr>
            </w:pPr>
            <w:r>
              <w:rPr>
                <w:color w:val="000000"/>
              </w:rPr>
              <w:t> </w:t>
            </w:r>
          </w:p>
        </w:tc>
      </w:tr>
    </w:tbl>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7</w:t>
      </w:r>
      <w:r>
        <w:rPr>
          <w:rFonts w:ascii="Times New Roman;Times;serif" w:hAnsi="Times New Roman;Times;serif"/>
          <w:b/>
          <w:sz w:val="20"/>
        </w:rPr>
        <w:t xml:space="preserve"> – Inventory </w:t>
      </w:r>
    </w:p>
    <w:p>
      <w:pPr>
        <w:pStyle w:val="TextBody"/>
        <w:spacing w:before="0" w:after="0"/>
        <w:ind w:left="0" w:right="0" w:hanging="0"/>
        <w:jc w:val="left"/>
        <w:rPr/>
      </w:pPr>
      <w:r>
        <w:rPr/>
        <w:t> </w:t>
      </w:r>
    </w:p>
    <w:p>
      <w:pPr>
        <w:pStyle w:val="TextBody"/>
        <w:spacing w:before="0" w:after="0"/>
        <w:ind w:left="0" w:right="0" w:hanging="0"/>
        <w:jc w:val="left"/>
        <w:rPr/>
      </w:pPr>
      <w:r>
        <w:rPr>
          <w:rFonts w:ascii="Times New Roman;Times;serif" w:hAnsi="Times New Roman;Times;serif"/>
          <w:sz w:val="20"/>
        </w:rPr>
        <w:t xml:space="preserve">Inventory consists primarily of raw materials, which are recorded at the lower of cost and net realizable value using the standard cost method, which approximates </w:t>
      </w:r>
      <w:r>
        <w:rPr>
          <w:rStyle w:val="Emphasis"/>
          <w:rFonts w:ascii="Times New Roman;Times;serif" w:hAnsi="Times New Roman;Times;serif"/>
          <w:sz w:val="20"/>
        </w:rPr>
        <w:t>first</w:t>
      </w:r>
      <w:r>
        <w:rPr>
          <w:rFonts w:ascii="Times New Roman;Times;serif" w:hAnsi="Times New Roman;Times;serif"/>
          <w:sz w:val="20"/>
        </w:rPr>
        <w:t xml:space="preserve">-in, </w:t>
      </w:r>
      <w:r>
        <w:rPr>
          <w:rStyle w:val="Emphasis"/>
          <w:rFonts w:ascii="Times New Roman;Times;serif" w:hAnsi="Times New Roman;Times;serif"/>
          <w:sz w:val="20"/>
        </w:rPr>
        <w:t>first</w:t>
      </w:r>
      <w:r>
        <w:rPr>
          <w:rFonts w:ascii="Times New Roman;Times;serif" w:hAnsi="Times New Roman;Times;serif"/>
          <w:sz w:val="20"/>
        </w:rPr>
        <w:t>-out (FIFO) cost. The Company periodically reviews its inventory for slow-moving, damaged and discontinued items and provides allowances to reduce such items identified to their recoverable amounts.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The Company’s inventory consisted of the following as of the dates indicated:</w:t>
      </w:r>
    </w:p>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tbl>
      <w:tblPr>
        <w:tblW w:w="4583" w:type="dxa"/>
        <w:jc w:val="left"/>
        <w:tblInd w:w="0" w:type="dxa"/>
        <w:tblCellMar>
          <w:top w:w="0" w:type="dxa"/>
          <w:left w:w="0" w:type="dxa"/>
          <w:bottom w:w="0" w:type="dxa"/>
          <w:right w:w="0" w:type="dxa"/>
        </w:tblCellMar>
      </w:tblPr>
      <w:tblGrid>
        <w:gridCol w:w="2285"/>
        <w:gridCol w:w="60"/>
        <w:gridCol w:w="152"/>
        <w:gridCol w:w="722"/>
        <w:gridCol w:w="80"/>
        <w:gridCol w:w="60"/>
        <w:gridCol w:w="199"/>
        <w:gridCol w:w="945"/>
        <w:gridCol w:w="80"/>
      </w:tblGrid>
      <w:tr>
        <w:trPr/>
        <w:tc>
          <w:tcPr>
            <w:tcW w:w="22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74"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March 31,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December 31,</w:t>
            </w:r>
          </w:p>
        </w:tc>
        <w:tc>
          <w:tcPr>
            <w:tcW w:w="80" w:type="dxa"/>
            <w:tcBorders/>
            <w:shd w:fill="FFFFFF" w:val="clear"/>
            <w:vAlign w:val="center"/>
          </w:tcPr>
          <w:p>
            <w:pPr>
              <w:pStyle w:val="TableContents"/>
              <w:spacing w:before="0" w:after="283"/>
              <w:ind w:left="0" w:right="0" w:hanging="0"/>
              <w:rPr/>
            </w:pPr>
            <w:r>
              <w:rPr/>
              <w:t> </w:t>
            </w:r>
          </w:p>
        </w:tc>
      </w:tr>
      <w:tr>
        <w:trPr/>
        <w:tc>
          <w:tcPr>
            <w:tcW w:w="2285"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 thousands)</w:t>
            </w:r>
          </w:p>
        </w:tc>
        <w:tc>
          <w:tcPr>
            <w:tcW w:w="60" w:type="dxa"/>
            <w:tcBorders/>
            <w:shd w:fill="FFFFFF" w:val="clear"/>
            <w:vAlign w:val="center"/>
          </w:tcPr>
          <w:p>
            <w:pPr>
              <w:pStyle w:val="TableContents"/>
              <w:spacing w:before="0" w:after="0"/>
              <w:ind w:left="0" w:right="0" w:hanging="0"/>
              <w:rPr/>
            </w:pPr>
            <w:r>
              <w:rPr/>
              <w:t> </w:t>
            </w:r>
          </w:p>
        </w:tc>
        <w:tc>
          <w:tcPr>
            <w:tcW w:w="87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2023</w:t>
            </w:r>
          </w:p>
        </w:tc>
        <w:tc>
          <w:tcPr>
            <w:tcW w:w="8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11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2022</w:t>
            </w:r>
          </w:p>
        </w:tc>
        <w:tc>
          <w:tcPr>
            <w:tcW w:w="80" w:type="dxa"/>
            <w:tcBorders>
              <w:bottom w:val="single" w:sz="2" w:space="0" w:color="000000"/>
            </w:tcBorders>
            <w:shd w:fill="FFFFFF" w:val="clear"/>
            <w:tcMar>
              <w:bottom w:w="28" w:type="dxa"/>
            </w:tcMar>
            <w:vAlign w:val="center"/>
          </w:tcPr>
          <w:p>
            <w:pPr>
              <w:pStyle w:val="TableContents"/>
              <w:spacing w:before="0" w:after="0"/>
              <w:rPr/>
            </w:pPr>
            <w:r>
              <w:rPr/>
              <w:t> </w:t>
            </w:r>
          </w:p>
        </w:tc>
      </w:tr>
      <w:tr>
        <w:trPr/>
        <w:tc>
          <w:tcPr>
            <w:tcW w:w="228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inventory</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14,692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13,965</w:t>
            </w:r>
          </w:p>
        </w:tc>
        <w:tc>
          <w:tcPr>
            <w:tcW w:w="80" w:type="dxa"/>
            <w:tcBorders/>
            <w:shd w:fill="CCEEFF" w:val="clear"/>
            <w:vAlign w:val="center"/>
          </w:tcPr>
          <w:p>
            <w:pPr>
              <w:pStyle w:val="TableContents"/>
              <w:spacing w:before="0" w:after="283"/>
              <w:rPr/>
            </w:pPr>
            <w:r>
              <w:rPr/>
              <w:t> </w:t>
            </w:r>
          </w:p>
        </w:tc>
      </w:tr>
      <w:tr>
        <w:trPr/>
        <w:tc>
          <w:tcPr>
            <w:tcW w:w="2285"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Allowance for obsolescence</w:t>
            </w:r>
          </w:p>
        </w:tc>
        <w:tc>
          <w:tcPr>
            <w:tcW w:w="60" w:type="dxa"/>
            <w:tcBorders/>
            <w:shd w:fill="FFFFFF" w:val="clear"/>
            <w:vAlign w:val="center"/>
          </w:tcPr>
          <w:p>
            <w:pPr>
              <w:pStyle w:val="TableContents"/>
              <w:spacing w:before="0" w:after="283"/>
              <w:ind w:left="0" w:right="0" w:hanging="0"/>
              <w:rPr/>
            </w:pPr>
            <w:r>
              <w:rPr/>
              <w:t> </w:t>
            </w:r>
          </w:p>
        </w:tc>
        <w:tc>
          <w:tcPr>
            <w:tcW w:w="152"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22"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(419</w:t>
            </w:r>
          </w:p>
        </w:tc>
        <w:tc>
          <w:tcPr>
            <w:tcW w:w="80" w:type="dxa"/>
            <w:tcBorders>
              <w:bottom w:val="single" w:sz="2" w:space="0" w:color="000000"/>
            </w:tcBorders>
            <w:shd w:fill="FFFF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0"/>
              <w:ind w:left="0" w:right="0" w:hanging="0"/>
              <w:rPr/>
            </w:pPr>
            <w:r>
              <w:rPr/>
              <w:t> </w:t>
            </w:r>
          </w:p>
        </w:tc>
        <w:tc>
          <w:tcPr>
            <w:tcW w:w="199"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945"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(387</w:t>
            </w:r>
          </w:p>
        </w:tc>
        <w:tc>
          <w:tcPr>
            <w:tcW w:w="80" w:type="dxa"/>
            <w:tcBorders>
              <w:bottom w:val="single" w:sz="2" w:space="0" w:color="000000"/>
            </w:tcBorders>
            <w:shd w:fill="FFFFFF" w:val="clear"/>
            <w:tcMar>
              <w:bottom w:w="28" w:type="dxa"/>
            </w:tcM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r>
      <w:tr>
        <w:trPr/>
        <w:tc>
          <w:tcPr>
            <w:tcW w:w="228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Inventory, net of allowance</w:t>
            </w:r>
          </w:p>
        </w:tc>
        <w:tc>
          <w:tcPr>
            <w:tcW w:w="60" w:type="dxa"/>
            <w:tcBorders/>
            <w:shd w:fill="CCEEFF" w:val="clear"/>
            <w:vAlign w:val="center"/>
          </w:tcPr>
          <w:p>
            <w:pPr>
              <w:pStyle w:val="TableContents"/>
              <w:spacing w:before="0" w:after="283"/>
              <w:ind w:left="0" w:right="0" w:hanging="0"/>
              <w:rPr/>
            </w:pPr>
            <w:r>
              <w:rPr/>
              <w:t> </w:t>
            </w:r>
          </w:p>
        </w:tc>
        <w:tc>
          <w:tcPr>
            <w:tcW w:w="152" w:type="dxa"/>
            <w:tcBorders/>
            <w:shd w:fill="CCEEFF" w:val="clear"/>
            <w:vAlign w:val="center"/>
          </w:tcPr>
          <w:p>
            <w:pPr>
              <w:pStyle w:val="TableContents"/>
              <w:spacing w:before="0" w:after="283"/>
              <w:ind w:left="0" w:right="0" w:hanging="0"/>
              <w:rPr>
                <w:rFonts w:ascii="Times New Roman;Times;serif" w:hAnsi="Times New Roman;Times;serif"/>
                <w:color w:val="000000"/>
                <w:sz w:val="20"/>
              </w:rPr>
            </w:pPr>
            <w:r>
              <w:rPr>
                <w:rFonts w:ascii="Times New Roman;Times;serif" w:hAnsi="Times New Roman;Times;serif"/>
                <w:color w:val="000000"/>
                <w:sz w:val="20"/>
              </w:rPr>
              <w:t>$</w:t>
            </w:r>
          </w:p>
        </w:tc>
        <w:tc>
          <w:tcPr>
            <w:tcW w:w="722" w:type="dxa"/>
            <w:tcBorders/>
            <w:shd w:fill="CCEE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14,273</w:t>
            </w:r>
          </w:p>
        </w:tc>
        <w:tc>
          <w:tcPr>
            <w:tcW w:w="80" w:type="dxa"/>
            <w:tcBorders/>
            <w:shd w:fill="CCEEFF" w:val="clear"/>
            <w:vAlign w:val="center"/>
          </w:tcPr>
          <w:p>
            <w:pPr>
              <w:pStyle w:val="TableContents"/>
              <w:spacing w:before="0" w:after="283"/>
              <w:rPr>
                <w:color w:val="000000"/>
              </w:rPr>
            </w:pPr>
            <w:r>
              <w:rPr>
                <w:color w:val="000000"/>
              </w:rPr>
              <w:t> </w:t>
            </w:r>
          </w:p>
        </w:tc>
        <w:tc>
          <w:tcPr>
            <w:tcW w:w="60" w:type="dxa"/>
            <w:tcBorders/>
            <w:shd w:fill="CCEEFF" w:val="clear"/>
            <w:vAlign w:val="center"/>
          </w:tcPr>
          <w:p>
            <w:pPr>
              <w:pStyle w:val="TableContents"/>
              <w:spacing w:before="0" w:after="283"/>
              <w:ind w:left="0" w:right="0" w:hanging="0"/>
              <w:rPr/>
            </w:pPr>
            <w:r>
              <w:rPr/>
              <w:t> </w:t>
            </w:r>
          </w:p>
        </w:tc>
        <w:tc>
          <w:tcPr>
            <w:tcW w:w="199" w:type="dxa"/>
            <w:tcBorders/>
            <w:shd w:fill="CCEEFF" w:val="clear"/>
            <w:vAlign w:val="center"/>
          </w:tcPr>
          <w:p>
            <w:pPr>
              <w:pStyle w:val="TableContents"/>
              <w:spacing w:before="0" w:after="283"/>
              <w:ind w:left="0" w:right="0" w:hanging="0"/>
              <w:rPr>
                <w:rFonts w:ascii="Times New Roman;Times;serif" w:hAnsi="Times New Roman;Times;serif"/>
                <w:color w:val="000000"/>
                <w:sz w:val="20"/>
              </w:rPr>
            </w:pPr>
            <w:r>
              <w:rPr>
                <w:rFonts w:ascii="Times New Roman;Times;serif" w:hAnsi="Times New Roman;Times;serif"/>
                <w:color w:val="000000"/>
                <w:sz w:val="20"/>
              </w:rPr>
              <w:t>$</w:t>
            </w:r>
          </w:p>
        </w:tc>
        <w:tc>
          <w:tcPr>
            <w:tcW w:w="945" w:type="dxa"/>
            <w:tcBorders/>
            <w:shd w:fill="CCEE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13,578</w:t>
            </w:r>
          </w:p>
        </w:tc>
        <w:tc>
          <w:tcPr>
            <w:tcW w:w="80" w:type="dxa"/>
            <w:tcBorders/>
            <w:shd w:fill="CCEEFF" w:val="clear"/>
            <w:vAlign w:val="center"/>
          </w:tcPr>
          <w:p>
            <w:pPr>
              <w:pStyle w:val="TableContents"/>
              <w:spacing w:before="0" w:after="283"/>
              <w:rPr>
                <w:color w:val="000000"/>
              </w:rPr>
            </w:pPr>
            <w:r>
              <w:rPr>
                <w:color w:val="000000"/>
              </w:rPr>
              <w:t> </w:t>
            </w:r>
          </w:p>
        </w:tc>
      </w:tr>
    </w:tbl>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p>
      <w:pPr>
        <w:pStyle w:val="TextBody"/>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8</w:t>
      </w:r>
      <w:r>
        <w:rPr>
          <w:rFonts w:ascii="Times New Roman;Times;serif" w:hAnsi="Times New Roman;Times;serif"/>
          <w:b/>
          <w:sz w:val="20"/>
        </w:rPr>
        <w:t> – Stock-Based Compensation</w:t>
      </w:r>
    </w:p>
    <w:p>
      <w:pPr>
        <w:pStyle w:val="TextBody"/>
        <w:spacing w:before="0" w:after="0"/>
        <w:ind w:left="0" w:right="0" w:hanging="0"/>
        <w:jc w:val="left"/>
        <w:rPr/>
      </w:pPr>
      <w:r>
        <w:rPr/>
        <w:t> </w:t>
      </w:r>
    </w:p>
    <w:p>
      <w:pPr>
        <w:pStyle w:val="TextBody"/>
        <w:spacing w:before="0" w:after="0"/>
        <w:ind w:left="0" w:right="0" w:hanging="0"/>
        <w:jc w:val="left"/>
        <w:rPr/>
      </w:pPr>
      <w:r>
        <w:rPr>
          <w:rFonts w:ascii="Times New Roman;Times;serif" w:hAnsi="Times New Roman;Times;serif"/>
          <w:sz w:val="20"/>
        </w:rPr>
        <w:t xml:space="preserve">Under the Company’s </w:t>
      </w:r>
      <w:r>
        <w:rPr>
          <w:rStyle w:val="Emphasis"/>
          <w:rFonts w:ascii="Times New Roman;Times;serif" w:hAnsi="Times New Roman;Times;serif"/>
          <w:sz w:val="20"/>
        </w:rPr>
        <w:t>2012</w:t>
      </w:r>
      <w:r>
        <w:rPr>
          <w:rFonts w:ascii="Times New Roman;Times;serif" w:hAnsi="Times New Roman;Times;serif"/>
          <w:sz w:val="20"/>
        </w:rPr>
        <w:t xml:space="preserve"> Long-Term Incentive Plan, as amended (the </w:t>
      </w:r>
      <w:r>
        <w:rPr>
          <w:rStyle w:val="Emphasis"/>
          <w:rFonts w:ascii="Times New Roman;Times;serif" w:hAnsi="Times New Roman;Times;serif"/>
          <w:sz w:val="20"/>
        </w:rPr>
        <w:t>2012</w:t>
      </w:r>
      <w:r>
        <w:rPr>
          <w:rFonts w:ascii="Times New Roman;Times;serif" w:hAnsi="Times New Roman;Times;serif"/>
          <w:sz w:val="20"/>
        </w:rPr>
        <w:t xml:space="preserve"> Plan), the Company had the ability to grant stock options, stock appreciation rights (SARs), restricted stock, restricted stock units, other stock-based awards and cash incentive awards through </w:t>
      </w:r>
      <w:r>
        <w:rPr>
          <w:rStyle w:val="Emphasis"/>
          <w:rFonts w:ascii="Times New Roman;Times;serif" w:hAnsi="Times New Roman;Times;serif"/>
          <w:sz w:val="20"/>
        </w:rPr>
        <w:t>February 23, 2022.</w:t>
      </w:r>
      <w:r>
        <w:rPr>
          <w:rFonts w:ascii="Times New Roman;Times;serif" w:hAnsi="Times New Roman;Times;serif"/>
          <w:sz w:val="20"/>
        </w:rPr>
        <w:t xml:space="preserve"> On </w:t>
      </w:r>
      <w:r>
        <w:rPr>
          <w:rStyle w:val="Emphasis"/>
          <w:rFonts w:ascii="Times New Roman;Times;serif" w:hAnsi="Times New Roman;Times;serif"/>
          <w:sz w:val="20"/>
        </w:rPr>
        <w:t xml:space="preserve">July 8, 2022, </w:t>
      </w:r>
      <w:r>
        <w:rPr>
          <w:rFonts w:ascii="Times New Roman;Times;serif" w:hAnsi="Times New Roman;Times;serif"/>
          <w:sz w:val="20"/>
        </w:rPr>
        <w:t xml:space="preserve">the board of directors approved the Proto Labs, Inc. </w:t>
      </w:r>
      <w:r>
        <w:rPr>
          <w:rStyle w:val="Emphasis"/>
          <w:rFonts w:ascii="Times New Roman;Times;serif" w:hAnsi="Times New Roman;Times;serif"/>
          <w:sz w:val="20"/>
        </w:rPr>
        <w:t>2022</w:t>
      </w:r>
      <w:r>
        <w:rPr>
          <w:rFonts w:ascii="Times New Roman;Times;serif" w:hAnsi="Times New Roman;Times;serif"/>
          <w:sz w:val="20"/>
        </w:rPr>
        <w:t xml:space="preserve"> Long-Term Incentive Plan (the </w:t>
      </w:r>
      <w:r>
        <w:rPr>
          <w:rStyle w:val="Emphasis"/>
          <w:rFonts w:ascii="Times New Roman;Times;serif" w:hAnsi="Times New Roman;Times;serif"/>
          <w:sz w:val="20"/>
        </w:rPr>
        <w:t>2022</w:t>
      </w:r>
      <w:r>
        <w:rPr>
          <w:rFonts w:ascii="Times New Roman;Times;serif" w:hAnsi="Times New Roman;Times;serif"/>
          <w:sz w:val="20"/>
        </w:rPr>
        <w:t xml:space="preserve"> Plan), which was approved by the Company's shareholders at a Special Meeting of Shareholders on </w:t>
      </w:r>
      <w:r>
        <w:rPr>
          <w:rStyle w:val="Emphasis"/>
          <w:rFonts w:ascii="Times New Roman;Times;serif" w:hAnsi="Times New Roman;Times;serif"/>
          <w:sz w:val="20"/>
        </w:rPr>
        <w:t>August 29, 2022. No</w:t>
      </w:r>
      <w:r>
        <w:rPr>
          <w:rFonts w:ascii="Times New Roman;Times;serif" w:hAnsi="Times New Roman;Times;serif"/>
          <w:sz w:val="20"/>
        </w:rPr>
        <w:t xml:space="preserve"> awards were granted from </w:t>
      </w:r>
      <w:r>
        <w:rPr>
          <w:rStyle w:val="Emphasis"/>
          <w:rFonts w:ascii="Times New Roman;Times;serif" w:hAnsi="Times New Roman;Times;serif"/>
          <w:sz w:val="20"/>
        </w:rPr>
        <w:t xml:space="preserve">February 23, 2022 </w:t>
      </w:r>
      <w:r>
        <w:rPr>
          <w:rFonts w:ascii="Times New Roman;Times;serif" w:hAnsi="Times New Roman;Times;serif"/>
          <w:sz w:val="20"/>
        </w:rPr>
        <w:t xml:space="preserve">to </w:t>
      </w:r>
      <w:r>
        <w:rPr>
          <w:rStyle w:val="Emphasis"/>
          <w:rFonts w:ascii="Times New Roman;Times;serif" w:hAnsi="Times New Roman;Times;serif"/>
          <w:sz w:val="20"/>
        </w:rPr>
        <w:t>August 29, 2022. </w:t>
      </w:r>
      <w:r>
        <w:rPr>
          <w:rFonts w:ascii="Times New Roman;Times;serif" w:hAnsi="Times New Roman;Times;serif"/>
          <w:sz w:val="20"/>
        </w:rPr>
        <w:t xml:space="preserve">Awards outstanding under the </w:t>
      </w:r>
      <w:r>
        <w:rPr>
          <w:rStyle w:val="Emphasis"/>
          <w:rFonts w:ascii="Times New Roman;Times;serif" w:hAnsi="Times New Roman;Times;serif"/>
          <w:sz w:val="20"/>
        </w:rPr>
        <w:t>2012</w:t>
      </w:r>
      <w:r>
        <w:rPr>
          <w:rFonts w:ascii="Times New Roman;Times;serif" w:hAnsi="Times New Roman;Times;serif"/>
          <w:sz w:val="20"/>
        </w:rPr>
        <w:t xml:space="preserve"> Plan as of </w:t>
      </w:r>
      <w:r>
        <w:rPr>
          <w:rStyle w:val="Emphasis"/>
          <w:rFonts w:ascii="Times New Roman;Times;serif" w:hAnsi="Times New Roman;Times;serif"/>
          <w:sz w:val="20"/>
        </w:rPr>
        <w:t>August 29, 2022 </w:t>
      </w:r>
      <w:r>
        <w:rPr>
          <w:rFonts w:ascii="Times New Roman;Times;serif" w:hAnsi="Times New Roman;Times;serif"/>
          <w:sz w:val="20"/>
        </w:rPr>
        <w:t xml:space="preserve">will continue to be subject to the terms of the </w:t>
      </w:r>
      <w:r>
        <w:rPr>
          <w:rStyle w:val="Emphasis"/>
          <w:rFonts w:ascii="Times New Roman;Times;serif" w:hAnsi="Times New Roman;Times;serif"/>
          <w:sz w:val="20"/>
        </w:rPr>
        <w:t>2012</w:t>
      </w:r>
      <w:r>
        <w:rPr>
          <w:rFonts w:ascii="Times New Roman;Times;serif" w:hAnsi="Times New Roman;Times;serif"/>
          <w:sz w:val="20"/>
        </w:rPr>
        <w:t xml:space="preserve"> Plan, but if those awards subsequently expire, are forfeited or cancelled or are settled in cash, the shares subject to those awards will become available for awards under the </w:t>
      </w:r>
      <w:r>
        <w:rPr>
          <w:rStyle w:val="Emphasis"/>
          <w:rFonts w:ascii="Times New Roman;Times;serif" w:hAnsi="Times New Roman;Times;serif"/>
          <w:sz w:val="20"/>
        </w:rPr>
        <w:t>2022</w:t>
      </w:r>
      <w:r>
        <w:rPr>
          <w:rFonts w:ascii="Times New Roman;Times;serif" w:hAnsi="Times New Roman;Times;serif"/>
          <w:sz w:val="20"/>
        </w:rPr>
        <w:t xml:space="preserve"> Plan. Under the </w:t>
      </w:r>
      <w:r>
        <w:rPr>
          <w:rStyle w:val="Emphasis"/>
          <w:rFonts w:ascii="Times New Roman;Times;serif" w:hAnsi="Times New Roman;Times;serif"/>
          <w:sz w:val="20"/>
        </w:rPr>
        <w:t>2022</w:t>
      </w:r>
      <w:r>
        <w:rPr>
          <w:rFonts w:ascii="Times New Roman;Times;serif" w:hAnsi="Times New Roman;Times;serif"/>
          <w:sz w:val="20"/>
        </w:rPr>
        <w:t xml:space="preserve"> Plan, the Company has the ability to grant stock options, stock appreciation rights (SARs), restricted stock, restricted stock units, other stock-based awards and cash incentive awards. Awards under the </w:t>
      </w:r>
      <w:r>
        <w:rPr>
          <w:rStyle w:val="Emphasis"/>
          <w:rFonts w:ascii="Times New Roman;Times;serif" w:hAnsi="Times New Roman;Times;serif"/>
          <w:sz w:val="20"/>
        </w:rPr>
        <w:t>2022</w:t>
      </w:r>
      <w:r>
        <w:rPr>
          <w:rFonts w:ascii="Times New Roman;Times;serif" w:hAnsi="Times New Roman;Times;serif"/>
          <w:sz w:val="20"/>
        </w:rPr>
        <w:t xml:space="preserve"> Plan have a maximum term of ten years from the date of grant. The compensation committee </w:t>
      </w:r>
      <w:r>
        <w:rPr>
          <w:rStyle w:val="Emphasis"/>
          <w:rFonts w:ascii="Times New Roman;Times;serif" w:hAnsi="Times New Roman;Times;serif"/>
          <w:sz w:val="20"/>
        </w:rPr>
        <w:t xml:space="preserve">may </w:t>
      </w:r>
      <w:r>
        <w:rPr>
          <w:rFonts w:ascii="Times New Roman;Times;serif" w:hAnsi="Times New Roman;Times;serif"/>
          <w:sz w:val="20"/>
        </w:rPr>
        <w:t xml:space="preserve">provide that the vesting or payment of any award will be subject to the attainment of specified performance measures in addition to the satisfaction of any continued service requirements and the compensation committee will determine whether such measures have been achieved. The per-share exercise price of stock options and SARs granted under the </w:t>
      </w:r>
      <w:r>
        <w:rPr>
          <w:rStyle w:val="Emphasis"/>
          <w:rFonts w:ascii="Times New Roman;Times;serif" w:hAnsi="Times New Roman;Times;serif"/>
          <w:sz w:val="20"/>
        </w:rPr>
        <w:t>2022</w:t>
      </w:r>
      <w:r>
        <w:rPr>
          <w:rFonts w:ascii="Times New Roman;Times;serif" w:hAnsi="Times New Roman;Times;serif"/>
          <w:sz w:val="20"/>
        </w:rPr>
        <w:t xml:space="preserve"> Plan generally </w:t>
      </w:r>
      <w:r>
        <w:rPr>
          <w:rStyle w:val="Emphasis"/>
          <w:rFonts w:ascii="Times New Roman;Times;serif" w:hAnsi="Times New Roman;Times;serif"/>
          <w:sz w:val="20"/>
        </w:rPr>
        <w:t>may not</w:t>
      </w:r>
      <w:r>
        <w:rPr>
          <w:rFonts w:ascii="Times New Roman;Times;serif" w:hAnsi="Times New Roman;Times;serif"/>
          <w:sz w:val="20"/>
        </w:rPr>
        <w:t xml:space="preserve"> be less than the fair market value of a share of our common stock on the date of the grant.</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Employee Stock Purchase Plan</w:t>
      </w:r>
    </w:p>
    <w:p>
      <w:pPr>
        <w:pStyle w:val="TextBody"/>
        <w:spacing w:before="0" w:after="0"/>
        <w:ind w:left="0" w:right="0" w:hanging="0"/>
        <w:jc w:val="left"/>
        <w:rPr/>
      </w:pPr>
      <w:r>
        <w:rPr/>
        <w:t> </w:t>
      </w:r>
    </w:p>
    <w:p>
      <w:pPr>
        <w:pStyle w:val="TextBody"/>
        <w:spacing w:before="0" w:after="0"/>
        <w:ind w:left="0" w:right="0" w:hanging="0"/>
        <w:jc w:val="left"/>
        <w:rPr/>
      </w:pPr>
      <w:r>
        <w:rPr>
          <w:rFonts w:ascii="Times New Roman;Times;serif" w:hAnsi="Times New Roman;Times;serif"/>
          <w:sz w:val="20"/>
        </w:rPr>
        <w:t xml:space="preserve">The Company’s </w:t>
      </w:r>
      <w:r>
        <w:rPr>
          <w:rStyle w:val="Emphasis"/>
          <w:rFonts w:ascii="Times New Roman;Times;serif" w:hAnsi="Times New Roman;Times;serif"/>
          <w:sz w:val="20"/>
        </w:rPr>
        <w:t>2012</w:t>
      </w:r>
      <w:r>
        <w:rPr>
          <w:rFonts w:ascii="Times New Roman;Times;serif" w:hAnsi="Times New Roman;Times;serif"/>
          <w:sz w:val="20"/>
        </w:rPr>
        <w:t xml:space="preserve"> Employee Stock Purchase Plan (ESPP) allows eligible employees to purchase a variable number of shares of the Company’s common stock each offering period at a discount through payroll deductions of up to 15 percent of their eligible compensation, subject to plan limitations. The ESPP provides for six-month offering periods with a single purchase period ending </w:t>
      </w:r>
      <w:r>
        <w:rPr>
          <w:rStyle w:val="Emphasis"/>
          <w:rFonts w:ascii="Times New Roman;Times;serif" w:hAnsi="Times New Roman;Times;serif"/>
          <w:sz w:val="20"/>
        </w:rPr>
        <w:t>May 15</w:t>
      </w:r>
      <w:r>
        <w:rPr>
          <w:rFonts w:ascii="Times New Roman;Times;serif" w:hAnsi="Times New Roman;Times;serif"/>
          <w:sz w:val="20"/>
        </w:rPr>
        <w:t xml:space="preserve"> and </w:t>
      </w:r>
      <w:r>
        <w:rPr>
          <w:rStyle w:val="Emphasis"/>
          <w:rFonts w:ascii="Times New Roman;Times;serif" w:hAnsi="Times New Roman;Times;serif"/>
          <w:sz w:val="20"/>
        </w:rPr>
        <w:t>November 15,</w:t>
      </w:r>
      <w:r>
        <w:rPr>
          <w:rFonts w:ascii="Times New Roman;Times;serif" w:hAnsi="Times New Roman;Times;serif"/>
          <w:sz w:val="20"/>
        </w:rPr>
        <w:t xml:space="preserve"> respectively. At the end of each offering period, employees are able to purchase shares at 85 percent of the lower of the fair market value of the Company’s common stock on the </w:t>
      </w:r>
      <w:r>
        <w:rPr>
          <w:rStyle w:val="Emphasis"/>
          <w:rFonts w:ascii="Times New Roman;Times;serif" w:hAnsi="Times New Roman;Times;serif"/>
          <w:sz w:val="20"/>
        </w:rPr>
        <w:t>first</w:t>
      </w:r>
      <w:r>
        <w:rPr>
          <w:rFonts w:ascii="Times New Roman;Times;serif" w:hAnsi="Times New Roman;Times;serif"/>
          <w:sz w:val="20"/>
        </w:rPr>
        <w:t xml:space="preserve"> trading day of the offering period or on the last trading day of the offering period.</w:t>
      </w:r>
    </w:p>
    <w:p>
      <w:pPr>
        <w:pStyle w:val="TextBody"/>
        <w:spacing w:before="0" w:after="0"/>
        <w:ind w:left="0" w:right="0" w:hanging="0"/>
        <w:jc w:val="center"/>
        <w:rPr/>
      </w:pPr>
      <w:r>
        <w:rPr/>
        <w:t>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Stock-Based Compensation Expense</w:t>
      </w:r>
    </w:p>
    <w:p>
      <w:pPr>
        <w:pStyle w:val="TextBody"/>
        <w:spacing w:before="0" w:after="0"/>
        <w:ind w:left="0" w:right="0" w:hanging="0"/>
        <w:jc w:val="left"/>
        <w:rPr/>
      </w:pPr>
      <w:r>
        <w:rPr/>
        <w:t> </w:t>
      </w:r>
    </w:p>
    <w:p>
      <w:pPr>
        <w:pStyle w:val="TextBody"/>
        <w:spacing w:before="0" w:after="0"/>
        <w:ind w:left="0" w:right="0" w:hanging="0"/>
        <w:jc w:val="left"/>
        <w:rPr/>
      </w:pPr>
      <w:r>
        <w:rPr>
          <w:rFonts w:ascii="Times New Roman;Times;serif" w:hAnsi="Times New Roman;Times;serif"/>
          <w:sz w:val="20"/>
        </w:rPr>
        <w:t xml:space="preserve">Stock-based compensation expense was $3.7 million and $4.4 million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 March 31,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respectively.</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Stock Options</w:t>
      </w:r>
    </w:p>
    <w:p>
      <w:pPr>
        <w:pStyle w:val="TextBody"/>
        <w:spacing w:before="0" w:after="0"/>
        <w:ind w:left="0" w:right="0" w:hanging="0"/>
        <w:jc w:val="left"/>
        <w:rPr/>
      </w:pPr>
      <w:r>
        <w:rPr/>
        <w:t> </w:t>
      </w:r>
    </w:p>
    <w:p>
      <w:pPr>
        <w:pStyle w:val="TextBody"/>
        <w:spacing w:before="0" w:after="0"/>
        <w:ind w:left="0" w:right="0" w:hanging="0"/>
        <w:jc w:val="left"/>
        <w:rPr/>
      </w:pPr>
      <w:r>
        <w:rPr>
          <w:rFonts w:ascii="Times New Roman;Times;serif" w:hAnsi="Times New Roman;Times;serif"/>
          <w:sz w:val="20"/>
        </w:rPr>
        <w:t xml:space="preserve">The following table summarizes stock option activity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March 31, 2023</w:t>
      </w:r>
      <w:r>
        <w:rPr>
          <w:rFonts w:ascii="Times New Roman;Times;serif" w:hAnsi="Times New Roman;Times;serif"/>
          <w:sz w:val="20"/>
        </w:rPr>
        <w:t>:</w:t>
      </w:r>
    </w:p>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tbl>
      <w:tblPr>
        <w:tblW w:w="6153" w:type="dxa"/>
        <w:jc w:val="left"/>
        <w:tblInd w:w="0" w:type="dxa"/>
        <w:tblCellMar>
          <w:top w:w="0" w:type="dxa"/>
          <w:left w:w="0" w:type="dxa"/>
          <w:bottom w:w="0" w:type="dxa"/>
          <w:right w:w="0" w:type="dxa"/>
        </w:tblCellMar>
      </w:tblPr>
      <w:tblGrid>
        <w:gridCol w:w="3500"/>
        <w:gridCol w:w="60"/>
        <w:gridCol w:w="93"/>
        <w:gridCol w:w="1081"/>
        <w:gridCol w:w="80"/>
        <w:gridCol w:w="60"/>
        <w:gridCol w:w="212"/>
        <w:gridCol w:w="1007"/>
        <w:gridCol w:w="60"/>
      </w:tblGrid>
      <w:tr>
        <w:trPr/>
        <w:tc>
          <w:tcPr>
            <w:tcW w:w="35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3" w:type="dxa"/>
            <w:tcBorders/>
            <w:shd w:fill="FFFFFF" w:val="clear"/>
            <w:vAlign w:val="center"/>
          </w:tcPr>
          <w:p>
            <w:pPr>
              <w:pStyle w:val="TableContents"/>
              <w:spacing w:before="0" w:after="283"/>
              <w:rPr/>
            </w:pPr>
            <w:r>
              <w:rPr/>
              <w:t> </w:t>
            </w:r>
          </w:p>
        </w:tc>
        <w:tc>
          <w:tcPr>
            <w:tcW w:w="1081" w:type="dxa"/>
            <w:tcBorders/>
            <w:shd w:fill="FFFFFF" w:val="clear"/>
            <w:vAlign w:val="center"/>
          </w:tcPr>
          <w:p>
            <w:pPr>
              <w:pStyle w:val="TableContents"/>
              <w:spacing w:before="0" w:after="283"/>
              <w:jc w:val="center"/>
              <w:rPr/>
            </w:pPr>
            <w:r>
              <w:rPr>
                <w:rStyle w:val="Emphasis"/>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19"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Weighted-</w:t>
            </w:r>
          </w:p>
        </w:tc>
        <w:tc>
          <w:tcPr>
            <w:tcW w:w="60" w:type="dxa"/>
            <w:tcBorders/>
            <w:shd w:fill="FFFFFF" w:val="clear"/>
            <w:vAlign w:val="center"/>
          </w:tcPr>
          <w:p>
            <w:pPr>
              <w:pStyle w:val="TableContents"/>
              <w:spacing w:before="0" w:after="283"/>
              <w:rPr/>
            </w:pPr>
            <w:r>
              <w:rPr/>
              <w:t> </w:t>
            </w:r>
          </w:p>
        </w:tc>
      </w:tr>
      <w:tr>
        <w:trPr/>
        <w:tc>
          <w:tcPr>
            <w:tcW w:w="35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3" w:type="dxa"/>
            <w:tcBorders/>
            <w:shd w:fill="FFFFFF" w:val="clear"/>
            <w:vAlign w:val="center"/>
          </w:tcPr>
          <w:p>
            <w:pPr>
              <w:pStyle w:val="TableContents"/>
              <w:spacing w:before="0" w:after="283"/>
              <w:rPr/>
            </w:pPr>
            <w:r>
              <w:rPr/>
              <w:t> </w:t>
            </w:r>
          </w:p>
        </w:tc>
        <w:tc>
          <w:tcPr>
            <w:tcW w:w="1081" w:type="dxa"/>
            <w:tcBorders/>
            <w:shd w:fill="FFFFFF" w:val="clear"/>
            <w:vAlign w:val="center"/>
          </w:tcPr>
          <w:p>
            <w:pPr>
              <w:pStyle w:val="TableContents"/>
              <w:spacing w:before="0" w:after="283"/>
              <w:jc w:val="center"/>
              <w:rPr/>
            </w:pPr>
            <w:r>
              <w:rPr>
                <w:rStyle w:val="Emphasis"/>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19"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Average</w:t>
            </w:r>
          </w:p>
        </w:tc>
        <w:tc>
          <w:tcPr>
            <w:tcW w:w="60" w:type="dxa"/>
            <w:tcBorders/>
            <w:shd w:fill="FFFFFF" w:val="clear"/>
            <w:vAlign w:val="center"/>
          </w:tcPr>
          <w:p>
            <w:pPr>
              <w:pStyle w:val="TableContents"/>
              <w:spacing w:before="0" w:after="283"/>
              <w:rPr/>
            </w:pPr>
            <w:r>
              <w:rPr/>
              <w:t> </w:t>
            </w:r>
          </w:p>
        </w:tc>
      </w:tr>
      <w:tr>
        <w:trPr/>
        <w:tc>
          <w:tcPr>
            <w:tcW w:w="35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74"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Stock Options</w:t>
            </w:r>
          </w:p>
        </w:tc>
        <w:tc>
          <w:tcPr>
            <w:tcW w:w="80" w:type="dxa"/>
            <w:tcBorders/>
            <w:shd w:fill="FFFFFF" w:val="clear"/>
            <w:vAlign w:val="center"/>
          </w:tcPr>
          <w:p>
            <w:pPr>
              <w:pStyle w:val="TableContents"/>
              <w:spacing w:before="0" w:after="283"/>
              <w:rPr>
                <w:color w:val="000000"/>
              </w:rPr>
            </w:pPr>
            <w:r>
              <w:rPr>
                <w:color w:val="000000"/>
              </w:rPr>
              <w:t> </w:t>
            </w:r>
          </w:p>
        </w:tc>
        <w:tc>
          <w:tcPr>
            <w:tcW w:w="60" w:type="dxa"/>
            <w:tcBorders/>
            <w:shd w:fill="FFFFFF" w:val="clear"/>
            <w:vAlign w:val="center"/>
          </w:tcPr>
          <w:p>
            <w:pPr>
              <w:pStyle w:val="TableContents"/>
              <w:spacing w:before="0" w:after="283"/>
              <w:ind w:left="0" w:right="0" w:hanging="0"/>
              <w:rPr/>
            </w:pPr>
            <w:r>
              <w:rPr/>
              <w:t> </w:t>
            </w:r>
          </w:p>
        </w:tc>
        <w:tc>
          <w:tcPr>
            <w:tcW w:w="1219"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Exercise Price</w:t>
            </w:r>
          </w:p>
        </w:tc>
        <w:tc>
          <w:tcPr>
            <w:tcW w:w="60" w:type="dxa"/>
            <w:tcBorders/>
            <w:shd w:fill="FFFFFF" w:val="clear"/>
            <w:vAlign w:val="center"/>
          </w:tcPr>
          <w:p>
            <w:pPr>
              <w:pStyle w:val="TableContents"/>
              <w:spacing w:before="0" w:after="283"/>
              <w:rPr>
                <w:color w:val="000000"/>
              </w:rPr>
            </w:pPr>
            <w:r>
              <w:rPr>
                <w:color w:val="000000"/>
              </w:rPr>
              <w:t> </w:t>
            </w:r>
          </w:p>
        </w:tc>
      </w:tr>
      <w:tr>
        <w:trPr/>
        <w:tc>
          <w:tcPr>
            <w:tcW w:w="350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Options outstanding at December 31, 2022</w:t>
            </w:r>
          </w:p>
        </w:tc>
        <w:tc>
          <w:tcPr>
            <w:tcW w:w="6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ind w:left="0" w:right="0" w:hanging="0"/>
              <w:rPr/>
            </w:pPr>
            <w:r>
              <w:rPr/>
              <w:t> </w:t>
            </w:r>
          </w:p>
        </w:tc>
        <w:tc>
          <w:tcPr>
            <w:tcW w:w="1081"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263,992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12"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79.07</w:t>
            </w:r>
          </w:p>
        </w:tc>
        <w:tc>
          <w:tcPr>
            <w:tcW w:w="60" w:type="dxa"/>
            <w:tcBorders/>
            <w:shd w:fill="CCEEFF" w:val="clear"/>
            <w:vAlign w:val="center"/>
          </w:tcPr>
          <w:p>
            <w:pPr>
              <w:pStyle w:val="TableContents"/>
              <w:spacing w:before="0" w:after="283"/>
              <w:rPr/>
            </w:pPr>
            <w:r>
              <w:rPr/>
              <w:t> </w:t>
            </w:r>
          </w:p>
        </w:tc>
      </w:tr>
      <w:tr>
        <w:trPr/>
        <w:tc>
          <w:tcPr>
            <w:tcW w:w="3500"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spacing w:before="0" w:after="283"/>
              <w:rPr/>
            </w:pPr>
            <w:r>
              <w:rPr/>
              <w:t> </w:t>
            </w:r>
          </w:p>
        </w:tc>
        <w:tc>
          <w:tcPr>
            <w:tcW w:w="93" w:type="dxa"/>
            <w:tcBorders/>
            <w:shd w:fill="FFFFFF" w:val="clear"/>
            <w:vAlign w:val="center"/>
          </w:tcPr>
          <w:p>
            <w:pPr>
              <w:pStyle w:val="TableContents"/>
              <w:spacing w:before="0" w:after="283"/>
              <w:rPr/>
            </w:pPr>
            <w:r>
              <w:rPr/>
              <w:t> </w:t>
            </w:r>
          </w:p>
        </w:tc>
        <w:tc>
          <w:tcPr>
            <w:tcW w:w="1081"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134,647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2" w:type="dxa"/>
            <w:tcBorders/>
            <w:shd w:fill="FFFFFF" w:val="clear"/>
            <w:vAlign w:val="center"/>
          </w:tcPr>
          <w:p>
            <w:pPr>
              <w:pStyle w:val="TableContents"/>
              <w:spacing w:before="0" w:after="283"/>
              <w:rPr/>
            </w:pPr>
            <w:r>
              <w:rPr/>
              <w:t> </w:t>
            </w:r>
          </w:p>
        </w:tc>
        <w:tc>
          <w:tcPr>
            <w:tcW w:w="1007"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33.84</w:t>
            </w:r>
          </w:p>
        </w:tc>
        <w:tc>
          <w:tcPr>
            <w:tcW w:w="60" w:type="dxa"/>
            <w:tcBorders/>
            <w:shd w:fill="FFFFFF" w:val="clear"/>
            <w:vAlign w:val="center"/>
          </w:tcPr>
          <w:p>
            <w:pPr>
              <w:pStyle w:val="TableContents"/>
              <w:spacing w:before="0" w:after="283"/>
              <w:rPr/>
            </w:pPr>
            <w:r>
              <w:rPr/>
              <w:t> </w:t>
            </w:r>
          </w:p>
        </w:tc>
      </w:tr>
      <w:tr>
        <w:trPr/>
        <w:tc>
          <w:tcPr>
            <w:tcW w:w="350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Exercised</w:t>
            </w:r>
          </w:p>
        </w:tc>
        <w:tc>
          <w:tcPr>
            <w:tcW w:w="6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1081"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2" w:type="dxa"/>
            <w:tcBorders/>
            <w:shd w:fill="CCEEFF" w:val="clear"/>
            <w:vAlign w:val="center"/>
          </w:tcPr>
          <w:p>
            <w:pPr>
              <w:pStyle w:val="TableContents"/>
              <w:spacing w:before="0" w:after="283"/>
              <w:rPr/>
            </w:pPr>
            <w:r>
              <w:rPr/>
              <w:t> </w:t>
            </w:r>
          </w:p>
        </w:tc>
        <w:tc>
          <w:tcPr>
            <w:tcW w:w="1007"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r>
      <w:tr>
        <w:trPr/>
        <w:tc>
          <w:tcPr>
            <w:tcW w:w="3500"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Forfeited</w:t>
            </w:r>
          </w:p>
        </w:tc>
        <w:tc>
          <w:tcPr>
            <w:tcW w:w="60" w:type="dxa"/>
            <w:tcBorders/>
            <w:shd w:fill="FFFFFF" w:val="clear"/>
            <w:vAlign w:val="center"/>
          </w:tcPr>
          <w:p>
            <w:pPr>
              <w:pStyle w:val="TableContents"/>
              <w:spacing w:before="0" w:after="283"/>
              <w:ind w:left="0" w:right="0" w:hanging="0"/>
              <w:rPr/>
            </w:pPr>
            <w:r>
              <w:rPr/>
              <w:t> </w:t>
            </w:r>
          </w:p>
        </w:tc>
        <w:tc>
          <w:tcPr>
            <w:tcW w:w="93" w:type="dxa"/>
            <w:tcBorders/>
            <w:shd w:fill="FFFFFF" w:val="clear"/>
            <w:vAlign w:val="center"/>
          </w:tcPr>
          <w:p>
            <w:pPr>
              <w:pStyle w:val="TableContents"/>
              <w:spacing w:before="0" w:after="0"/>
              <w:ind w:left="0" w:right="0" w:hanging="0"/>
              <w:rPr/>
            </w:pPr>
            <w:r>
              <w:rPr/>
              <w:t> </w:t>
            </w:r>
          </w:p>
        </w:tc>
        <w:tc>
          <w:tcPr>
            <w:tcW w:w="1081"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(15,061</w:t>
            </w:r>
          </w:p>
        </w:tc>
        <w:tc>
          <w:tcPr>
            <w:tcW w:w="80"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212" w:type="dxa"/>
            <w:tcBorders/>
            <w:shd w:fill="FFFFFF" w:val="clear"/>
            <w:vAlign w:val="center"/>
          </w:tcPr>
          <w:p>
            <w:pPr>
              <w:pStyle w:val="TableContents"/>
              <w:spacing w:before="0" w:after="283"/>
              <w:rPr/>
            </w:pPr>
            <w:r>
              <w:rPr/>
              <w:t> </w:t>
            </w:r>
          </w:p>
        </w:tc>
        <w:tc>
          <w:tcPr>
            <w:tcW w:w="1007"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73.17</w:t>
            </w:r>
          </w:p>
        </w:tc>
        <w:tc>
          <w:tcPr>
            <w:tcW w:w="60" w:type="dxa"/>
            <w:tcBorders/>
            <w:shd w:fill="FFFFFF" w:val="clear"/>
            <w:vAlign w:val="center"/>
          </w:tcPr>
          <w:p>
            <w:pPr>
              <w:pStyle w:val="TableContents"/>
              <w:spacing w:before="0" w:after="283"/>
              <w:rPr/>
            </w:pPr>
            <w:r>
              <w:rPr/>
              <w:t> </w:t>
            </w:r>
          </w:p>
        </w:tc>
      </w:tr>
      <w:tr>
        <w:trPr/>
        <w:tc>
          <w:tcPr>
            <w:tcW w:w="350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Expired</w:t>
            </w:r>
          </w:p>
        </w:tc>
        <w:tc>
          <w:tcPr>
            <w:tcW w:w="60" w:type="dxa"/>
            <w:tcBorders/>
            <w:shd w:fill="CCEEFF" w:val="clear"/>
            <w:vAlign w:val="center"/>
          </w:tcPr>
          <w:p>
            <w:pPr>
              <w:pStyle w:val="TableContents"/>
              <w:spacing w:before="0" w:after="283"/>
              <w:ind w:left="0" w:right="0" w:hanging="0"/>
              <w:rPr/>
            </w:pPr>
            <w:r>
              <w:rPr/>
              <w:t> </w:t>
            </w:r>
          </w:p>
        </w:tc>
        <w:tc>
          <w:tcPr>
            <w:tcW w:w="9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(672</w:t>
            </w:r>
          </w:p>
        </w:tc>
        <w:tc>
          <w:tcPr>
            <w:tcW w:w="80" w:type="dxa"/>
            <w:tcBorders>
              <w:bottom w:val="single" w:sz="2" w:space="0" w:color="000000"/>
            </w:tcBorders>
            <w:shd w:fill="CCEEFF" w:val="clear"/>
            <w:tcMar>
              <w:bottom w:w="28" w:type="dxa"/>
            </w:tcM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212" w:type="dxa"/>
            <w:tcBorders/>
            <w:shd w:fill="CCEEFF" w:val="clear"/>
            <w:vAlign w:val="center"/>
          </w:tcPr>
          <w:p>
            <w:pPr>
              <w:pStyle w:val="TableContents"/>
              <w:spacing w:before="0" w:after="283"/>
              <w:rPr/>
            </w:pPr>
            <w:r>
              <w:rPr/>
              <w:t> </w:t>
            </w:r>
          </w:p>
        </w:tc>
        <w:tc>
          <w:tcPr>
            <w:tcW w:w="1007"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108.33</w:t>
            </w:r>
          </w:p>
        </w:tc>
        <w:tc>
          <w:tcPr>
            <w:tcW w:w="60" w:type="dxa"/>
            <w:tcBorders/>
            <w:shd w:fill="CCEEFF" w:val="clear"/>
            <w:vAlign w:val="center"/>
          </w:tcPr>
          <w:p>
            <w:pPr>
              <w:pStyle w:val="TableContents"/>
              <w:spacing w:before="0" w:after="283"/>
              <w:rPr/>
            </w:pPr>
            <w:r>
              <w:rPr/>
              <w:t> </w:t>
            </w:r>
          </w:p>
        </w:tc>
      </w:tr>
      <w:tr>
        <w:trPr/>
        <w:tc>
          <w:tcPr>
            <w:tcW w:w="3500"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Options outstanding at March 31, 2023</w:t>
            </w:r>
          </w:p>
        </w:tc>
        <w:tc>
          <w:tcPr>
            <w:tcW w:w="60" w:type="dxa"/>
            <w:tcBorders/>
            <w:shd w:fill="FFFFFF" w:val="clear"/>
            <w:vAlign w:val="center"/>
          </w:tcPr>
          <w:p>
            <w:pPr>
              <w:pStyle w:val="TableContents"/>
              <w:spacing w:before="0" w:after="0"/>
              <w:ind w:left="0" w:right="0" w:hanging="0"/>
              <w:rPr/>
            </w:pPr>
            <w:r>
              <w:rPr/>
              <w:t> </w:t>
            </w:r>
          </w:p>
        </w:tc>
        <w:tc>
          <w:tcPr>
            <w:tcW w:w="93"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1081" w:type="dxa"/>
            <w:tcBorders>
              <w:bottom w:val="double" w:sz="6" w:space="0" w:color="000000"/>
            </w:tcBorders>
            <w:shd w:fill="FFFF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382,906</w:t>
            </w:r>
          </w:p>
        </w:tc>
        <w:tc>
          <w:tcPr>
            <w:tcW w:w="80" w:type="dxa"/>
            <w:tcBorders>
              <w:bottom w:val="double" w:sz="6" w:space="0" w:color="000000"/>
            </w:tcBorders>
            <w:shd w:fill="FFFFFF" w:val="clear"/>
            <w:tcMar>
              <w:bottom w:w="28" w:type="dxa"/>
            </w:tcMar>
            <w:vAlign w:val="center"/>
          </w:tcPr>
          <w:p>
            <w:pPr>
              <w:pStyle w:val="TableContents"/>
              <w:spacing w:before="0" w:after="0"/>
              <w:rPr/>
            </w:pPr>
            <w:r>
              <w:rPr/>
              <w:t> </w:t>
            </w:r>
          </w:p>
        </w:tc>
        <w:tc>
          <w:tcPr>
            <w:tcW w:w="60" w:type="dxa"/>
            <w:tcBorders/>
            <w:shd w:fill="FFFFFF" w:val="clear"/>
            <w:vAlign w:val="center"/>
          </w:tcPr>
          <w:p>
            <w:pPr>
              <w:pStyle w:val="TableContents"/>
              <w:spacing w:before="0" w:after="283"/>
              <w:rPr/>
            </w:pPr>
            <w:r>
              <w:rPr/>
              <w:t> </w:t>
            </w:r>
          </w:p>
        </w:tc>
        <w:tc>
          <w:tcPr>
            <w:tcW w:w="212"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007"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63.34</w:t>
            </w:r>
          </w:p>
        </w:tc>
        <w:tc>
          <w:tcPr>
            <w:tcW w:w="60" w:type="dxa"/>
            <w:tcBorders/>
            <w:shd w:fill="FFFFFF" w:val="clear"/>
            <w:vAlign w:val="center"/>
          </w:tcPr>
          <w:p>
            <w:pPr>
              <w:pStyle w:val="TableContents"/>
              <w:spacing w:before="0" w:after="283"/>
              <w:rPr/>
            </w:pPr>
            <w:r>
              <w:rPr/>
              <w:t> </w:t>
            </w:r>
          </w:p>
        </w:tc>
      </w:tr>
      <w:tr>
        <w:trPr/>
        <w:tc>
          <w:tcPr>
            <w:tcW w:w="35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1081"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2" w:type="dxa"/>
            <w:tcBorders/>
            <w:shd w:fill="CCEEFF" w:val="clear"/>
            <w:vAlign w:val="center"/>
          </w:tcPr>
          <w:p>
            <w:pPr>
              <w:pStyle w:val="TableContents"/>
              <w:spacing w:before="0" w:after="283"/>
              <w:rPr/>
            </w:pPr>
            <w:r>
              <w:rPr/>
              <w:t> </w:t>
            </w:r>
          </w:p>
        </w:tc>
        <w:tc>
          <w:tcPr>
            <w:tcW w:w="100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r>
      <w:tr>
        <w:trPr/>
        <w:tc>
          <w:tcPr>
            <w:tcW w:w="3500"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Exercisable at March 31, 2023</w:t>
            </w:r>
          </w:p>
        </w:tc>
        <w:tc>
          <w:tcPr>
            <w:tcW w:w="60" w:type="dxa"/>
            <w:tcBorders/>
            <w:shd w:fill="FFFFFF" w:val="clear"/>
            <w:vAlign w:val="center"/>
          </w:tcPr>
          <w:p>
            <w:pPr>
              <w:pStyle w:val="TableContents"/>
              <w:spacing w:before="0" w:after="283"/>
              <w:ind w:left="0" w:right="0" w:hanging="0"/>
              <w:rPr/>
            </w:pPr>
            <w:r>
              <w:rPr/>
              <w:t> </w:t>
            </w:r>
          </w:p>
        </w:tc>
        <w:tc>
          <w:tcPr>
            <w:tcW w:w="93"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1081" w:type="dxa"/>
            <w:tcBorders>
              <w:bottom w:val="double" w:sz="6" w:space="0" w:color="000000"/>
            </w:tcBorders>
            <w:shd w:fill="FFFF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120,344</w:t>
            </w:r>
          </w:p>
        </w:tc>
        <w:tc>
          <w:tcPr>
            <w:tcW w:w="80" w:type="dxa"/>
            <w:tcBorders>
              <w:bottom w:val="double" w:sz="6" w:space="0" w:color="000000"/>
            </w:tcBorders>
            <w:shd w:fill="FFFFFF" w:val="clear"/>
            <w:tcMar>
              <w:bottom w:w="28" w:type="dxa"/>
            </w:tcMar>
            <w:vAlign w:val="center"/>
          </w:tcPr>
          <w:p>
            <w:pPr>
              <w:pStyle w:val="TableContents"/>
              <w:spacing w:before="0" w:after="0"/>
              <w:rPr/>
            </w:pPr>
            <w:r>
              <w:rPr/>
              <w:t> </w:t>
            </w:r>
          </w:p>
        </w:tc>
        <w:tc>
          <w:tcPr>
            <w:tcW w:w="60" w:type="dxa"/>
            <w:tcBorders/>
            <w:shd w:fill="FFFFFF" w:val="clear"/>
            <w:vAlign w:val="center"/>
          </w:tcPr>
          <w:p>
            <w:pPr>
              <w:pStyle w:val="TableContents"/>
              <w:spacing w:before="0" w:after="283"/>
              <w:rPr/>
            </w:pPr>
            <w:r>
              <w:rPr/>
              <w:t> </w:t>
            </w:r>
          </w:p>
        </w:tc>
        <w:tc>
          <w:tcPr>
            <w:tcW w:w="212"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007"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89.42</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p>
      <w:pPr>
        <w:pStyle w:val="TextBody"/>
        <w:spacing w:before="0" w:after="0"/>
        <w:ind w:left="0" w:right="0" w:hanging="0"/>
        <w:jc w:val="left"/>
        <w:rPr/>
      </w:pPr>
      <w:r>
        <w:rPr>
          <w:rFonts w:ascii="Times New Roman;Times;serif" w:hAnsi="Times New Roman;Times;serif"/>
          <w:sz w:val="20"/>
        </w:rPr>
        <w:t xml:space="preserve">The outstanding options generally have a term of ten years. For employees, options granted become exercisable ratably over the vesting period, which is generally a period of four years, beginning on the </w:t>
      </w:r>
      <w:r>
        <w:rPr>
          <w:rStyle w:val="Emphasis"/>
          <w:rFonts w:ascii="Times New Roman;Times;serif" w:hAnsi="Times New Roman;Times;serif"/>
          <w:sz w:val="20"/>
        </w:rPr>
        <w:t>first</w:t>
      </w:r>
      <w:r>
        <w:rPr>
          <w:rFonts w:ascii="Times New Roman;Times;serif" w:hAnsi="Times New Roman;Times;serif"/>
          <w:sz w:val="20"/>
        </w:rPr>
        <w:t xml:space="preserve"> anniversary of the grant date, subject to the employee’s continuing service to the Company.</w:t>
      </w:r>
    </w:p>
    <w:p>
      <w:pPr>
        <w:pStyle w:val="TextBody"/>
        <w:spacing w:before="0" w:after="0"/>
        <w:ind w:left="0" w:right="0" w:hanging="0"/>
        <w:jc w:val="left"/>
        <w:rPr/>
      </w:pPr>
      <w:r>
        <w:rPr/>
        <w:t> </w:t>
      </w:r>
    </w:p>
    <w:p>
      <w:pPr>
        <w:pStyle w:val="TextBody"/>
        <w:spacing w:before="0" w:after="0"/>
        <w:ind w:left="0" w:right="0" w:hanging="0"/>
        <w:jc w:val="left"/>
        <w:rPr/>
      </w:pPr>
      <w:r>
        <w:rPr>
          <w:rFonts w:ascii="Times New Roman;Times;serif" w:hAnsi="Times New Roman;Times;serif"/>
          <w:sz w:val="20"/>
        </w:rPr>
        <w:t>The weighted-average grant date fair value of options that were granted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March 31, 2023</w:t>
      </w:r>
      <w:r>
        <w:rPr>
          <w:rFonts w:ascii="Times New Roman;Times;serif" w:hAnsi="Times New Roman;Times;serif"/>
          <w:sz w:val="20"/>
        </w:rPr>
        <w:t xml:space="preserve"> was $16.21.</w:t>
      </w:r>
    </w:p>
    <w:p>
      <w:pPr>
        <w:pStyle w:val="TextBody"/>
        <w:spacing w:before="0" w:after="0"/>
        <w:ind w:left="0" w:right="0" w:hanging="0"/>
        <w:jc w:val="left"/>
        <w:rPr/>
      </w:pPr>
      <w:r>
        <w:rPr/>
        <w:t> </w:t>
      </w:r>
    </w:p>
    <w:p>
      <w:pPr>
        <w:pStyle w:val="TextBody"/>
        <w:spacing w:before="0" w:after="0"/>
        <w:ind w:left="0" w:right="0" w:hanging="0"/>
        <w:jc w:val="left"/>
        <w:rPr/>
      </w:pPr>
      <w:r>
        <w:rPr>
          <w:rFonts w:ascii="Times New Roman;Times;serif" w:hAnsi="Times New Roman;Times;serif"/>
          <w:sz w:val="20"/>
        </w:rPr>
        <w:t>The following table provides the assumptions used in the Black-Scholes pricing model valuation of options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March 31,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w:t>
      </w:r>
    </w:p>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tbl>
      <w:tblPr>
        <w:tblW w:w="4836" w:type="dxa"/>
        <w:jc w:val="left"/>
        <w:tblInd w:w="0" w:type="dxa"/>
        <w:tblCellMar>
          <w:top w:w="0" w:type="dxa"/>
          <w:left w:w="0" w:type="dxa"/>
          <w:bottom w:w="0" w:type="dxa"/>
          <w:right w:w="0" w:type="dxa"/>
        </w:tblCellMar>
      </w:tblPr>
      <w:tblGrid>
        <w:gridCol w:w="2045"/>
        <w:gridCol w:w="60"/>
        <w:gridCol w:w="68"/>
        <w:gridCol w:w="1639"/>
        <w:gridCol w:w="68"/>
        <w:gridCol w:w="68"/>
        <w:gridCol w:w="68"/>
        <w:gridCol w:w="745"/>
        <w:gridCol w:w="75"/>
      </w:tblGrid>
      <w:tr>
        <w:trPr/>
        <w:tc>
          <w:tcPr>
            <w:tcW w:w="20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656"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75"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0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07"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20"/>
              </w:rPr>
              <w:t>2023</w:t>
            </w:r>
          </w:p>
        </w:tc>
        <w:tc>
          <w:tcPr>
            <w:tcW w:w="68" w:type="dxa"/>
            <w:tcBorders>
              <w:bottom w:val="single" w:sz="2" w:space="0" w:color="000000"/>
            </w:tcBorders>
            <w:shd w:fill="FFFFFF" w:val="clear"/>
            <w:tcMar>
              <w:bottom w:w="28" w:type="dxa"/>
            </w:tcMar>
            <w:vAlign w:val="center"/>
          </w:tcPr>
          <w:p>
            <w:pPr>
              <w:pStyle w:val="TableContents"/>
              <w:spacing w:before="0" w:after="283"/>
              <w:rPr/>
            </w:pPr>
            <w:r>
              <w:rPr/>
              <w:t> </w:t>
            </w:r>
          </w:p>
        </w:tc>
        <w:tc>
          <w:tcPr>
            <w:tcW w:w="68" w:type="dxa"/>
            <w:tcBorders/>
            <w:shd w:fill="FFFFFF" w:val="clear"/>
            <w:vAlign w:val="center"/>
          </w:tcPr>
          <w:p>
            <w:pPr>
              <w:pStyle w:val="TableContents"/>
              <w:spacing w:before="0" w:after="283"/>
              <w:ind w:left="0" w:right="0" w:hanging="0"/>
              <w:rPr/>
            </w:pPr>
            <w:r>
              <w:rPr/>
              <w:t> </w:t>
            </w:r>
          </w:p>
        </w:tc>
        <w:tc>
          <w:tcPr>
            <w:tcW w:w="813"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20"/>
              </w:rPr>
              <w:t>2022</w:t>
            </w:r>
          </w:p>
        </w:tc>
        <w:tc>
          <w:tcPr>
            <w:tcW w:w="75"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045"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ind w:left="0" w:right="0" w:hanging="0"/>
              <w:rPr/>
            </w:pPr>
            <w:r>
              <w:rPr/>
              <w:t> </w:t>
            </w:r>
          </w:p>
        </w:tc>
        <w:tc>
          <w:tcPr>
            <w:tcW w:w="1639"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3.90% - 4.55%</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ind w:left="0" w:right="0" w:hanging="0"/>
              <w:rPr/>
            </w:pPr>
            <w:r>
              <w:rPr/>
              <w:t> </w:t>
            </w:r>
          </w:p>
        </w:tc>
        <w:tc>
          <w:tcPr>
            <w:tcW w:w="745"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1.94%</w:t>
            </w:r>
          </w:p>
        </w:tc>
        <w:tc>
          <w:tcPr>
            <w:tcW w:w="75" w:type="dxa"/>
            <w:tcBorders/>
            <w:shd w:fill="CCEEFF" w:val="clear"/>
            <w:vAlign w:val="center"/>
          </w:tcPr>
          <w:p>
            <w:pPr>
              <w:pStyle w:val="TableContents"/>
              <w:spacing w:before="0" w:after="283"/>
              <w:rPr/>
            </w:pPr>
            <w:r>
              <w:rPr/>
              <w:t> </w:t>
            </w:r>
          </w:p>
        </w:tc>
      </w:tr>
      <w:tr>
        <w:trPr/>
        <w:tc>
          <w:tcPr>
            <w:tcW w:w="2045" w:type="dxa"/>
            <w:tcBorders/>
            <w:shd w:fill="FFFF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life (years)</w:t>
            </w:r>
          </w:p>
        </w:tc>
        <w:tc>
          <w:tcPr>
            <w:tcW w:w="60"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ind w:left="0" w:right="0" w:hanging="0"/>
              <w:rPr/>
            </w:pPr>
            <w:r>
              <w:rPr/>
              <w:t> </w:t>
            </w:r>
          </w:p>
        </w:tc>
        <w:tc>
          <w:tcPr>
            <w:tcW w:w="1639" w:type="dxa"/>
            <w:tcBorders/>
            <w:shd w:fill="FFFFFF" w:val="clear"/>
            <w:vAlign w:val="center"/>
          </w:tcPr>
          <w:p>
            <w:pPr>
              <w:pStyle w:val="TableContents"/>
              <w:spacing w:before="0" w:after="283"/>
              <w:ind w:left="0" w:right="0" w:hanging="0"/>
              <w:jc w:val="center"/>
              <w:rPr>
                <w:rFonts w:ascii="Times New Roman;Times;serif" w:hAnsi="Times New Roman;Times;serif"/>
                <w:sz w:val="20"/>
              </w:rPr>
            </w:pPr>
            <w:r>
              <w:rPr>
                <w:rFonts w:ascii="Times New Roman;Times;serif" w:hAnsi="Times New Roman;Times;serif"/>
                <w:sz w:val="20"/>
              </w:rPr>
              <w:t>2.00 - 6.25</w:t>
            </w:r>
          </w:p>
        </w:tc>
        <w:tc>
          <w:tcPr>
            <w:tcW w:w="68"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ind w:left="0" w:right="0" w:hanging="0"/>
              <w:rPr/>
            </w:pPr>
            <w:r>
              <w:rPr/>
              <w:t> </w:t>
            </w:r>
          </w:p>
        </w:tc>
        <w:tc>
          <w:tcPr>
            <w:tcW w:w="745" w:type="dxa"/>
            <w:tcBorders/>
            <w:shd w:fill="FFFFFF" w:val="clear"/>
            <w:vAlign w:val="center"/>
          </w:tcPr>
          <w:p>
            <w:pPr>
              <w:pStyle w:val="TableContents"/>
              <w:spacing w:before="0" w:after="283"/>
              <w:ind w:left="0" w:right="0" w:hanging="0"/>
              <w:jc w:val="center"/>
              <w:rPr>
                <w:rFonts w:ascii="Times New Roman;Times;serif" w:hAnsi="Times New Roman;Times;serif"/>
                <w:sz w:val="20"/>
              </w:rPr>
            </w:pPr>
            <w:r>
              <w:rPr>
                <w:rFonts w:ascii="Times New Roman;Times;serif" w:hAnsi="Times New Roman;Times;serif"/>
                <w:sz w:val="20"/>
              </w:rPr>
              <w:t>6.25</w:t>
            </w:r>
          </w:p>
        </w:tc>
        <w:tc>
          <w:tcPr>
            <w:tcW w:w="75" w:type="dxa"/>
            <w:tcBorders/>
            <w:shd w:fill="FFFFFF" w:val="clear"/>
            <w:vAlign w:val="center"/>
          </w:tcPr>
          <w:p>
            <w:pPr>
              <w:pStyle w:val="TableContents"/>
              <w:spacing w:before="0" w:after="283"/>
              <w:rPr/>
            </w:pPr>
            <w:r>
              <w:rPr/>
              <w:t> </w:t>
            </w:r>
          </w:p>
        </w:tc>
      </w:tr>
      <w:tr>
        <w:trPr/>
        <w:tc>
          <w:tcPr>
            <w:tcW w:w="2045"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volatility</w:t>
            </w:r>
          </w:p>
        </w:tc>
        <w:tc>
          <w:tcPr>
            <w:tcW w:w="6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ind w:left="0" w:right="0" w:hanging="0"/>
              <w:rPr/>
            </w:pPr>
            <w:r>
              <w:rPr/>
              <w:t> </w:t>
            </w:r>
          </w:p>
        </w:tc>
        <w:tc>
          <w:tcPr>
            <w:tcW w:w="1639"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49.23% - 55.92%</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ind w:left="0" w:right="0" w:hanging="0"/>
              <w:rPr/>
            </w:pPr>
            <w:r>
              <w:rPr/>
              <w:t> </w:t>
            </w:r>
          </w:p>
        </w:tc>
        <w:tc>
          <w:tcPr>
            <w:tcW w:w="745"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45.95%</w:t>
            </w:r>
          </w:p>
        </w:tc>
        <w:tc>
          <w:tcPr>
            <w:tcW w:w="75" w:type="dxa"/>
            <w:tcBorders/>
            <w:shd w:fill="CCEEFF" w:val="clear"/>
            <w:vAlign w:val="center"/>
          </w:tcPr>
          <w:p>
            <w:pPr>
              <w:pStyle w:val="TableContents"/>
              <w:spacing w:before="0" w:after="283"/>
              <w:rPr/>
            </w:pPr>
            <w:r>
              <w:rPr/>
              <w:t> </w:t>
            </w:r>
          </w:p>
        </w:tc>
      </w:tr>
      <w:tr>
        <w:trPr/>
        <w:tc>
          <w:tcPr>
            <w:tcW w:w="2045" w:type="dxa"/>
            <w:tcBorders/>
            <w:shd w:fill="FFFF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dividend yield</w:t>
            </w:r>
          </w:p>
        </w:tc>
        <w:tc>
          <w:tcPr>
            <w:tcW w:w="60"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ind w:left="0" w:right="0" w:hanging="0"/>
              <w:rPr/>
            </w:pPr>
            <w:r>
              <w:rPr/>
              <w:t> </w:t>
            </w:r>
          </w:p>
        </w:tc>
        <w:tc>
          <w:tcPr>
            <w:tcW w:w="1639"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68"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ind w:left="0" w:right="0" w:hanging="0"/>
              <w:rPr/>
            </w:pPr>
            <w:r>
              <w:rPr/>
              <w:t> </w:t>
            </w:r>
          </w:p>
        </w:tc>
        <w:tc>
          <w:tcPr>
            <w:tcW w:w="745"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5" w:type="dxa"/>
            <w:tcBorders/>
            <w:shd w:fill="FFFFFF" w:val="clear"/>
            <w:vAlign w:val="center"/>
          </w:tcPr>
          <w:p>
            <w:pPr>
              <w:pStyle w:val="TableContents"/>
              <w:spacing w:before="0" w:after="283"/>
              <w:rPr/>
            </w:pPr>
            <w:r>
              <w:rPr/>
              <w:t> </w:t>
            </w:r>
          </w:p>
        </w:tc>
      </w:tr>
    </w:tbl>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center"/>
        <w:rPr/>
      </w:pPr>
      <w:r>
        <w:rPr/>
        <w:t> </w:t>
      </w:r>
    </w:p>
    <w:p>
      <w:pPr>
        <w:pStyle w:val="TextBody"/>
        <w:spacing w:before="0" w:after="0"/>
        <w:ind w:left="0" w:right="0" w:hanging="0"/>
        <w:jc w:val="left"/>
        <w:rPr/>
      </w:pPr>
      <w:r>
        <w:rPr>
          <w:rFonts w:ascii="Times New Roman;Times;serif" w:hAnsi="Times New Roman;Times;serif"/>
          <w:sz w:val="20"/>
        </w:rPr>
        <w:t xml:space="preserve">As of </w:t>
      </w:r>
      <w:r>
        <w:rPr>
          <w:rStyle w:val="Emphasis"/>
          <w:rFonts w:ascii="Times New Roman;Times;serif" w:hAnsi="Times New Roman;Times;serif"/>
          <w:sz w:val="20"/>
        </w:rPr>
        <w:t>March 31, 2023</w:t>
      </w:r>
      <w:r>
        <w:rPr>
          <w:rFonts w:ascii="Times New Roman;Times;serif" w:hAnsi="Times New Roman;Times;serif"/>
          <w:sz w:val="20"/>
        </w:rPr>
        <w:t>, there was $5.3 million of unrecognized compensation expense related to unvested stock options, which is expected to be recognized over a weighted-average period of 2.8 years.</w:t>
      </w:r>
    </w:p>
    <w:p>
      <w:pPr>
        <w:pStyle w:val="TextBody"/>
        <w:spacing w:before="0" w:after="0"/>
        <w:ind w:left="0" w:right="0" w:hanging="0"/>
        <w:jc w:val="left"/>
        <w:rPr/>
      </w:pPr>
      <w:r>
        <w:rPr/>
        <w:t> </w:t>
      </w:r>
    </w:p>
    <w:p>
      <w:pPr>
        <w:pStyle w:val="TextBody"/>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Restricted Stock </w:t>
      </w:r>
    </w:p>
    <w:p>
      <w:pPr>
        <w:pStyle w:val="TextBody"/>
        <w:spacing w:before="0" w:after="0"/>
        <w:ind w:left="0" w:right="0" w:hanging="0"/>
        <w:jc w:val="left"/>
        <w:rPr/>
      </w:pPr>
      <w:r>
        <w:rPr/>
        <w:t> </w:t>
      </w:r>
    </w:p>
    <w:p>
      <w:pPr>
        <w:pStyle w:val="TextBody"/>
        <w:spacing w:before="0" w:after="0"/>
        <w:ind w:left="0" w:right="0" w:hanging="0"/>
        <w:jc w:val="left"/>
        <w:rPr/>
      </w:pPr>
      <w:r>
        <w:rPr>
          <w:rFonts w:ascii="Times New Roman;Times;serif" w:hAnsi="Times New Roman;Times;serif"/>
          <w:sz w:val="20"/>
        </w:rPr>
        <w:t xml:space="preserve">Restricted stock awards are share-settled awards and restrictions lapse ratably over the vesting period, which is generally a period from three to four years, beginning on the </w:t>
      </w:r>
      <w:r>
        <w:rPr>
          <w:rStyle w:val="Emphasis"/>
          <w:rFonts w:ascii="Times New Roman;Times;serif" w:hAnsi="Times New Roman;Times;serif"/>
          <w:sz w:val="20"/>
        </w:rPr>
        <w:t>first</w:t>
      </w:r>
      <w:r>
        <w:rPr>
          <w:rFonts w:ascii="Times New Roman;Times;serif" w:hAnsi="Times New Roman;Times;serif"/>
          <w:sz w:val="20"/>
        </w:rPr>
        <w:t xml:space="preserve"> anniversary of the grant date, subject to the employee's continuing service to the Company. For the board of directors, restrictions generally lapse in full on the </w:t>
      </w:r>
      <w:r>
        <w:rPr>
          <w:rStyle w:val="Emphasis"/>
          <w:rFonts w:ascii="Times New Roman;Times;serif" w:hAnsi="Times New Roman;Times;serif"/>
          <w:sz w:val="20"/>
        </w:rPr>
        <w:t>first</w:t>
      </w:r>
      <w:r>
        <w:rPr>
          <w:rFonts w:ascii="Times New Roman;Times;serif" w:hAnsi="Times New Roman;Times;serif"/>
          <w:sz w:val="20"/>
        </w:rPr>
        <w:t xml:space="preserve"> anniversary of the grant date. </w:t>
      </w:r>
    </w:p>
    <w:p>
      <w:pPr>
        <w:pStyle w:val="TextBody"/>
        <w:spacing w:before="0" w:after="0"/>
        <w:ind w:left="0" w:right="0" w:hanging="0"/>
        <w:jc w:val="left"/>
        <w:rPr/>
      </w:pPr>
      <w:r>
        <w:rPr/>
        <w:t> </w:t>
      </w:r>
    </w:p>
    <w:p>
      <w:pPr>
        <w:pStyle w:val="TextBody"/>
        <w:spacing w:before="0" w:after="0"/>
        <w:ind w:left="0" w:right="0" w:hanging="0"/>
        <w:jc w:val="left"/>
        <w:rPr/>
      </w:pPr>
      <w:r>
        <w:rPr>
          <w:rFonts w:ascii="Times New Roman;Times;serif" w:hAnsi="Times New Roman;Times;serif"/>
          <w:sz w:val="20"/>
        </w:rPr>
        <w:t xml:space="preserve">The following table summarizes restricted stock activity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March 31, 2023</w:t>
      </w:r>
      <w:r>
        <w:rPr>
          <w:rFonts w:ascii="Times New Roman;Times;serif" w:hAnsi="Times New Roman;Times;serif"/>
          <w:sz w:val="20"/>
        </w:rPr>
        <w:t>:</w:t>
      </w:r>
    </w:p>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tbl>
      <w:tblPr>
        <w:tblW w:w="5194" w:type="dxa"/>
        <w:jc w:val="left"/>
        <w:tblInd w:w="0" w:type="dxa"/>
        <w:tblCellMar>
          <w:top w:w="0" w:type="dxa"/>
          <w:left w:w="0" w:type="dxa"/>
          <w:bottom w:w="0" w:type="dxa"/>
          <w:right w:w="0" w:type="dxa"/>
        </w:tblCellMar>
      </w:tblPr>
      <w:tblGrid>
        <w:gridCol w:w="3140"/>
        <w:gridCol w:w="60"/>
        <w:gridCol w:w="68"/>
        <w:gridCol w:w="792"/>
        <w:gridCol w:w="80"/>
        <w:gridCol w:w="60"/>
        <w:gridCol w:w="162"/>
        <w:gridCol w:w="772"/>
        <w:gridCol w:w="60"/>
      </w:tblGrid>
      <w:tr>
        <w:trPr/>
        <w:tc>
          <w:tcPr>
            <w:tcW w:w="31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rPr/>
            </w:pPr>
            <w:r>
              <w:rPr/>
              <w:t> </w:t>
            </w:r>
          </w:p>
        </w:tc>
        <w:tc>
          <w:tcPr>
            <w:tcW w:w="792" w:type="dxa"/>
            <w:tcBorders/>
            <w:shd w:fill="FFFFFF" w:val="clear"/>
            <w:vAlign w:val="center"/>
          </w:tcPr>
          <w:p>
            <w:pPr>
              <w:pStyle w:val="TableContents"/>
              <w:spacing w:before="0" w:after="283"/>
              <w:jc w:val="center"/>
              <w:rPr/>
            </w:pPr>
            <w:r>
              <w:rPr>
                <w:rStyle w:val="Emphasis"/>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34"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Weighted-</w:t>
            </w:r>
          </w:p>
        </w:tc>
        <w:tc>
          <w:tcPr>
            <w:tcW w:w="60" w:type="dxa"/>
            <w:tcBorders/>
            <w:shd w:fill="FFFFFF" w:val="clear"/>
            <w:vAlign w:val="center"/>
          </w:tcPr>
          <w:p>
            <w:pPr>
              <w:pStyle w:val="TableContents"/>
              <w:spacing w:before="0" w:after="283"/>
              <w:rPr/>
            </w:pPr>
            <w:r>
              <w:rPr/>
              <w:t> </w:t>
            </w:r>
          </w:p>
        </w:tc>
      </w:tr>
      <w:tr>
        <w:trPr/>
        <w:tc>
          <w:tcPr>
            <w:tcW w:w="31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rPr/>
            </w:pPr>
            <w:r>
              <w:rPr/>
              <w:t> </w:t>
            </w:r>
          </w:p>
        </w:tc>
        <w:tc>
          <w:tcPr>
            <w:tcW w:w="792" w:type="dxa"/>
            <w:tcBorders/>
            <w:shd w:fill="FFFFFF" w:val="clear"/>
            <w:vAlign w:val="center"/>
          </w:tcPr>
          <w:p>
            <w:pPr>
              <w:pStyle w:val="TableContents"/>
              <w:spacing w:before="0" w:after="283"/>
              <w:jc w:val="center"/>
              <w:rPr/>
            </w:pPr>
            <w:r>
              <w:rPr>
                <w:rStyle w:val="Emphasis"/>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34"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Average</w:t>
            </w:r>
          </w:p>
        </w:tc>
        <w:tc>
          <w:tcPr>
            <w:tcW w:w="60" w:type="dxa"/>
            <w:tcBorders/>
            <w:shd w:fill="FFFFFF" w:val="clear"/>
            <w:vAlign w:val="center"/>
          </w:tcPr>
          <w:p>
            <w:pPr>
              <w:pStyle w:val="TableContents"/>
              <w:spacing w:before="0" w:after="283"/>
              <w:rPr/>
            </w:pPr>
            <w:r>
              <w:rPr/>
              <w:t> </w:t>
            </w:r>
          </w:p>
        </w:tc>
      </w:tr>
      <w:tr>
        <w:trPr/>
        <w:tc>
          <w:tcPr>
            <w:tcW w:w="31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rPr/>
            </w:pPr>
            <w:r>
              <w:rPr/>
              <w:t> </w:t>
            </w:r>
          </w:p>
        </w:tc>
        <w:tc>
          <w:tcPr>
            <w:tcW w:w="792" w:type="dxa"/>
            <w:tcBorders/>
            <w:shd w:fill="FFFFFF" w:val="clear"/>
            <w:vAlign w:val="center"/>
          </w:tcPr>
          <w:p>
            <w:pPr>
              <w:pStyle w:val="TableContents"/>
              <w:spacing w:before="0" w:after="283"/>
              <w:jc w:val="center"/>
              <w:rPr/>
            </w:pPr>
            <w:r>
              <w:rPr>
                <w:rStyle w:val="Emphasis"/>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34"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Grant Date</w:t>
            </w:r>
          </w:p>
        </w:tc>
        <w:tc>
          <w:tcPr>
            <w:tcW w:w="60" w:type="dxa"/>
            <w:tcBorders/>
            <w:shd w:fill="FFFFFF" w:val="clear"/>
            <w:vAlign w:val="center"/>
          </w:tcPr>
          <w:p>
            <w:pPr>
              <w:pStyle w:val="TableContents"/>
              <w:spacing w:before="0" w:after="283"/>
              <w:rPr/>
            </w:pPr>
            <w:r>
              <w:rPr/>
              <w:t> </w:t>
            </w:r>
          </w:p>
        </w:tc>
      </w:tr>
      <w:tr>
        <w:trPr/>
        <w:tc>
          <w:tcPr>
            <w:tcW w:w="31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6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Restricted</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34"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Fair Value</w:t>
            </w:r>
          </w:p>
        </w:tc>
        <w:tc>
          <w:tcPr>
            <w:tcW w:w="60" w:type="dxa"/>
            <w:tcBorders/>
            <w:shd w:fill="FFFFFF" w:val="clear"/>
            <w:vAlign w:val="center"/>
          </w:tcPr>
          <w:p>
            <w:pPr>
              <w:pStyle w:val="TableContents"/>
              <w:spacing w:before="0" w:after="283"/>
              <w:rPr/>
            </w:pPr>
            <w:r>
              <w:rPr/>
              <w:t> </w:t>
            </w:r>
          </w:p>
        </w:tc>
      </w:tr>
      <w:tr>
        <w:trPr/>
        <w:tc>
          <w:tcPr>
            <w:tcW w:w="31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6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Stock</w:t>
            </w:r>
          </w:p>
        </w:tc>
        <w:tc>
          <w:tcPr>
            <w:tcW w:w="80" w:type="dxa"/>
            <w:tcBorders/>
            <w:shd w:fill="FFFFFF" w:val="clear"/>
            <w:vAlign w:val="center"/>
          </w:tcPr>
          <w:p>
            <w:pPr>
              <w:pStyle w:val="TableContents"/>
              <w:spacing w:before="0" w:after="283"/>
              <w:rPr>
                <w:color w:val="000000"/>
              </w:rPr>
            </w:pPr>
            <w:r>
              <w:rPr>
                <w:color w:val="000000"/>
              </w:rPr>
              <w:t> </w:t>
            </w:r>
          </w:p>
        </w:tc>
        <w:tc>
          <w:tcPr>
            <w:tcW w:w="60" w:type="dxa"/>
            <w:tcBorders/>
            <w:shd w:fill="FFFFFF" w:val="clear"/>
            <w:vAlign w:val="center"/>
          </w:tcPr>
          <w:p>
            <w:pPr>
              <w:pStyle w:val="TableContents"/>
              <w:spacing w:before="0" w:after="283"/>
              <w:ind w:left="0" w:right="0" w:hanging="0"/>
              <w:rPr/>
            </w:pPr>
            <w:r>
              <w:rPr/>
              <w:t> </w:t>
            </w:r>
          </w:p>
        </w:tc>
        <w:tc>
          <w:tcPr>
            <w:tcW w:w="934"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Per Share</w:t>
            </w:r>
          </w:p>
        </w:tc>
        <w:tc>
          <w:tcPr>
            <w:tcW w:w="60" w:type="dxa"/>
            <w:tcBorders/>
            <w:shd w:fill="FFFFFF" w:val="clear"/>
            <w:vAlign w:val="center"/>
          </w:tcPr>
          <w:p>
            <w:pPr>
              <w:pStyle w:val="TableContents"/>
              <w:spacing w:before="0" w:after="283"/>
              <w:rPr>
                <w:color w:val="000000"/>
              </w:rPr>
            </w:pPr>
            <w:r>
              <w:rPr>
                <w:color w:val="000000"/>
              </w:rPr>
              <w:t> </w:t>
            </w:r>
          </w:p>
        </w:tc>
      </w:tr>
      <w:tr>
        <w:trPr/>
        <w:tc>
          <w:tcPr>
            <w:tcW w:w="314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Restricted stock at December 31, 2022</w:t>
            </w:r>
          </w:p>
        </w:tc>
        <w:tc>
          <w:tcPr>
            <w:tcW w:w="6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ind w:left="0" w:right="0" w:hanging="0"/>
              <w:rPr/>
            </w:pPr>
            <w:r>
              <w:rPr/>
              <w:t> </w:t>
            </w:r>
          </w:p>
        </w:tc>
        <w:tc>
          <w:tcPr>
            <w:tcW w:w="792"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478,596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62"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772"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70.36</w:t>
            </w:r>
          </w:p>
        </w:tc>
        <w:tc>
          <w:tcPr>
            <w:tcW w:w="60" w:type="dxa"/>
            <w:tcBorders/>
            <w:shd w:fill="CCEEFF" w:val="clear"/>
            <w:vAlign w:val="center"/>
          </w:tcPr>
          <w:p>
            <w:pPr>
              <w:pStyle w:val="TableContents"/>
              <w:spacing w:before="0" w:after="283"/>
              <w:rPr/>
            </w:pPr>
            <w:r>
              <w:rPr/>
              <w:t> </w:t>
            </w:r>
          </w:p>
        </w:tc>
      </w:tr>
      <w:tr>
        <w:trPr/>
        <w:tc>
          <w:tcPr>
            <w:tcW w:w="3140"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rPr/>
            </w:pPr>
            <w:r>
              <w:rPr/>
              <w:t> </w:t>
            </w:r>
          </w:p>
        </w:tc>
        <w:tc>
          <w:tcPr>
            <w:tcW w:w="792"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88,658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2" w:type="dxa"/>
            <w:tcBorders/>
            <w:shd w:fill="FFFFFF" w:val="clear"/>
            <w:vAlign w:val="center"/>
          </w:tcPr>
          <w:p>
            <w:pPr>
              <w:pStyle w:val="TableContents"/>
              <w:spacing w:before="0" w:after="283"/>
              <w:rPr/>
            </w:pPr>
            <w:r>
              <w:rPr/>
              <w:t> </w:t>
            </w:r>
          </w:p>
        </w:tc>
        <w:tc>
          <w:tcPr>
            <w:tcW w:w="772"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33.84</w:t>
            </w:r>
          </w:p>
        </w:tc>
        <w:tc>
          <w:tcPr>
            <w:tcW w:w="60" w:type="dxa"/>
            <w:tcBorders/>
            <w:shd w:fill="FFFFFF" w:val="clear"/>
            <w:vAlign w:val="center"/>
          </w:tcPr>
          <w:p>
            <w:pPr>
              <w:pStyle w:val="TableContents"/>
              <w:spacing w:before="0" w:after="283"/>
              <w:rPr/>
            </w:pPr>
            <w:r>
              <w:rPr/>
              <w:t> </w:t>
            </w:r>
          </w:p>
        </w:tc>
      </w:tr>
      <w:tr>
        <w:trPr/>
        <w:tc>
          <w:tcPr>
            <w:tcW w:w="314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Restrictions lapsed</w:t>
            </w:r>
          </w:p>
        </w:tc>
        <w:tc>
          <w:tcPr>
            <w:tcW w:w="6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792"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(37,528</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162"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111.56</w:t>
            </w:r>
          </w:p>
        </w:tc>
        <w:tc>
          <w:tcPr>
            <w:tcW w:w="60" w:type="dxa"/>
            <w:tcBorders/>
            <w:shd w:fill="CCEEFF" w:val="clear"/>
            <w:vAlign w:val="center"/>
          </w:tcPr>
          <w:p>
            <w:pPr>
              <w:pStyle w:val="TableContents"/>
              <w:spacing w:before="0" w:after="283"/>
              <w:rPr/>
            </w:pPr>
            <w:r>
              <w:rPr/>
              <w:t> </w:t>
            </w:r>
          </w:p>
        </w:tc>
      </w:tr>
      <w:tr>
        <w:trPr/>
        <w:tc>
          <w:tcPr>
            <w:tcW w:w="3140"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Forfeited</w:t>
            </w:r>
          </w:p>
        </w:tc>
        <w:tc>
          <w:tcPr>
            <w:tcW w:w="60" w:type="dxa"/>
            <w:tcBorders/>
            <w:shd w:fill="FFFFFF" w:val="clear"/>
            <w:vAlign w:val="center"/>
          </w:tcPr>
          <w:p>
            <w:pPr>
              <w:pStyle w:val="TableContents"/>
              <w:spacing w:before="0" w:after="283"/>
              <w:ind w:left="0" w:right="0" w:hanging="0"/>
              <w:rPr/>
            </w:pPr>
            <w:r>
              <w:rPr/>
              <w:t> </w:t>
            </w:r>
          </w:p>
        </w:tc>
        <w:tc>
          <w:tcPr>
            <w:tcW w:w="68"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92"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(23,807</w:t>
            </w:r>
          </w:p>
        </w:tc>
        <w:tc>
          <w:tcPr>
            <w:tcW w:w="80" w:type="dxa"/>
            <w:tcBorders>
              <w:bottom w:val="single" w:sz="2" w:space="0" w:color="000000"/>
            </w:tcBorders>
            <w:shd w:fill="FFFFFF" w:val="clear"/>
            <w:tcMar>
              <w:bottom w:w="28" w:type="dxa"/>
            </w:tcM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162" w:type="dxa"/>
            <w:tcBorders/>
            <w:shd w:fill="FFFFFF" w:val="clear"/>
            <w:vAlign w:val="center"/>
          </w:tcPr>
          <w:p>
            <w:pPr>
              <w:pStyle w:val="TableContents"/>
              <w:spacing w:before="0" w:after="283"/>
              <w:rPr/>
            </w:pPr>
            <w:r>
              <w:rPr/>
              <w:t> </w:t>
            </w:r>
          </w:p>
        </w:tc>
        <w:tc>
          <w:tcPr>
            <w:tcW w:w="772"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75.18</w:t>
            </w:r>
          </w:p>
        </w:tc>
        <w:tc>
          <w:tcPr>
            <w:tcW w:w="60" w:type="dxa"/>
            <w:tcBorders/>
            <w:shd w:fill="FFFFFF" w:val="clear"/>
            <w:vAlign w:val="center"/>
          </w:tcPr>
          <w:p>
            <w:pPr>
              <w:pStyle w:val="TableContents"/>
              <w:spacing w:before="0" w:after="283"/>
              <w:rPr/>
            </w:pPr>
            <w:r>
              <w:rPr/>
              <w:t> </w:t>
            </w:r>
          </w:p>
        </w:tc>
      </w:tr>
      <w:tr>
        <w:trPr/>
        <w:tc>
          <w:tcPr>
            <w:tcW w:w="314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Restricted stock at March 31, 2023</w:t>
            </w:r>
          </w:p>
        </w:tc>
        <w:tc>
          <w:tcPr>
            <w:tcW w:w="60" w:type="dxa"/>
            <w:tcBorders/>
            <w:shd w:fill="CCEEFF" w:val="clear"/>
            <w:vAlign w:val="center"/>
          </w:tcPr>
          <w:p>
            <w:pPr>
              <w:pStyle w:val="TableContents"/>
              <w:spacing w:before="0" w:after="283"/>
              <w:ind w:left="0" w:right="0" w:hanging="0"/>
              <w:rPr/>
            </w:pPr>
            <w:r>
              <w:rPr/>
              <w:t> </w:t>
            </w:r>
          </w:p>
        </w:tc>
        <w:tc>
          <w:tcPr>
            <w:tcW w:w="68"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79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505,919</w:t>
            </w:r>
          </w:p>
        </w:tc>
        <w:tc>
          <w:tcPr>
            <w:tcW w:w="80" w:type="dxa"/>
            <w:tcBorders>
              <w:bottom w:val="double" w:sz="6" w:space="0" w:color="000000"/>
            </w:tcBorders>
            <w:shd w:fill="CCEEFF" w:val="clear"/>
            <w:tcMar>
              <w:bottom w:w="28" w:type="dxa"/>
            </w:tcMar>
            <w:vAlign w:val="center"/>
          </w:tcPr>
          <w:p>
            <w:pPr>
              <w:pStyle w:val="TableContents"/>
              <w:spacing w:before="0" w:after="0"/>
              <w:rPr/>
            </w:pPr>
            <w:r>
              <w:rPr/>
              <w:t> </w:t>
            </w:r>
          </w:p>
        </w:tc>
        <w:tc>
          <w:tcPr>
            <w:tcW w:w="60" w:type="dxa"/>
            <w:tcBorders/>
            <w:shd w:fill="CCEEFF" w:val="clear"/>
            <w:vAlign w:val="center"/>
          </w:tcPr>
          <w:p>
            <w:pPr>
              <w:pStyle w:val="TableContents"/>
              <w:spacing w:before="0" w:after="283"/>
              <w:rPr/>
            </w:pPr>
            <w:r>
              <w:rPr/>
              <w:t> </w:t>
            </w:r>
          </w:p>
        </w:tc>
        <w:tc>
          <w:tcPr>
            <w:tcW w:w="16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72"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60.57</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p>
      <w:pPr>
        <w:pStyle w:val="TextBody"/>
        <w:spacing w:before="0" w:after="0"/>
        <w:ind w:left="0" w:right="0" w:hanging="0"/>
        <w:jc w:val="left"/>
        <w:rPr/>
      </w:pPr>
      <w:r>
        <w:rPr>
          <w:rFonts w:ascii="Times New Roman;Times;serif" w:hAnsi="Times New Roman;Times;serif"/>
          <w:sz w:val="20"/>
        </w:rPr>
        <w:t xml:space="preserve">As of </w:t>
      </w:r>
      <w:r>
        <w:rPr>
          <w:rStyle w:val="Emphasis"/>
          <w:rFonts w:ascii="Times New Roman;Times;serif" w:hAnsi="Times New Roman;Times;serif"/>
          <w:sz w:val="20"/>
        </w:rPr>
        <w:t>March 31, 2023</w:t>
      </w:r>
      <w:r>
        <w:rPr>
          <w:rFonts w:ascii="Times New Roman;Times;serif" w:hAnsi="Times New Roman;Times;serif"/>
          <w:sz w:val="20"/>
        </w:rPr>
        <w:t>, there was $20.0 million of unrecognized compensation expense related to non-vested restricted stock, which is expected to be recognized over a weighted-average period of 2.5 years. </w:t>
      </w:r>
    </w:p>
    <w:p>
      <w:pPr>
        <w:pStyle w:val="TextBody"/>
        <w:spacing w:before="0" w:after="0"/>
        <w:ind w:left="0" w:right="0" w:hanging="0"/>
        <w:jc w:val="center"/>
        <w:rPr/>
      </w:pPr>
      <w:r>
        <w:rPr/>
        <w:t> </w:t>
      </w:r>
    </w:p>
    <w:p>
      <w:pPr>
        <w:pStyle w:val="TextBody"/>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Performance Stock </w:t>
      </w:r>
    </w:p>
    <w:p>
      <w:pPr>
        <w:pStyle w:val="TextBody"/>
        <w:spacing w:before="0" w:after="0"/>
        <w:ind w:left="0" w:right="0" w:hanging="0"/>
        <w:jc w:val="left"/>
        <w:rPr/>
      </w:pPr>
      <w:r>
        <w:rPr/>
        <w:t> </w:t>
      </w:r>
    </w:p>
    <w:p>
      <w:pPr>
        <w:pStyle w:val="TextBody"/>
        <w:spacing w:before="0" w:after="0"/>
        <w:ind w:left="0" w:right="0" w:hanging="0"/>
        <w:jc w:val="left"/>
        <w:rPr/>
      </w:pPr>
      <w:r>
        <w:rPr>
          <w:rFonts w:ascii="Times New Roman;Times;serif" w:hAnsi="Times New Roman;Times;serif"/>
          <w:sz w:val="20"/>
        </w:rPr>
        <w:t xml:space="preserve">Performance stock units (PSUs) are expressed in terms of a target number of PSUs, with anywhere between 0 percent and 200 percent of that target number capable of being earned and vesting at the end of a three-year performance period depending on the Company’s performance in the final year of the performance period and the award recipient’s continued employment. Certain PSUs granted by the Company in </w:t>
      </w:r>
      <w:r>
        <w:rPr>
          <w:rStyle w:val="Emphasis"/>
          <w:rFonts w:ascii="Times New Roman;Times;serif" w:hAnsi="Times New Roman;Times;serif"/>
          <w:sz w:val="20"/>
        </w:rPr>
        <w:t>2021</w:t>
      </w:r>
      <w:r>
        <w:rPr>
          <w:rFonts w:ascii="Times New Roman;Times;serif" w:hAnsi="Times New Roman;Times;serif"/>
          <w:sz w:val="20"/>
        </w:rPr>
        <w:t xml:space="preserve"> are based on performance conditions and the related compensation cost is based on the probability that the performance conditions will be achieved. The Company’s PSUs granted in </w:t>
      </w:r>
      <w:r>
        <w:rPr>
          <w:rStyle w:val="Emphasis"/>
          <w:rFonts w:ascii="Times New Roman;Times;serif" w:hAnsi="Times New Roman;Times;serif"/>
          <w:sz w:val="20"/>
        </w:rPr>
        <w:t>2020,</w:t>
      </w:r>
      <w:r>
        <w:rPr>
          <w:rFonts w:ascii="Times New Roman;Times;serif" w:hAnsi="Times New Roman;Times;serif"/>
          <w:sz w:val="20"/>
        </w:rPr>
        <w:t> </w:t>
      </w:r>
      <w:r>
        <w:rPr>
          <w:rStyle w:val="Emphasis"/>
          <w:rFonts w:ascii="Times New Roman;Times;serif" w:hAnsi="Times New Roman;Times;serif"/>
          <w:sz w:val="20"/>
        </w:rPr>
        <w:t>2022,</w:t>
      </w:r>
      <w:r>
        <w:rPr>
          <w:rFonts w:ascii="Times New Roman;Times;serif" w:hAnsi="Times New Roman;Times;serif"/>
          <w:sz w:val="20"/>
        </w:rPr>
        <w:t xml:space="preserve"> </w:t>
      </w:r>
      <w:r>
        <w:rPr>
          <w:rStyle w:val="Emphasis"/>
          <w:rFonts w:ascii="Times New Roman;Times;serif" w:hAnsi="Times New Roman;Times;serif"/>
          <w:sz w:val="20"/>
        </w:rPr>
        <w:t>2023</w:t>
      </w:r>
      <w:r>
        <w:rPr>
          <w:rFonts w:ascii="Times New Roman;Times;serif" w:hAnsi="Times New Roman;Times;serif"/>
          <w:sz w:val="20"/>
        </w:rPr>
        <w:t xml:space="preserve"> and certain PSUs granted in </w:t>
      </w:r>
      <w:r>
        <w:rPr>
          <w:rStyle w:val="Emphasis"/>
          <w:rFonts w:ascii="Times New Roman;Times;serif" w:hAnsi="Times New Roman;Times;serif"/>
          <w:sz w:val="20"/>
        </w:rPr>
        <w:t>2021</w:t>
      </w:r>
      <w:r>
        <w:rPr>
          <w:rFonts w:ascii="Times New Roman;Times;serif" w:hAnsi="Times New Roman;Times;serif"/>
          <w:sz w:val="20"/>
        </w:rPr>
        <w:t> are based on market conditions and the related compensation cost is based on the fair value at grant date calculated using a Monte Carlo pricing model.</w:t>
      </w:r>
    </w:p>
    <w:p>
      <w:pPr>
        <w:pStyle w:val="TextBody"/>
        <w:spacing w:before="0" w:after="0"/>
        <w:ind w:left="0" w:right="0" w:hanging="0"/>
        <w:rPr/>
      </w:pPr>
      <w:r>
        <w:rPr/>
        <w:t> </w:t>
      </w:r>
    </w:p>
    <w:p>
      <w:pPr>
        <w:pStyle w:val="TextBody"/>
        <w:spacing w:before="0" w:after="0"/>
        <w:ind w:left="0" w:right="0" w:hanging="0"/>
        <w:jc w:val="left"/>
        <w:rPr/>
      </w:pPr>
      <w:r>
        <w:rPr>
          <w:rFonts w:ascii="Times New Roman;Times;serif" w:hAnsi="Times New Roman;Times;serif"/>
          <w:sz w:val="20"/>
        </w:rPr>
        <w:t xml:space="preserve">The following table summarizes performance stock activity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March 31, 2023</w:t>
      </w:r>
      <w:r>
        <w:rPr>
          <w:rFonts w:ascii="Times New Roman;Times;serif" w:hAnsi="Times New Roman;Times;serif"/>
          <w:sz w:val="20"/>
        </w:rPr>
        <w:t>:</w:t>
      </w:r>
    </w:p>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tbl>
      <w:tblPr>
        <w:tblW w:w="5579" w:type="dxa"/>
        <w:jc w:val="left"/>
        <w:tblInd w:w="0" w:type="dxa"/>
        <w:tblCellMar>
          <w:top w:w="0" w:type="dxa"/>
          <w:left w:w="0" w:type="dxa"/>
          <w:bottom w:w="0" w:type="dxa"/>
          <w:right w:w="0" w:type="dxa"/>
        </w:tblCellMar>
      </w:tblPr>
      <w:tblGrid>
        <w:gridCol w:w="3320"/>
        <w:gridCol w:w="60"/>
        <w:gridCol w:w="86"/>
        <w:gridCol w:w="999"/>
        <w:gridCol w:w="60"/>
        <w:gridCol w:w="60"/>
        <w:gridCol w:w="191"/>
        <w:gridCol w:w="743"/>
        <w:gridCol w:w="60"/>
      </w:tblGrid>
      <w:tr>
        <w:trPr/>
        <w:tc>
          <w:tcPr>
            <w:tcW w:w="33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6" w:type="dxa"/>
            <w:tcBorders/>
            <w:shd w:fill="FFFFFF" w:val="clear"/>
            <w:vAlign w:val="center"/>
          </w:tcPr>
          <w:p>
            <w:pPr>
              <w:pStyle w:val="TableContents"/>
              <w:spacing w:before="0" w:after="283"/>
              <w:rPr/>
            </w:pPr>
            <w:r>
              <w:rPr/>
              <w:t> </w:t>
            </w:r>
          </w:p>
        </w:tc>
        <w:tc>
          <w:tcPr>
            <w:tcW w:w="999"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34"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Weighted-</w:t>
            </w:r>
          </w:p>
        </w:tc>
        <w:tc>
          <w:tcPr>
            <w:tcW w:w="60" w:type="dxa"/>
            <w:tcBorders/>
            <w:shd w:fill="FFFFFF" w:val="clear"/>
            <w:vAlign w:val="center"/>
          </w:tcPr>
          <w:p>
            <w:pPr>
              <w:pStyle w:val="TableContents"/>
              <w:spacing w:before="0" w:after="283"/>
              <w:rPr/>
            </w:pPr>
            <w:r>
              <w:rPr/>
              <w:t> </w:t>
            </w:r>
          </w:p>
        </w:tc>
      </w:tr>
      <w:tr>
        <w:trPr/>
        <w:tc>
          <w:tcPr>
            <w:tcW w:w="33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6" w:type="dxa"/>
            <w:tcBorders/>
            <w:shd w:fill="FFFFFF" w:val="clear"/>
            <w:vAlign w:val="center"/>
          </w:tcPr>
          <w:p>
            <w:pPr>
              <w:pStyle w:val="TableContents"/>
              <w:spacing w:before="0" w:after="283"/>
              <w:rPr/>
            </w:pPr>
            <w:r>
              <w:rPr/>
              <w:t> </w:t>
            </w:r>
          </w:p>
        </w:tc>
        <w:tc>
          <w:tcPr>
            <w:tcW w:w="999"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34"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Average</w:t>
            </w:r>
          </w:p>
        </w:tc>
        <w:tc>
          <w:tcPr>
            <w:tcW w:w="60" w:type="dxa"/>
            <w:tcBorders/>
            <w:shd w:fill="FFFFFF" w:val="clear"/>
            <w:vAlign w:val="center"/>
          </w:tcPr>
          <w:p>
            <w:pPr>
              <w:pStyle w:val="TableContents"/>
              <w:spacing w:before="0" w:after="283"/>
              <w:rPr/>
            </w:pPr>
            <w:r>
              <w:rPr/>
              <w:t> </w:t>
            </w:r>
          </w:p>
        </w:tc>
      </w:tr>
      <w:tr>
        <w:trPr/>
        <w:tc>
          <w:tcPr>
            <w:tcW w:w="33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6" w:type="dxa"/>
            <w:tcBorders/>
            <w:shd w:fill="FFFFFF" w:val="clear"/>
            <w:vAlign w:val="center"/>
          </w:tcPr>
          <w:p>
            <w:pPr>
              <w:pStyle w:val="TableContents"/>
              <w:spacing w:before="0" w:after="283"/>
              <w:rPr/>
            </w:pPr>
            <w:r>
              <w:rPr/>
              <w:t> </w:t>
            </w:r>
          </w:p>
        </w:tc>
        <w:tc>
          <w:tcPr>
            <w:tcW w:w="999"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34"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Grant Date</w:t>
            </w:r>
          </w:p>
        </w:tc>
        <w:tc>
          <w:tcPr>
            <w:tcW w:w="60" w:type="dxa"/>
            <w:tcBorders/>
            <w:shd w:fill="FFFFFF" w:val="clear"/>
            <w:vAlign w:val="center"/>
          </w:tcPr>
          <w:p>
            <w:pPr>
              <w:pStyle w:val="TableContents"/>
              <w:spacing w:before="0" w:after="283"/>
              <w:rPr/>
            </w:pPr>
            <w:r>
              <w:rPr/>
              <w:t> </w:t>
            </w:r>
          </w:p>
        </w:tc>
      </w:tr>
      <w:tr>
        <w:trPr/>
        <w:tc>
          <w:tcPr>
            <w:tcW w:w="33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85"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Performance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34"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Fair Value</w:t>
            </w:r>
          </w:p>
        </w:tc>
        <w:tc>
          <w:tcPr>
            <w:tcW w:w="60" w:type="dxa"/>
            <w:tcBorders/>
            <w:shd w:fill="FFFFFF" w:val="clear"/>
            <w:vAlign w:val="center"/>
          </w:tcPr>
          <w:p>
            <w:pPr>
              <w:pStyle w:val="TableContents"/>
              <w:spacing w:before="0" w:after="283"/>
              <w:rPr/>
            </w:pPr>
            <w:r>
              <w:rPr/>
              <w:t> </w:t>
            </w:r>
          </w:p>
        </w:tc>
      </w:tr>
      <w:tr>
        <w:trPr/>
        <w:tc>
          <w:tcPr>
            <w:tcW w:w="33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85"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Stock</w:t>
            </w:r>
          </w:p>
        </w:tc>
        <w:tc>
          <w:tcPr>
            <w:tcW w:w="60" w:type="dxa"/>
            <w:tcBorders/>
            <w:shd w:fill="FFFFFF" w:val="clear"/>
            <w:vAlign w:val="center"/>
          </w:tcPr>
          <w:p>
            <w:pPr>
              <w:pStyle w:val="TableContents"/>
              <w:spacing w:before="0" w:after="283"/>
              <w:rPr>
                <w:color w:val="000000"/>
              </w:rPr>
            </w:pPr>
            <w:r>
              <w:rPr>
                <w:color w:val="000000"/>
              </w:rPr>
              <w:t> </w:t>
            </w:r>
          </w:p>
        </w:tc>
        <w:tc>
          <w:tcPr>
            <w:tcW w:w="60" w:type="dxa"/>
            <w:tcBorders/>
            <w:shd w:fill="FFFFFF" w:val="clear"/>
            <w:vAlign w:val="center"/>
          </w:tcPr>
          <w:p>
            <w:pPr>
              <w:pStyle w:val="TableContents"/>
              <w:spacing w:before="0" w:after="283"/>
              <w:ind w:left="0" w:right="0" w:hanging="0"/>
              <w:rPr/>
            </w:pPr>
            <w:r>
              <w:rPr/>
              <w:t> </w:t>
            </w:r>
          </w:p>
        </w:tc>
        <w:tc>
          <w:tcPr>
            <w:tcW w:w="934"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Per Share</w:t>
            </w:r>
          </w:p>
        </w:tc>
        <w:tc>
          <w:tcPr>
            <w:tcW w:w="60" w:type="dxa"/>
            <w:tcBorders/>
            <w:shd w:fill="FFFFFF" w:val="clear"/>
            <w:vAlign w:val="center"/>
          </w:tcPr>
          <w:p>
            <w:pPr>
              <w:pStyle w:val="TableContents"/>
              <w:spacing w:before="0" w:after="283"/>
              <w:rPr>
                <w:color w:val="000000"/>
              </w:rPr>
            </w:pPr>
            <w:r>
              <w:rPr>
                <w:color w:val="000000"/>
              </w:rPr>
              <w:t> </w:t>
            </w:r>
          </w:p>
        </w:tc>
      </w:tr>
      <w:tr>
        <w:trPr/>
        <w:tc>
          <w:tcPr>
            <w:tcW w:w="33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Performance stock at December 31, 2022</w:t>
            </w:r>
          </w:p>
        </w:tc>
        <w:tc>
          <w:tcPr>
            <w:tcW w:w="60"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ind w:left="0" w:right="0" w:hanging="0"/>
              <w:rPr/>
            </w:pPr>
            <w:r>
              <w:rPr/>
              <w:t> </w:t>
            </w:r>
          </w:p>
        </w:tc>
        <w:tc>
          <w:tcPr>
            <w:tcW w:w="999"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35,802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91"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77.91</w:t>
            </w:r>
          </w:p>
        </w:tc>
        <w:tc>
          <w:tcPr>
            <w:tcW w:w="60" w:type="dxa"/>
            <w:tcBorders/>
            <w:shd w:fill="CCEEFF" w:val="clear"/>
            <w:vAlign w:val="center"/>
          </w:tcPr>
          <w:p>
            <w:pPr>
              <w:pStyle w:val="TableContents"/>
              <w:spacing w:before="0" w:after="283"/>
              <w:rPr/>
            </w:pPr>
            <w:r>
              <w:rPr/>
              <w:t> </w:t>
            </w:r>
          </w:p>
        </w:tc>
      </w:tr>
      <w:tr>
        <w:trPr/>
        <w:tc>
          <w:tcPr>
            <w:tcW w:w="3320"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spacing w:before="0" w:after="283"/>
              <w:rPr/>
            </w:pPr>
            <w:r>
              <w:rPr/>
              <w:t> </w:t>
            </w:r>
          </w:p>
        </w:tc>
        <w:tc>
          <w:tcPr>
            <w:tcW w:w="86" w:type="dxa"/>
            <w:tcBorders/>
            <w:shd w:fill="FFFFFF" w:val="clear"/>
            <w:vAlign w:val="center"/>
          </w:tcPr>
          <w:p>
            <w:pPr>
              <w:pStyle w:val="TableContents"/>
              <w:spacing w:before="0" w:after="283"/>
              <w:rPr/>
            </w:pPr>
            <w:r>
              <w:rPr/>
              <w:t> </w:t>
            </w:r>
          </w:p>
        </w:tc>
        <w:tc>
          <w:tcPr>
            <w:tcW w:w="999"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71,295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rPr/>
            </w:pPr>
            <w:r>
              <w:rPr/>
              <w:t> </w:t>
            </w:r>
          </w:p>
        </w:tc>
        <w:tc>
          <w:tcPr>
            <w:tcW w:w="743"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57.79</w:t>
            </w:r>
          </w:p>
        </w:tc>
        <w:tc>
          <w:tcPr>
            <w:tcW w:w="60" w:type="dxa"/>
            <w:tcBorders/>
            <w:shd w:fill="FFFFFF" w:val="clear"/>
            <w:vAlign w:val="center"/>
          </w:tcPr>
          <w:p>
            <w:pPr>
              <w:pStyle w:val="TableContents"/>
              <w:spacing w:before="0" w:after="283"/>
              <w:ind w:left="0" w:right="0" w:hanging="0"/>
              <w:rPr/>
            </w:pPr>
            <w:r>
              <w:rPr/>
              <w:t> </w:t>
            </w:r>
          </w:p>
        </w:tc>
      </w:tr>
      <w:tr>
        <w:trPr/>
        <w:tc>
          <w:tcPr>
            <w:tcW w:w="3320" w:type="dxa"/>
            <w:tcBorders/>
            <w:shd w:fill="CCEEFF" w:val="clear"/>
            <w:vAlign w:val="center"/>
          </w:tcPr>
          <w:p>
            <w:pPr>
              <w:pStyle w:val="TableContents"/>
              <w:spacing w:before="0" w:after="0"/>
              <w:ind w:left="0" w:right="0" w:hanging="180"/>
              <w:rPr>
                <w:rFonts w:ascii="Times New Roman;Times;serif" w:hAnsi="Times New Roman;Times;serif"/>
                <w:sz w:val="20"/>
              </w:rPr>
            </w:pPr>
            <w:r>
              <w:rPr>
                <w:rFonts w:ascii="Times New Roman;Times;serif" w:hAnsi="Times New Roman;Times;serif"/>
                <w:sz w:val="20"/>
              </w:rPr>
              <w:t>Restrictions lapsed</w:t>
            </w:r>
          </w:p>
        </w:tc>
        <w:tc>
          <w:tcPr>
            <w:tcW w:w="60"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ind w:left="0" w:right="0" w:hanging="0"/>
              <w:rPr/>
            </w:pPr>
            <w:r>
              <w:rPr/>
              <w:t> </w:t>
            </w:r>
          </w:p>
        </w:tc>
        <w:tc>
          <w:tcPr>
            <w:tcW w:w="999"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ind w:left="0" w:right="0" w:hanging="0"/>
              <w:rPr/>
            </w:pPr>
            <w:r>
              <w:rPr/>
              <w:t> </w:t>
            </w:r>
          </w:p>
        </w:tc>
        <w:tc>
          <w:tcPr>
            <w:tcW w:w="743"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ind w:left="0" w:right="0" w:hanging="0"/>
              <w:rPr/>
            </w:pPr>
            <w:r>
              <w:rPr/>
              <w:t> </w:t>
            </w:r>
          </w:p>
        </w:tc>
      </w:tr>
      <w:tr>
        <w:trPr/>
        <w:tc>
          <w:tcPr>
            <w:tcW w:w="3320" w:type="dxa"/>
            <w:tcBorders/>
            <w:shd w:fill="FFFFFF" w:val="clear"/>
            <w:vAlign w:val="center"/>
          </w:tcPr>
          <w:p>
            <w:pPr>
              <w:pStyle w:val="TableContents"/>
              <w:spacing w:before="0" w:after="0"/>
              <w:ind w:left="0" w:right="0" w:hanging="180"/>
              <w:rPr>
                <w:rFonts w:ascii="Times New Roman;Times;serif" w:hAnsi="Times New Roman;Times;serif"/>
                <w:sz w:val="20"/>
              </w:rPr>
            </w:pPr>
            <w:r>
              <w:rPr>
                <w:rFonts w:ascii="Times New Roman;Times;serif" w:hAnsi="Times New Roman;Times;serif"/>
                <w:sz w:val="20"/>
              </w:rPr>
              <w:t>Performance change</w:t>
            </w:r>
          </w:p>
        </w:tc>
        <w:tc>
          <w:tcPr>
            <w:tcW w:w="60" w:type="dxa"/>
            <w:tcBorders/>
            <w:shd w:fill="FFFFFF" w:val="clear"/>
            <w:vAlign w:val="center"/>
          </w:tcPr>
          <w:p>
            <w:pPr>
              <w:pStyle w:val="TableContents"/>
              <w:spacing w:before="0" w:after="283"/>
              <w:rPr/>
            </w:pPr>
            <w:r>
              <w:rPr/>
              <w:t> </w:t>
            </w:r>
          </w:p>
        </w:tc>
        <w:tc>
          <w:tcPr>
            <w:tcW w:w="86" w:type="dxa"/>
            <w:tcBorders/>
            <w:shd w:fill="FFFFFF" w:val="clear"/>
            <w:vAlign w:val="center"/>
          </w:tcPr>
          <w:p>
            <w:pPr>
              <w:pStyle w:val="TableContents"/>
              <w:spacing w:before="0" w:after="283"/>
              <w:ind w:left="0" w:right="0" w:hanging="0"/>
              <w:rPr/>
            </w:pPr>
            <w:r>
              <w:rPr/>
              <w:t> </w:t>
            </w:r>
          </w:p>
        </w:tc>
        <w:tc>
          <w:tcPr>
            <w:tcW w:w="999"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ind w:left="0" w:right="0" w:hanging="0"/>
              <w:rPr/>
            </w:pPr>
            <w:r>
              <w:rPr/>
              <w:t> </w:t>
            </w:r>
          </w:p>
        </w:tc>
        <w:tc>
          <w:tcPr>
            <w:tcW w:w="743"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ind w:left="0" w:right="0" w:hanging="0"/>
              <w:rPr/>
            </w:pPr>
            <w:r>
              <w:rPr/>
              <w:t> </w:t>
            </w:r>
          </w:p>
        </w:tc>
      </w:tr>
      <w:tr>
        <w:trPr/>
        <w:tc>
          <w:tcPr>
            <w:tcW w:w="3320" w:type="dxa"/>
            <w:tcBorders/>
            <w:shd w:fill="CCEEFF" w:val="clear"/>
            <w:vAlign w:val="center"/>
          </w:tcPr>
          <w:p>
            <w:pPr>
              <w:pStyle w:val="TableContents"/>
              <w:spacing w:before="0" w:after="0"/>
              <w:ind w:left="180" w:right="0" w:hanging="360"/>
              <w:rPr>
                <w:rFonts w:ascii="Times New Roman;Times;serif" w:hAnsi="Times New Roman;Times;serif"/>
                <w:sz w:val="20"/>
              </w:rPr>
            </w:pPr>
            <w:r>
              <w:rPr>
                <w:rFonts w:ascii="Times New Roman;Times;serif" w:hAnsi="Times New Roman;Times;serif"/>
                <w:sz w:val="20"/>
              </w:rPr>
              <w:t>Forfeited</w:t>
            </w:r>
          </w:p>
        </w:tc>
        <w:tc>
          <w:tcPr>
            <w:tcW w:w="60"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ind w:left="0" w:right="0" w:hanging="0"/>
              <w:rPr>
                <w:color w:val="000000"/>
              </w:rPr>
            </w:pPr>
            <w:r>
              <w:rPr>
                <w:color w:val="000000"/>
              </w:rPr>
              <w:t> </w:t>
            </w:r>
          </w:p>
        </w:tc>
        <w:tc>
          <w:tcPr>
            <w:tcW w:w="999" w:type="dxa"/>
            <w:tcBorders/>
            <w:shd w:fill="CCEE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CCEEFF" w:val="clear"/>
            <w:vAlign w:val="center"/>
          </w:tcPr>
          <w:p>
            <w:pPr>
              <w:pStyle w:val="TableContents"/>
              <w:spacing w:before="0" w:after="283"/>
              <w:rPr>
                <w:color w:val="000000"/>
              </w:rPr>
            </w:pPr>
            <w:r>
              <w:rPr>
                <w:color w:val="000000"/>
              </w:rPr>
              <w:t> </w:t>
            </w:r>
          </w:p>
        </w:tc>
        <w:tc>
          <w:tcPr>
            <w:tcW w:w="6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ind w:left="0" w:right="0" w:hanging="0"/>
              <w:rPr/>
            </w:pPr>
            <w:r>
              <w:rPr/>
              <w:t> </w:t>
            </w:r>
          </w:p>
        </w:tc>
        <w:tc>
          <w:tcPr>
            <w:tcW w:w="743"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r>
      <w:tr>
        <w:trPr/>
        <w:tc>
          <w:tcPr>
            <w:tcW w:w="3320"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Performance stock at March 31, 2023</w:t>
            </w:r>
          </w:p>
        </w:tc>
        <w:tc>
          <w:tcPr>
            <w:tcW w:w="60" w:type="dxa"/>
            <w:tcBorders/>
            <w:shd w:fill="FFFFFF" w:val="clear"/>
            <w:vAlign w:val="center"/>
          </w:tcPr>
          <w:p>
            <w:pPr>
              <w:pStyle w:val="TableContents"/>
              <w:spacing w:before="0" w:after="283"/>
              <w:ind w:left="0" w:right="0" w:hanging="0"/>
              <w:rPr/>
            </w:pPr>
            <w:r>
              <w:rPr/>
              <w:t> </w:t>
            </w:r>
          </w:p>
        </w:tc>
        <w:tc>
          <w:tcPr>
            <w:tcW w:w="86"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999" w:type="dxa"/>
            <w:tcBorders>
              <w:bottom w:val="double" w:sz="6" w:space="0" w:color="000000"/>
            </w:tcBorders>
            <w:shd w:fill="FFFF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107,097</w:t>
            </w:r>
          </w:p>
        </w:tc>
        <w:tc>
          <w:tcPr>
            <w:tcW w:w="60" w:type="dxa"/>
            <w:tcBorders>
              <w:bottom w:val="double" w:sz="6" w:space="0" w:color="000000"/>
            </w:tcBorders>
            <w:shd w:fill="FFFFFF" w:val="clear"/>
            <w:tcMar>
              <w:bottom w:w="28" w:type="dxa"/>
            </w:tcMar>
            <w:vAlign w:val="center"/>
          </w:tcPr>
          <w:p>
            <w:pPr>
              <w:pStyle w:val="TableContents"/>
              <w:spacing w:before="0" w:after="0"/>
              <w:rPr/>
            </w:pPr>
            <w:r>
              <w:rPr/>
              <w:t> </w:t>
            </w:r>
          </w:p>
        </w:tc>
        <w:tc>
          <w:tcPr>
            <w:tcW w:w="60"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43"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74.08</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p>
      <w:pPr>
        <w:pStyle w:val="TextBody"/>
        <w:spacing w:before="0" w:after="0"/>
        <w:ind w:left="144" w:right="144" w:hanging="180"/>
        <w:jc w:val="left"/>
        <w:rPr/>
      </w:pPr>
      <w:r>
        <w:rPr>
          <w:rFonts w:ascii="Times New Roman;Times;serif" w:hAnsi="Times New Roman;Times;serif"/>
          <w:sz w:val="20"/>
        </w:rPr>
        <w:t xml:space="preserve">The following table provides the assumptions used in the Monte Carlo pricing model valuation of PSUs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March 31,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w:t>
      </w:r>
    </w:p>
    <w:p>
      <w:pPr>
        <w:pStyle w:val="TextBody"/>
        <w:spacing w:before="0" w:after="0"/>
        <w:ind w:left="0" w:right="0" w:hanging="0"/>
        <w:rPr/>
      </w:pPr>
      <w:r>
        <w:rPr/>
        <w:t> </w:t>
      </w:r>
    </w:p>
    <w:p>
      <w:pPr>
        <w:pStyle w:val="HorizontalLine"/>
        <w:rPr/>
      </w:pPr>
      <w:r>
        <w:rPr/>
      </w:r>
    </w:p>
    <w:p>
      <w:pPr>
        <w:pStyle w:val="TextBody"/>
        <w:spacing w:before="0" w:after="0"/>
        <w:ind w:left="0" w:right="0" w:hanging="0"/>
        <w:rPr/>
      </w:pPr>
      <w:r>
        <w:rPr/>
        <w:t> </w:t>
      </w:r>
    </w:p>
    <w:tbl>
      <w:tblPr>
        <w:tblW w:w="4806" w:type="dxa"/>
        <w:jc w:val="left"/>
        <w:tblInd w:w="0" w:type="dxa"/>
        <w:tblCellMar>
          <w:top w:w="0" w:type="dxa"/>
          <w:left w:w="0" w:type="dxa"/>
          <w:bottom w:w="0" w:type="dxa"/>
          <w:right w:w="0" w:type="dxa"/>
        </w:tblCellMar>
      </w:tblPr>
      <w:tblGrid>
        <w:gridCol w:w="2030"/>
        <w:gridCol w:w="60"/>
        <w:gridCol w:w="103"/>
        <w:gridCol w:w="1122"/>
        <w:gridCol w:w="103"/>
        <w:gridCol w:w="103"/>
        <w:gridCol w:w="103"/>
        <w:gridCol w:w="1122"/>
        <w:gridCol w:w="60"/>
      </w:tblGrid>
      <w:tr>
        <w:trPr/>
        <w:tc>
          <w:tcPr>
            <w:tcW w:w="203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656"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 March 31,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03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2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2023</w:t>
            </w:r>
          </w:p>
        </w:tc>
        <w:tc>
          <w:tcPr>
            <w:tcW w:w="103" w:type="dxa"/>
            <w:tcBorders>
              <w:bottom w:val="single" w:sz="2" w:space="0" w:color="000000"/>
            </w:tcBorders>
            <w:shd w:fill="FFFFFF" w:val="clear"/>
            <w:tcMar>
              <w:bottom w:w="28" w:type="dxa"/>
            </w:tcM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ind w:left="0" w:right="0" w:hanging="0"/>
              <w:rPr/>
            </w:pPr>
            <w:r>
              <w:rPr/>
              <w:t> </w:t>
            </w:r>
          </w:p>
        </w:tc>
        <w:tc>
          <w:tcPr>
            <w:tcW w:w="122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03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Risk-free interest rate</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ind w:left="0" w:right="0" w:hanging="0"/>
              <w:rPr/>
            </w:pPr>
            <w:r>
              <w:rPr/>
              <w:t> </w:t>
            </w:r>
          </w:p>
        </w:tc>
        <w:tc>
          <w:tcPr>
            <w:tcW w:w="1122"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4.35%</w:t>
            </w:r>
          </w:p>
        </w:tc>
        <w:tc>
          <w:tcPr>
            <w:tcW w:w="103" w:type="dxa"/>
            <w:tcBorders/>
            <w:shd w:fill="CCEEFF" w:val="clear"/>
            <w:vAlign w:val="center"/>
          </w:tcPr>
          <w:p>
            <w:pPr>
              <w:pStyle w:val="TableContents"/>
              <w:spacing w:before="0" w:after="283"/>
              <w:jc w:val="center"/>
              <w:rPr/>
            </w:pPr>
            <w:r>
              <w:rPr/>
              <w:t> </w:t>
            </w:r>
          </w:p>
        </w:tc>
        <w:tc>
          <w:tcPr>
            <w:tcW w:w="103"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ind w:left="0" w:right="0" w:hanging="0"/>
              <w:rPr/>
            </w:pPr>
            <w:r>
              <w:rPr/>
              <w:t> </w:t>
            </w:r>
          </w:p>
        </w:tc>
        <w:tc>
          <w:tcPr>
            <w:tcW w:w="1122"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1.76%</w:t>
            </w:r>
          </w:p>
        </w:tc>
        <w:tc>
          <w:tcPr>
            <w:tcW w:w="60" w:type="dxa"/>
            <w:tcBorders/>
            <w:shd w:fill="CCEEFF" w:val="clear"/>
            <w:vAlign w:val="center"/>
          </w:tcPr>
          <w:p>
            <w:pPr>
              <w:pStyle w:val="TableContents"/>
              <w:spacing w:before="0" w:after="283"/>
              <w:rPr/>
            </w:pPr>
            <w:r>
              <w:rPr/>
              <w:t> </w:t>
            </w:r>
          </w:p>
        </w:tc>
      </w:tr>
      <w:tr>
        <w:trPr/>
        <w:tc>
          <w:tcPr>
            <w:tcW w:w="203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Expected life (years)</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ind w:left="0" w:right="0" w:hanging="0"/>
              <w:rPr/>
            </w:pPr>
            <w:r>
              <w:rPr/>
              <w:t> </w:t>
            </w:r>
          </w:p>
        </w:tc>
        <w:tc>
          <w:tcPr>
            <w:tcW w:w="1122" w:type="dxa"/>
            <w:tcBorders/>
            <w:shd w:fill="FFFFFF" w:val="clear"/>
            <w:vAlign w:val="center"/>
          </w:tcPr>
          <w:p>
            <w:pPr>
              <w:pStyle w:val="TableContents"/>
              <w:spacing w:before="0" w:after="283"/>
              <w:ind w:left="0" w:right="0" w:hanging="0"/>
              <w:jc w:val="center"/>
              <w:rPr>
                <w:rFonts w:ascii="Times New Roman" w:hAnsi="Times New Roman"/>
                <w:sz w:val="20"/>
              </w:rPr>
            </w:pPr>
            <w:r>
              <w:rPr>
                <w:rFonts w:ascii="Times New Roman" w:hAnsi="Times New Roman"/>
                <w:sz w:val="20"/>
              </w:rPr>
              <w:t>2.88</w:t>
            </w:r>
          </w:p>
        </w:tc>
        <w:tc>
          <w:tcPr>
            <w:tcW w:w="103" w:type="dxa"/>
            <w:tcBorders/>
            <w:shd w:fill="FFFFFF" w:val="clear"/>
            <w:vAlign w:val="center"/>
          </w:tcPr>
          <w:p>
            <w:pPr>
              <w:pStyle w:val="TableContents"/>
              <w:spacing w:before="0" w:after="283"/>
              <w:jc w:val="center"/>
              <w:rPr/>
            </w:pPr>
            <w:r>
              <w:rPr/>
              <w:t> </w:t>
            </w:r>
          </w:p>
        </w:tc>
        <w:tc>
          <w:tcPr>
            <w:tcW w:w="103"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ind w:left="0" w:right="0" w:hanging="0"/>
              <w:rPr/>
            </w:pPr>
            <w:r>
              <w:rPr/>
              <w:t> </w:t>
            </w:r>
          </w:p>
        </w:tc>
        <w:tc>
          <w:tcPr>
            <w:tcW w:w="1122" w:type="dxa"/>
            <w:tcBorders/>
            <w:shd w:fill="FFFFFF" w:val="clear"/>
            <w:vAlign w:val="center"/>
          </w:tcPr>
          <w:p>
            <w:pPr>
              <w:pStyle w:val="TableContents"/>
              <w:spacing w:before="0" w:after="283"/>
              <w:ind w:left="0" w:right="0" w:hanging="0"/>
              <w:jc w:val="center"/>
              <w:rPr>
                <w:rFonts w:ascii="Times New Roman" w:hAnsi="Times New Roman"/>
                <w:sz w:val="20"/>
              </w:rPr>
            </w:pPr>
            <w:r>
              <w:rPr>
                <w:rFonts w:ascii="Times New Roman" w:hAnsi="Times New Roman"/>
                <w:sz w:val="20"/>
              </w:rPr>
              <w:t>2.87</w:t>
            </w:r>
          </w:p>
        </w:tc>
        <w:tc>
          <w:tcPr>
            <w:tcW w:w="60" w:type="dxa"/>
            <w:tcBorders/>
            <w:shd w:fill="FFFFFF" w:val="clear"/>
            <w:vAlign w:val="center"/>
          </w:tcPr>
          <w:p>
            <w:pPr>
              <w:pStyle w:val="TableContents"/>
              <w:spacing w:before="0" w:after="283"/>
              <w:rPr/>
            </w:pPr>
            <w:r>
              <w:rPr/>
              <w:t> </w:t>
            </w:r>
          </w:p>
        </w:tc>
      </w:tr>
      <w:tr>
        <w:trPr/>
        <w:tc>
          <w:tcPr>
            <w:tcW w:w="203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Expected volatility</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ind w:left="0" w:right="0" w:hanging="0"/>
              <w:rPr/>
            </w:pPr>
            <w:r>
              <w:rPr/>
              <w:t> </w:t>
            </w:r>
          </w:p>
        </w:tc>
        <w:tc>
          <w:tcPr>
            <w:tcW w:w="1122"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58.00%</w:t>
            </w:r>
          </w:p>
        </w:tc>
        <w:tc>
          <w:tcPr>
            <w:tcW w:w="103" w:type="dxa"/>
            <w:tcBorders/>
            <w:shd w:fill="CCEEFF" w:val="clear"/>
            <w:vAlign w:val="center"/>
          </w:tcPr>
          <w:p>
            <w:pPr>
              <w:pStyle w:val="TableContents"/>
              <w:spacing w:before="0" w:after="283"/>
              <w:jc w:val="center"/>
              <w:rPr/>
            </w:pPr>
            <w:r>
              <w:rPr/>
              <w:t> </w:t>
            </w:r>
          </w:p>
        </w:tc>
        <w:tc>
          <w:tcPr>
            <w:tcW w:w="103"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ind w:left="0" w:right="0" w:hanging="0"/>
              <w:rPr/>
            </w:pPr>
            <w:r>
              <w:rPr/>
              <w:t> </w:t>
            </w:r>
          </w:p>
        </w:tc>
        <w:tc>
          <w:tcPr>
            <w:tcW w:w="1122"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53.50%</w:t>
            </w:r>
          </w:p>
        </w:tc>
        <w:tc>
          <w:tcPr>
            <w:tcW w:w="60" w:type="dxa"/>
            <w:tcBorders/>
            <w:shd w:fill="CCEEFF" w:val="clear"/>
            <w:vAlign w:val="center"/>
          </w:tcPr>
          <w:p>
            <w:pPr>
              <w:pStyle w:val="TableContents"/>
              <w:spacing w:before="0" w:after="283"/>
              <w:rPr/>
            </w:pPr>
            <w:r>
              <w:rPr/>
              <w:t> </w:t>
            </w:r>
          </w:p>
        </w:tc>
      </w:tr>
      <w:tr>
        <w:trPr/>
        <w:tc>
          <w:tcPr>
            <w:tcW w:w="203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Expected dividend yield</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ind w:left="0" w:right="0" w:hanging="0"/>
              <w:rPr/>
            </w:pPr>
            <w:r>
              <w:rPr/>
              <w:t> </w:t>
            </w:r>
          </w:p>
        </w:tc>
        <w:tc>
          <w:tcPr>
            <w:tcW w:w="1122"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w:t>
            </w:r>
          </w:p>
        </w:tc>
        <w:tc>
          <w:tcPr>
            <w:tcW w:w="103" w:type="dxa"/>
            <w:tcBorders/>
            <w:shd w:fill="FFFFFF" w:val="clear"/>
            <w:vAlign w:val="center"/>
          </w:tcPr>
          <w:p>
            <w:pPr>
              <w:pStyle w:val="TableContents"/>
              <w:spacing w:before="0" w:after="283"/>
              <w:jc w:val="center"/>
              <w:rPr/>
            </w:pPr>
            <w:r>
              <w:rPr/>
              <w:t> </w:t>
            </w:r>
          </w:p>
        </w:tc>
        <w:tc>
          <w:tcPr>
            <w:tcW w:w="103"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ind w:left="0" w:right="0" w:hanging="0"/>
              <w:rPr/>
            </w:pPr>
            <w:r>
              <w:rPr/>
              <w:t> </w:t>
            </w:r>
          </w:p>
        </w:tc>
        <w:tc>
          <w:tcPr>
            <w:tcW w:w="1122"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p>
      <w:pPr>
        <w:pStyle w:val="TextBody"/>
        <w:spacing w:before="0" w:after="0"/>
        <w:ind w:left="0" w:right="0" w:hanging="0"/>
        <w:jc w:val="left"/>
        <w:rPr/>
      </w:pPr>
      <w:r>
        <w:rPr>
          <w:rFonts w:ascii="Times New Roman;Times;serif" w:hAnsi="Times New Roman;Times;serif"/>
          <w:sz w:val="20"/>
        </w:rPr>
        <w:t xml:space="preserve">As of </w:t>
      </w:r>
      <w:r>
        <w:rPr>
          <w:rStyle w:val="Emphasis"/>
          <w:rFonts w:ascii="Times New Roman;Times;serif" w:hAnsi="Times New Roman;Times;serif"/>
          <w:sz w:val="20"/>
        </w:rPr>
        <w:t>March 31, 2023</w:t>
      </w:r>
      <w:r>
        <w:rPr>
          <w:rFonts w:ascii="Times New Roman;Times;serif" w:hAnsi="Times New Roman;Times;serif"/>
          <w:sz w:val="20"/>
        </w:rPr>
        <w:t>, there was $6.1 million of unrecognized compensation expense related to non-vested performance stock, which is expected to be recognized over a weighted-average period of 2.5 years.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Employee Stock Purchase Plan</w:t>
      </w:r>
    </w:p>
    <w:p>
      <w:pPr>
        <w:pStyle w:val="TextBody"/>
        <w:spacing w:before="0" w:after="0"/>
        <w:ind w:left="0" w:right="0" w:hanging="0"/>
        <w:jc w:val="left"/>
        <w:rPr/>
      </w:pPr>
      <w:r>
        <w:rPr/>
        <w:t> </w:t>
      </w:r>
    </w:p>
    <w:p>
      <w:pPr>
        <w:pStyle w:val="TextBody"/>
        <w:spacing w:before="0" w:after="0"/>
        <w:ind w:left="0" w:right="0" w:hanging="0"/>
        <w:jc w:val="left"/>
        <w:rPr/>
      </w:pPr>
      <w:r>
        <w:rPr>
          <w:rFonts w:ascii="Times New Roman;Times;serif" w:hAnsi="Times New Roman;Times;serif"/>
          <w:sz w:val="20"/>
        </w:rPr>
        <w:t>The following table presents the assumptions used to estimate the fair value of the ESPP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March 31,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w:t>
      </w:r>
    </w:p>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tbl>
      <w:tblPr>
        <w:tblW w:w="4806" w:type="dxa"/>
        <w:jc w:val="left"/>
        <w:tblInd w:w="0" w:type="dxa"/>
        <w:tblCellMar>
          <w:top w:w="0" w:type="dxa"/>
          <w:left w:w="0" w:type="dxa"/>
          <w:bottom w:w="0" w:type="dxa"/>
          <w:right w:w="0" w:type="dxa"/>
        </w:tblCellMar>
      </w:tblPr>
      <w:tblGrid>
        <w:gridCol w:w="2030"/>
        <w:gridCol w:w="60"/>
        <w:gridCol w:w="103"/>
        <w:gridCol w:w="1122"/>
        <w:gridCol w:w="103"/>
        <w:gridCol w:w="103"/>
        <w:gridCol w:w="103"/>
        <w:gridCol w:w="1122"/>
        <w:gridCol w:w="60"/>
      </w:tblGrid>
      <w:tr>
        <w:trPr/>
        <w:tc>
          <w:tcPr>
            <w:tcW w:w="203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656"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 March 31,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03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2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2023</w:t>
            </w:r>
          </w:p>
        </w:tc>
        <w:tc>
          <w:tcPr>
            <w:tcW w:w="103" w:type="dxa"/>
            <w:tcBorders>
              <w:bottom w:val="single" w:sz="2" w:space="0" w:color="000000"/>
            </w:tcBorders>
            <w:shd w:fill="FFFFFF" w:val="clear"/>
            <w:tcMar>
              <w:bottom w:w="28" w:type="dxa"/>
            </w:tcM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ind w:left="0" w:right="0" w:hanging="0"/>
              <w:rPr/>
            </w:pPr>
            <w:r>
              <w:rPr/>
              <w:t> </w:t>
            </w:r>
          </w:p>
        </w:tc>
        <w:tc>
          <w:tcPr>
            <w:tcW w:w="122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03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Risk-free interest rate</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ind w:left="0" w:right="0" w:hanging="0"/>
              <w:rPr/>
            </w:pPr>
            <w:r>
              <w:rPr/>
              <w:t> </w:t>
            </w:r>
          </w:p>
        </w:tc>
        <w:tc>
          <w:tcPr>
            <w:tcW w:w="1122"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4.60%</w:t>
            </w:r>
          </w:p>
        </w:tc>
        <w:tc>
          <w:tcPr>
            <w:tcW w:w="103"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ind w:left="0" w:right="0" w:hanging="0"/>
              <w:rPr/>
            </w:pPr>
            <w:r>
              <w:rPr/>
              <w:t> </w:t>
            </w:r>
          </w:p>
        </w:tc>
        <w:tc>
          <w:tcPr>
            <w:tcW w:w="1122"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0.17%</w:t>
            </w:r>
          </w:p>
        </w:tc>
        <w:tc>
          <w:tcPr>
            <w:tcW w:w="60" w:type="dxa"/>
            <w:tcBorders/>
            <w:shd w:fill="CCEEFF" w:val="clear"/>
            <w:vAlign w:val="center"/>
          </w:tcPr>
          <w:p>
            <w:pPr>
              <w:pStyle w:val="TableContents"/>
              <w:spacing w:before="0" w:after="283"/>
              <w:rPr/>
            </w:pPr>
            <w:r>
              <w:rPr/>
              <w:t> </w:t>
            </w:r>
          </w:p>
        </w:tc>
      </w:tr>
      <w:tr>
        <w:trPr/>
        <w:tc>
          <w:tcPr>
            <w:tcW w:w="203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Expected life (months)</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ind w:left="0" w:right="0" w:hanging="0"/>
              <w:rPr/>
            </w:pPr>
            <w:r>
              <w:rPr/>
              <w:t> </w:t>
            </w:r>
          </w:p>
        </w:tc>
        <w:tc>
          <w:tcPr>
            <w:tcW w:w="1122" w:type="dxa"/>
            <w:tcBorders/>
            <w:shd w:fill="FFFFFF" w:val="clear"/>
            <w:vAlign w:val="center"/>
          </w:tcPr>
          <w:p>
            <w:pPr>
              <w:pStyle w:val="TableContents"/>
              <w:spacing w:before="0" w:after="283"/>
              <w:ind w:left="0" w:right="0" w:hanging="0"/>
              <w:jc w:val="center"/>
              <w:rPr>
                <w:rFonts w:ascii="Times New Roman" w:hAnsi="Times New Roman"/>
                <w:sz w:val="20"/>
              </w:rPr>
            </w:pPr>
            <w:r>
              <w:rPr>
                <w:rFonts w:ascii="Times New Roman" w:hAnsi="Times New Roman"/>
                <w:sz w:val="20"/>
              </w:rPr>
              <w:t>6.00</w:t>
            </w:r>
          </w:p>
        </w:tc>
        <w:tc>
          <w:tcPr>
            <w:tcW w:w="103"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ind w:left="0" w:right="0" w:hanging="0"/>
              <w:rPr/>
            </w:pPr>
            <w:r>
              <w:rPr/>
              <w:t> </w:t>
            </w:r>
          </w:p>
        </w:tc>
        <w:tc>
          <w:tcPr>
            <w:tcW w:w="1122" w:type="dxa"/>
            <w:tcBorders/>
            <w:shd w:fill="FFFFFF" w:val="clear"/>
            <w:vAlign w:val="center"/>
          </w:tcPr>
          <w:p>
            <w:pPr>
              <w:pStyle w:val="TableContents"/>
              <w:spacing w:before="0" w:after="283"/>
              <w:ind w:left="0" w:right="0" w:hanging="0"/>
              <w:jc w:val="center"/>
              <w:rPr>
                <w:rFonts w:ascii="Times New Roman" w:hAnsi="Times New Roman"/>
                <w:sz w:val="20"/>
              </w:rPr>
            </w:pPr>
            <w:r>
              <w:rPr>
                <w:rFonts w:ascii="Times New Roman" w:hAnsi="Times New Roman"/>
                <w:sz w:val="20"/>
              </w:rPr>
              <w:t>6.00</w:t>
            </w:r>
          </w:p>
        </w:tc>
        <w:tc>
          <w:tcPr>
            <w:tcW w:w="60" w:type="dxa"/>
            <w:tcBorders/>
            <w:shd w:fill="FFFFFF" w:val="clear"/>
            <w:vAlign w:val="center"/>
          </w:tcPr>
          <w:p>
            <w:pPr>
              <w:pStyle w:val="TableContents"/>
              <w:spacing w:before="0" w:after="283"/>
              <w:rPr/>
            </w:pPr>
            <w:r>
              <w:rPr/>
              <w:t> </w:t>
            </w:r>
          </w:p>
        </w:tc>
      </w:tr>
      <w:tr>
        <w:trPr/>
        <w:tc>
          <w:tcPr>
            <w:tcW w:w="203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Expected volatility</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ind w:left="0" w:right="0" w:hanging="0"/>
              <w:rPr/>
            </w:pPr>
            <w:r>
              <w:rPr/>
              <w:t> </w:t>
            </w:r>
          </w:p>
        </w:tc>
        <w:tc>
          <w:tcPr>
            <w:tcW w:w="1122"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67.84%</w:t>
            </w:r>
          </w:p>
        </w:tc>
        <w:tc>
          <w:tcPr>
            <w:tcW w:w="103"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ind w:left="0" w:right="0" w:hanging="0"/>
              <w:rPr/>
            </w:pPr>
            <w:r>
              <w:rPr/>
              <w:t> </w:t>
            </w:r>
          </w:p>
        </w:tc>
        <w:tc>
          <w:tcPr>
            <w:tcW w:w="1122"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53.44%</w:t>
            </w:r>
          </w:p>
        </w:tc>
        <w:tc>
          <w:tcPr>
            <w:tcW w:w="60" w:type="dxa"/>
            <w:tcBorders/>
            <w:shd w:fill="CCEEFF" w:val="clear"/>
            <w:vAlign w:val="center"/>
          </w:tcPr>
          <w:p>
            <w:pPr>
              <w:pStyle w:val="TableContents"/>
              <w:spacing w:before="0" w:after="283"/>
              <w:rPr/>
            </w:pPr>
            <w:r>
              <w:rPr/>
              <w:t> </w:t>
            </w:r>
          </w:p>
        </w:tc>
      </w:tr>
      <w:tr>
        <w:trPr/>
        <w:tc>
          <w:tcPr>
            <w:tcW w:w="203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Expected dividend yield</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ind w:left="0" w:right="0" w:hanging="0"/>
              <w:rPr/>
            </w:pPr>
            <w:r>
              <w:rPr/>
              <w:t> </w:t>
            </w:r>
          </w:p>
        </w:tc>
        <w:tc>
          <w:tcPr>
            <w:tcW w:w="1122"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w:t>
            </w:r>
          </w:p>
        </w:tc>
        <w:tc>
          <w:tcPr>
            <w:tcW w:w="103"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ind w:left="0" w:right="0" w:hanging="0"/>
              <w:rPr/>
            </w:pPr>
            <w:r>
              <w:rPr/>
              <w:t> </w:t>
            </w:r>
          </w:p>
        </w:tc>
        <w:tc>
          <w:tcPr>
            <w:tcW w:w="1122"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p>
      <w:pPr>
        <w:pStyle w:val="TextBody"/>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jc w:val="left"/>
        <w:rPr/>
      </w:pPr>
      <w:r>
        <w:rPr/>
        <w:t> </w:t>
      </w:r>
      <w:r>
        <w:rPr>
          <w:rFonts w:ascii="Times New Roman;Times;serif" w:hAnsi="Times New Roman;Times;serif"/>
          <w:b/>
          <w:sz w:val="20"/>
        </w:rPr>
        <w:t xml:space="preserve">Note </w:t>
      </w:r>
      <w:r>
        <w:rPr>
          <w:rStyle w:val="Emphasis"/>
          <w:rFonts w:ascii="Times New Roman;Times;serif" w:hAnsi="Times New Roman;Times;serif"/>
          <w:b/>
          <w:sz w:val="20"/>
        </w:rPr>
        <w:t>9</w:t>
      </w:r>
      <w:r>
        <w:rPr>
          <w:rFonts w:ascii="Times New Roman;Times;serif" w:hAnsi="Times New Roman;Times;serif"/>
          <w:b/>
          <w:sz w:val="20"/>
        </w:rPr>
        <w:t> – Accumulated Other Comprehensive Income (Loss)</w:t>
      </w:r>
    </w:p>
    <w:p>
      <w:pPr>
        <w:pStyle w:val="TextBody"/>
        <w:spacing w:before="0" w:after="0"/>
        <w:ind w:left="0" w:right="0" w:hanging="0"/>
        <w:jc w:val="left"/>
        <w:rPr/>
      </w:pPr>
      <w:r>
        <w:rPr/>
        <w:t> </w:t>
      </w:r>
    </w:p>
    <w:p>
      <w:pPr>
        <w:pStyle w:val="TextBody"/>
        <w:spacing w:before="0" w:after="0"/>
        <w:ind w:left="0" w:right="0" w:hanging="0"/>
        <w:jc w:val="left"/>
        <w:rPr/>
      </w:pPr>
      <w:r>
        <w:rPr>
          <w:rFonts w:ascii="Times New Roman;Times;serif" w:hAnsi="Times New Roman;Times;serif"/>
          <w:sz w:val="20"/>
        </w:rPr>
        <w:t>Other comprehensive income (loss) is comprised of foreign currency translation adjustments and net unrealized gains (losses) on investments in securities. The following table presents the changes in accumulated other comprehensive income (loss) balances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March 31,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w:t>
      </w:r>
    </w:p>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tbl>
      <w:tblPr>
        <w:tblW w:w="7212" w:type="dxa"/>
        <w:jc w:val="left"/>
        <w:tblInd w:w="0" w:type="dxa"/>
        <w:tblCellMar>
          <w:top w:w="0" w:type="dxa"/>
          <w:left w:w="0" w:type="dxa"/>
          <w:bottom w:w="0" w:type="dxa"/>
          <w:right w:w="0" w:type="dxa"/>
        </w:tblCellMar>
      </w:tblPr>
      <w:tblGrid>
        <w:gridCol w:w="5315"/>
        <w:gridCol w:w="60"/>
        <w:gridCol w:w="130"/>
        <w:gridCol w:w="676"/>
        <w:gridCol w:w="83"/>
        <w:gridCol w:w="62"/>
        <w:gridCol w:w="130"/>
        <w:gridCol w:w="676"/>
        <w:gridCol w:w="80"/>
      </w:tblGrid>
      <w:tr>
        <w:trPr/>
        <w:tc>
          <w:tcPr>
            <w:tcW w:w="53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57" w:type="dxa"/>
            <w:gridSpan w:val="6"/>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w:t>
            </w:r>
          </w:p>
        </w:tc>
        <w:tc>
          <w:tcPr>
            <w:tcW w:w="80" w:type="dxa"/>
            <w:tcBorders/>
            <w:shd w:fill="FFFFFF" w:val="clear"/>
            <w:vAlign w:val="center"/>
          </w:tcPr>
          <w:p>
            <w:pPr>
              <w:pStyle w:val="TableContents"/>
              <w:spacing w:before="0" w:after="283"/>
              <w:rPr/>
            </w:pPr>
            <w:r>
              <w:rPr/>
              <w:t> </w:t>
            </w:r>
          </w:p>
        </w:tc>
      </w:tr>
      <w:tr>
        <w:trPr/>
        <w:tc>
          <w:tcPr>
            <w:tcW w:w="53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57"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March 31,</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531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shd w:fill="FFFFFF" w:val="clear"/>
            <w:vAlign w:val="center"/>
          </w:tcPr>
          <w:p>
            <w:pPr>
              <w:pStyle w:val="TableContents"/>
              <w:spacing w:before="0" w:after="283"/>
              <w:ind w:left="0" w:right="0" w:hanging="0"/>
              <w:rPr/>
            </w:pPr>
            <w:r>
              <w:rPr/>
              <w:t> </w:t>
            </w:r>
          </w:p>
        </w:tc>
        <w:tc>
          <w:tcPr>
            <w:tcW w:w="806"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2023</w:t>
            </w:r>
          </w:p>
        </w:tc>
        <w:tc>
          <w:tcPr>
            <w:tcW w:w="83" w:type="dxa"/>
            <w:tcBorders>
              <w:bottom w:val="single" w:sz="2" w:space="0" w:color="000000"/>
            </w:tcBorders>
            <w:shd w:fill="FFFFFF" w:val="clear"/>
            <w:tcMar>
              <w:bottom w:w="28" w:type="dxa"/>
            </w:tcMar>
            <w:vAlign w:val="center"/>
          </w:tcPr>
          <w:p>
            <w:pPr>
              <w:pStyle w:val="TableContents"/>
              <w:spacing w:before="0" w:after="283"/>
              <w:rPr/>
            </w:pPr>
            <w:r>
              <w:rPr/>
              <w:t> </w:t>
            </w:r>
          </w:p>
        </w:tc>
        <w:tc>
          <w:tcPr>
            <w:tcW w:w="62" w:type="dxa"/>
            <w:tcBorders/>
            <w:shd w:fill="FFFFFF" w:val="clear"/>
            <w:vAlign w:val="center"/>
          </w:tcPr>
          <w:p>
            <w:pPr>
              <w:pStyle w:val="TableContents"/>
              <w:spacing w:before="0" w:after="283"/>
              <w:ind w:left="0" w:right="0" w:hanging="0"/>
              <w:rPr/>
            </w:pPr>
            <w:r>
              <w:rPr/>
              <w:t> </w:t>
            </w:r>
          </w:p>
        </w:tc>
        <w:tc>
          <w:tcPr>
            <w:tcW w:w="806"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53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rPr/>
            </w:pPr>
            <w:r>
              <w:rPr/>
              <w:t> </w:t>
            </w:r>
          </w:p>
        </w:tc>
        <w:tc>
          <w:tcPr>
            <w:tcW w:w="676"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rPr/>
            </w:pPr>
            <w:r>
              <w:rPr/>
              <w:t> </w:t>
            </w:r>
          </w:p>
        </w:tc>
        <w:tc>
          <w:tcPr>
            <w:tcW w:w="676"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53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 at beginning of period</w:t>
            </w:r>
          </w:p>
        </w:tc>
        <w:tc>
          <w:tcPr>
            <w:tcW w:w="60" w:type="dxa"/>
            <w:tcBorders/>
            <w:shd w:fill="CCEEFF" w:val="clear"/>
            <w:vAlign w:val="center"/>
          </w:tcPr>
          <w:p>
            <w:pPr>
              <w:pStyle w:val="TableContents"/>
              <w:spacing w:before="0" w:after="283"/>
              <w:ind w:left="0" w:right="0" w:hanging="0"/>
              <w:rPr/>
            </w:pPr>
            <w:r>
              <w:rPr/>
              <w:t> </w:t>
            </w:r>
          </w:p>
        </w:tc>
        <w:tc>
          <w:tcPr>
            <w:tcW w:w="13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7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(34,355</w:t>
            </w:r>
          </w:p>
        </w:tc>
        <w:tc>
          <w:tcPr>
            <w:tcW w:w="83"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spacing w:before="0" w:after="283"/>
              <w:ind w:left="0" w:right="0" w:hanging="0"/>
              <w:rPr/>
            </w:pPr>
            <w:r>
              <w:rPr/>
              <w:t> </w:t>
            </w:r>
          </w:p>
        </w:tc>
        <w:tc>
          <w:tcPr>
            <w:tcW w:w="13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7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(16,817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5315" w:type="dxa"/>
            <w:tcBorders/>
            <w:shd w:fill="FFFFFF" w:val="clear"/>
            <w:vAlign w:val="center"/>
          </w:tcPr>
          <w:p>
            <w:pPr>
              <w:pStyle w:val="TableContents"/>
              <w:spacing w:before="0" w:after="0"/>
              <w:ind w:left="180" w:right="0" w:hanging="0"/>
              <w:rPr>
                <w:rFonts w:ascii="Times New Roman" w:hAnsi="Times New Roman"/>
                <w:i/>
                <w:caps w:val="false"/>
                <w:smallCaps w:val="false"/>
                <w:sz w:val="20"/>
              </w:rPr>
            </w:pPr>
            <w:r>
              <w:rPr>
                <w:rFonts w:ascii="Times New Roman" w:hAnsi="Times New Roman"/>
                <w:i/>
                <w:caps w:val="false"/>
                <w:smallCaps w:val="false"/>
                <w:sz w:val="20"/>
              </w:rPr>
              <w:t>Foreign currency translation adjustments</w:t>
            </w:r>
          </w:p>
        </w:tc>
        <w:tc>
          <w:tcPr>
            <w:tcW w:w="60"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rPr/>
            </w:pPr>
            <w:r>
              <w:rPr/>
              <w:t> </w:t>
            </w:r>
          </w:p>
        </w:tc>
        <w:tc>
          <w:tcPr>
            <w:tcW w:w="676"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rPr/>
            </w:pPr>
            <w:r>
              <w:rPr/>
              <w:t> </w:t>
            </w:r>
          </w:p>
        </w:tc>
        <w:tc>
          <w:tcPr>
            <w:tcW w:w="676"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531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Other comprehensive income (loss) before reclassifications</w:t>
            </w:r>
          </w:p>
        </w:tc>
        <w:tc>
          <w:tcPr>
            <w:tcW w:w="60"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676"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527</w:t>
            </w:r>
          </w:p>
        </w:tc>
        <w:tc>
          <w:tcPr>
            <w:tcW w:w="83"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676"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(4,972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5315" w:type="dxa"/>
            <w:tcBorders/>
            <w:shd w:fill="FFFF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Amounts reclassified from accumulated other comprehensive loss</w:t>
            </w:r>
          </w:p>
        </w:tc>
        <w:tc>
          <w:tcPr>
            <w:tcW w:w="60" w:type="dxa"/>
            <w:tcBorders/>
            <w:shd w:fill="FFFFFF" w:val="clear"/>
            <w:vAlign w:val="center"/>
          </w:tcPr>
          <w:p>
            <w:pPr>
              <w:pStyle w:val="TableContents"/>
              <w:spacing w:before="0" w:after="283"/>
              <w:rPr/>
            </w:pPr>
            <w:r>
              <w:rPr/>
              <w:t> </w:t>
            </w:r>
          </w:p>
        </w:tc>
        <w:tc>
          <w:tcPr>
            <w:tcW w:w="13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7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3" w:type="dxa"/>
            <w:tcBorders>
              <w:bottom w:val="single" w:sz="2" w:space="0" w:color="000000"/>
            </w:tcBorders>
            <w:shd w:fill="FFFFFF" w:val="clear"/>
            <w:tcMar>
              <w:bottom w:w="28" w:type="dxa"/>
            </w:tcMar>
            <w:vAlign w:val="center"/>
          </w:tcPr>
          <w:p>
            <w:pPr>
              <w:pStyle w:val="TableContents"/>
              <w:spacing w:before="0" w:after="283"/>
              <w:rPr/>
            </w:pPr>
            <w:r>
              <w:rPr/>
              <w:t> </w:t>
            </w:r>
          </w:p>
        </w:tc>
        <w:tc>
          <w:tcPr>
            <w:tcW w:w="62" w:type="dxa"/>
            <w:tcBorders/>
            <w:shd w:fill="FFFFFF" w:val="clear"/>
            <w:vAlign w:val="center"/>
          </w:tcPr>
          <w:p>
            <w:pPr>
              <w:pStyle w:val="TableContents"/>
              <w:spacing w:before="0" w:after="283"/>
              <w:rPr/>
            </w:pPr>
            <w:r>
              <w:rPr/>
              <w:t> </w:t>
            </w:r>
          </w:p>
        </w:tc>
        <w:tc>
          <w:tcPr>
            <w:tcW w:w="13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7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5315" w:type="dxa"/>
            <w:tcBorders/>
            <w:shd w:fill="CCEE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Net current-period other comprehensive income (loss)</w:t>
            </w:r>
          </w:p>
        </w:tc>
        <w:tc>
          <w:tcPr>
            <w:tcW w:w="60" w:type="dxa"/>
            <w:tcBorders/>
            <w:shd w:fill="CCEEFF" w:val="clear"/>
            <w:vAlign w:val="center"/>
          </w:tcPr>
          <w:p>
            <w:pPr>
              <w:pStyle w:val="TableContents"/>
              <w:spacing w:before="0" w:after="283"/>
              <w:rPr/>
            </w:pPr>
            <w:r>
              <w:rPr/>
              <w:t> </w:t>
            </w:r>
          </w:p>
        </w:tc>
        <w:tc>
          <w:tcPr>
            <w:tcW w:w="13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527</w:t>
            </w:r>
          </w:p>
        </w:tc>
        <w:tc>
          <w:tcPr>
            <w:tcW w:w="83" w:type="dxa"/>
            <w:tcBorders>
              <w:bottom w:val="single" w:sz="2" w:space="0" w:color="000000"/>
            </w:tcBorders>
            <w:shd w:fill="CCEEFF" w:val="clear"/>
            <w:tcMar>
              <w:bottom w:w="28" w:type="dxa"/>
            </w:tcM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3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(4,972</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5315" w:type="dxa"/>
            <w:tcBorders/>
            <w:shd w:fill="FFFFFF" w:val="clear"/>
            <w:vAlign w:val="center"/>
          </w:tcPr>
          <w:p>
            <w:pPr>
              <w:pStyle w:val="TableContents"/>
              <w:spacing w:before="0" w:after="0"/>
              <w:ind w:left="180" w:right="0" w:hanging="0"/>
              <w:rPr>
                <w:rFonts w:ascii="Times New Roman" w:hAnsi="Times New Roman"/>
                <w:i/>
                <w:caps w:val="false"/>
                <w:smallCaps w:val="false"/>
                <w:sz w:val="20"/>
              </w:rPr>
            </w:pPr>
            <w:r>
              <w:rPr>
                <w:rFonts w:ascii="Times New Roman" w:hAnsi="Times New Roman"/>
                <w:i/>
                <w:caps w:val="false"/>
                <w:smallCaps w:val="false"/>
                <w:sz w:val="20"/>
              </w:rPr>
              <w:t>Net unrealized gains (losses) on investments in securities</w:t>
            </w:r>
          </w:p>
        </w:tc>
        <w:tc>
          <w:tcPr>
            <w:tcW w:w="60"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rPr/>
            </w:pPr>
            <w:r>
              <w:rPr/>
              <w:t> </w:t>
            </w:r>
          </w:p>
        </w:tc>
        <w:tc>
          <w:tcPr>
            <w:tcW w:w="676"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rPr/>
            </w:pPr>
            <w:r>
              <w:rPr/>
              <w:t> </w:t>
            </w:r>
          </w:p>
        </w:tc>
        <w:tc>
          <w:tcPr>
            <w:tcW w:w="676"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531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Other comprehensive income (loss) before reclassifications</w:t>
            </w:r>
          </w:p>
        </w:tc>
        <w:tc>
          <w:tcPr>
            <w:tcW w:w="60"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676"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334</w:t>
            </w:r>
          </w:p>
        </w:tc>
        <w:tc>
          <w:tcPr>
            <w:tcW w:w="83"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676"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(516</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5315" w:type="dxa"/>
            <w:tcBorders/>
            <w:shd w:fill="FFFF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Amounts reclassified from accumulated other comprehensive loss</w:t>
            </w:r>
          </w:p>
        </w:tc>
        <w:tc>
          <w:tcPr>
            <w:tcW w:w="60" w:type="dxa"/>
            <w:tcBorders/>
            <w:shd w:fill="FFFFFF" w:val="clear"/>
            <w:vAlign w:val="center"/>
          </w:tcPr>
          <w:p>
            <w:pPr>
              <w:pStyle w:val="TableContents"/>
              <w:spacing w:before="0" w:after="283"/>
              <w:rPr/>
            </w:pPr>
            <w:r>
              <w:rPr/>
              <w:t> </w:t>
            </w:r>
          </w:p>
        </w:tc>
        <w:tc>
          <w:tcPr>
            <w:tcW w:w="13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7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3" w:type="dxa"/>
            <w:tcBorders>
              <w:bottom w:val="single" w:sz="2" w:space="0" w:color="000000"/>
            </w:tcBorders>
            <w:shd w:fill="FFFFFF" w:val="clear"/>
            <w:tcMar>
              <w:bottom w:w="28" w:type="dxa"/>
            </w:tcMar>
            <w:vAlign w:val="center"/>
          </w:tcPr>
          <w:p>
            <w:pPr>
              <w:pStyle w:val="TableContents"/>
              <w:spacing w:before="0" w:after="283"/>
              <w:rPr/>
            </w:pPr>
            <w:r>
              <w:rPr/>
              <w:t> </w:t>
            </w:r>
          </w:p>
        </w:tc>
        <w:tc>
          <w:tcPr>
            <w:tcW w:w="62" w:type="dxa"/>
            <w:tcBorders/>
            <w:shd w:fill="FFFFFF" w:val="clear"/>
            <w:vAlign w:val="center"/>
          </w:tcPr>
          <w:p>
            <w:pPr>
              <w:pStyle w:val="TableContents"/>
              <w:spacing w:before="0" w:after="283"/>
              <w:rPr/>
            </w:pPr>
            <w:r>
              <w:rPr/>
              <w:t> </w:t>
            </w:r>
          </w:p>
        </w:tc>
        <w:tc>
          <w:tcPr>
            <w:tcW w:w="13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7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5315" w:type="dxa"/>
            <w:tcBorders/>
            <w:shd w:fill="CCEE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Net current-period other comprehensive income (loss)</w:t>
            </w:r>
          </w:p>
        </w:tc>
        <w:tc>
          <w:tcPr>
            <w:tcW w:w="60" w:type="dxa"/>
            <w:tcBorders/>
            <w:shd w:fill="CCEEFF" w:val="clear"/>
            <w:vAlign w:val="center"/>
          </w:tcPr>
          <w:p>
            <w:pPr>
              <w:pStyle w:val="TableContents"/>
              <w:spacing w:before="0" w:after="283"/>
              <w:rPr/>
            </w:pPr>
            <w:r>
              <w:rPr/>
              <w:t> </w:t>
            </w:r>
          </w:p>
        </w:tc>
        <w:tc>
          <w:tcPr>
            <w:tcW w:w="13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334</w:t>
            </w:r>
          </w:p>
        </w:tc>
        <w:tc>
          <w:tcPr>
            <w:tcW w:w="83" w:type="dxa"/>
            <w:tcBorders>
              <w:bottom w:val="single" w:sz="2" w:space="0" w:color="000000"/>
            </w:tcBorders>
            <w:shd w:fill="CCEEFF" w:val="clear"/>
            <w:tcMar>
              <w:bottom w:w="28" w:type="dxa"/>
            </w:tcM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3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(516</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531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 at end of period</w:t>
            </w:r>
          </w:p>
        </w:tc>
        <w:tc>
          <w:tcPr>
            <w:tcW w:w="60" w:type="dxa"/>
            <w:tcBorders/>
            <w:shd w:fill="FFFFFF" w:val="clear"/>
            <w:vAlign w:val="center"/>
          </w:tcPr>
          <w:p>
            <w:pPr>
              <w:pStyle w:val="TableContents"/>
              <w:spacing w:before="0" w:after="283"/>
              <w:ind w:left="0" w:right="0" w:hanging="0"/>
              <w:rPr/>
            </w:pPr>
            <w:r>
              <w:rPr/>
              <w:t> </w:t>
            </w:r>
          </w:p>
        </w:tc>
        <w:tc>
          <w:tcPr>
            <w:tcW w:w="13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7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(33,494</w:t>
            </w:r>
          </w:p>
        </w:tc>
        <w:tc>
          <w:tcPr>
            <w:tcW w:w="83" w:type="dxa"/>
            <w:tcBorders>
              <w:bottom w:val="double" w:sz="6"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2" w:type="dxa"/>
            <w:tcBorders/>
            <w:shd w:fill="FFFFFF" w:val="clear"/>
            <w:vAlign w:val="center"/>
          </w:tcPr>
          <w:p>
            <w:pPr>
              <w:pStyle w:val="TableContents"/>
              <w:spacing w:before="0" w:after="283"/>
              <w:ind w:left="0" w:right="0" w:hanging="0"/>
              <w:rPr/>
            </w:pPr>
            <w:r>
              <w:rPr/>
              <w:t> </w:t>
            </w:r>
          </w:p>
        </w:tc>
        <w:tc>
          <w:tcPr>
            <w:tcW w:w="13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7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(22,305</w:t>
            </w:r>
          </w:p>
        </w:tc>
        <w:tc>
          <w:tcPr>
            <w:tcW w:w="80" w:type="dxa"/>
            <w:tcBorders>
              <w:bottom w:val="double" w:sz="6"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t> </w:t>
      </w:r>
    </w:p>
    <w:p>
      <w:pPr>
        <w:pStyle w:val="HorizontalLine"/>
        <w:rPr/>
      </w:pPr>
      <w:r>
        <w:rPr/>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10</w:t>
      </w:r>
      <w:r>
        <w:rPr>
          <w:rFonts w:ascii="Times New Roman;Times;serif" w:hAnsi="Times New Roman;Times;serif"/>
          <w:b/>
          <w:sz w:val="20"/>
        </w:rPr>
        <w:t> – Income Taxes</w:t>
      </w:r>
    </w:p>
    <w:p>
      <w:pPr>
        <w:pStyle w:val="TextBody"/>
        <w:spacing w:before="0" w:after="0"/>
        <w:ind w:left="0" w:right="0" w:hanging="0"/>
        <w:jc w:val="left"/>
        <w:rPr/>
      </w:pPr>
      <w:r>
        <w:rPr/>
        <w:t> </w:t>
      </w:r>
    </w:p>
    <w:p>
      <w:pPr>
        <w:pStyle w:val="TextBody"/>
        <w:spacing w:before="0" w:after="0"/>
        <w:ind w:left="0" w:right="0" w:hanging="0"/>
        <w:jc w:val="left"/>
        <w:rPr/>
      </w:pPr>
      <w:r>
        <w:rPr>
          <w:rFonts w:ascii="Times New Roman;Times;serif" w:hAnsi="Times New Roman;Times;serif"/>
          <w:sz w:val="20"/>
        </w:rPr>
        <w:t xml:space="preserve">The Company is subject to income tax in multiple jurisdictions and the use of estimates is required to determine the provision for income taxes.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 March 31,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xml:space="preserve">, the Company recorded an income tax provision of $2.4 million and $2.5 million, respectively. The income tax provision is based on the estimated annual effective tax rate for the year applied to pre-tax income. The effective income tax rate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 March 31, 2023</w:t>
      </w:r>
      <w:r>
        <w:rPr>
          <w:rFonts w:ascii="Times New Roman;Times;serif" w:hAnsi="Times New Roman;Times;serif"/>
          <w:sz w:val="20"/>
        </w:rPr>
        <w:t xml:space="preserve"> was 47.2 percent compared to 32.9 percent in the same period of the prior year. The effective tax rate increased by 14.3 percent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 March 31, 2023</w:t>
      </w:r>
      <w:r>
        <w:rPr>
          <w:rFonts w:ascii="Times New Roman;Times;serif" w:hAnsi="Times New Roman;Times;serif"/>
          <w:sz w:val="20"/>
        </w:rPr>
        <w:t xml:space="preserve"> when compared to the same period in </w:t>
      </w:r>
      <w:r>
        <w:rPr>
          <w:rStyle w:val="Emphasis"/>
          <w:rFonts w:ascii="Times New Roman;Times;serif" w:hAnsi="Times New Roman;Times;serif"/>
          <w:sz w:val="20"/>
        </w:rPr>
        <w:t>2022</w:t>
      </w:r>
      <w:r>
        <w:rPr>
          <w:rFonts w:ascii="Times New Roman;Times;serif" w:hAnsi="Times New Roman;Times;serif"/>
          <w:sz w:val="20"/>
        </w:rPr>
        <w:t xml:space="preserve">, primarily due to a decrease in tax benefits from the vesting of restricted stock, the cancellation of performance stock units and the exercise of stock options, as well as an increase in the rate impact of losses in jurisdictions that are </w:t>
      </w:r>
      <w:r>
        <w:rPr>
          <w:rStyle w:val="Emphasis"/>
          <w:rFonts w:ascii="Times New Roman;Times;serif" w:hAnsi="Times New Roman;Times;serif"/>
          <w:sz w:val="20"/>
        </w:rPr>
        <w:t>not</w:t>
      </w:r>
      <w:r>
        <w:rPr>
          <w:rFonts w:ascii="Times New Roman;Times;serif" w:hAnsi="Times New Roman;Times;serif"/>
          <w:sz w:val="20"/>
        </w:rPr>
        <w:t xml:space="preserve"> eligible for tax benefits due to valuation allowances.</w:t>
      </w:r>
    </w:p>
    <w:p>
      <w:pPr>
        <w:pStyle w:val="TextBody"/>
        <w:spacing w:before="0" w:after="0"/>
        <w:ind w:left="0" w:right="0" w:hanging="0"/>
        <w:jc w:val="left"/>
        <w:rPr/>
      </w:pPr>
      <w:r>
        <w:rPr/>
        <w:t> </w:t>
      </w:r>
    </w:p>
    <w:p>
      <w:pPr>
        <w:pStyle w:val="TextBody"/>
        <w:spacing w:before="0" w:after="0"/>
        <w:ind w:left="0" w:right="0" w:hanging="0"/>
        <w:jc w:val="left"/>
        <w:rPr/>
      </w:pPr>
      <w:r>
        <w:rPr>
          <w:rFonts w:ascii="Times New Roman;Times;serif" w:hAnsi="Times New Roman;Times;serif"/>
          <w:sz w:val="20"/>
        </w:rPr>
        <w:t>The effective income tax rate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March 31, 2023</w:t>
      </w:r>
      <w:r>
        <w:rPr>
          <w:rFonts w:ascii="Times New Roman;Times;serif" w:hAnsi="Times New Roman;Times;serif"/>
          <w:sz w:val="20"/>
        </w:rPr>
        <w:t xml:space="preserve"> differs from the U.S. federal statutory rate of 21.0 percent due to various factors, including operating in multiple state and foreign jurisdictions and tax credits for which the Company qualifies.</w:t>
      </w:r>
    </w:p>
    <w:p>
      <w:pPr>
        <w:pStyle w:val="TextBody"/>
        <w:spacing w:before="0" w:after="0"/>
        <w:ind w:left="0" w:right="0" w:hanging="0"/>
        <w:jc w:val="left"/>
        <w:rPr/>
      </w:pPr>
      <w:r>
        <w:rPr/>
        <w:t> </w:t>
      </w:r>
    </w:p>
    <w:p>
      <w:pPr>
        <w:pStyle w:val="TextBody"/>
        <w:spacing w:before="0" w:after="0"/>
        <w:ind w:left="0" w:right="0" w:hanging="0"/>
        <w:jc w:val="left"/>
        <w:rPr/>
      </w:pPr>
      <w:r>
        <w:rPr>
          <w:rFonts w:ascii="Times New Roman;Times;serif" w:hAnsi="Times New Roman;Times;serif"/>
          <w:sz w:val="20"/>
        </w:rPr>
        <w:t xml:space="preserve">The Company had unrecognized tax benefits totaling $4.7 million as of </w:t>
      </w:r>
      <w:r>
        <w:rPr>
          <w:rStyle w:val="Emphasis"/>
          <w:rFonts w:ascii="Times New Roman;Times;serif" w:hAnsi="Times New Roman;Times;serif"/>
          <w:sz w:val="20"/>
        </w:rPr>
        <w:t>March 31, 2023</w:t>
      </w:r>
      <w:r>
        <w:rPr>
          <w:rFonts w:ascii="Times New Roman;Times;serif" w:hAnsi="Times New Roman;Times;serif"/>
          <w:sz w:val="20"/>
        </w:rPr>
        <w:t xml:space="preserve"> and $4.5 million as of </w:t>
      </w:r>
      <w:r>
        <w:rPr>
          <w:rStyle w:val="Emphasis"/>
          <w:rFonts w:ascii="Times New Roman;Times;serif" w:hAnsi="Times New Roman;Times;serif"/>
          <w:sz w:val="20"/>
        </w:rPr>
        <w:t xml:space="preserve"> December 31, 2022</w:t>
      </w:r>
      <w:r>
        <w:rPr>
          <w:rFonts w:ascii="Times New Roman;Times;serif" w:hAnsi="Times New Roman;Times;serif"/>
          <w:sz w:val="20"/>
        </w:rPr>
        <w:t>, respectively, that if recognized would result in a reduction of the Company’s effective tax rate. The liabilities are classified as other long-term liabilities in the accompanying consolidated balance sheets. The Company recognizes interest and penalties related to income tax matters in income tax expense and reports the liability in current or long-term income taxes payable as appropriate. </w:t>
      </w:r>
    </w:p>
    <w:p>
      <w:pPr>
        <w:pStyle w:val="TextBody"/>
        <w:spacing w:before="0" w:after="0"/>
        <w:ind w:left="0" w:right="0" w:hanging="0"/>
        <w:jc w:val="left"/>
        <w:rPr/>
      </w:pPr>
      <w:r>
        <w:rPr/>
        <w:t> </w:t>
      </w:r>
    </w:p>
    <w:p>
      <w:pPr>
        <w:pStyle w:val="TextBody"/>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11</w:t>
      </w:r>
      <w:r>
        <w:rPr>
          <w:rFonts w:ascii="Times New Roman;Times;serif" w:hAnsi="Times New Roman;Times;serif"/>
          <w:b/>
          <w:sz w:val="20"/>
        </w:rPr>
        <w:t> – Segment Reporting</w:t>
      </w:r>
    </w:p>
    <w:p>
      <w:pPr>
        <w:pStyle w:val="TextBody"/>
        <w:spacing w:before="0" w:after="0"/>
        <w:ind w:left="0" w:right="0" w:hanging="0"/>
        <w:jc w:val="left"/>
        <w:rPr/>
      </w:pPr>
      <w:r>
        <w:rPr/>
        <w:t> </w:t>
      </w:r>
    </w:p>
    <w:p>
      <w:pPr>
        <w:pStyle w:val="TextBody"/>
        <w:spacing w:before="0" w:after="0"/>
        <w:ind w:left="0" w:right="0" w:hanging="0"/>
        <w:jc w:val="left"/>
        <w:rPr/>
      </w:pPr>
      <w:r>
        <w:rPr>
          <w:rFonts w:ascii="Times New Roman;Times;serif" w:hAnsi="Times New Roman;Times;serif"/>
          <w:sz w:val="20"/>
        </w:rPr>
        <w:t xml:space="preserve">The Company’s reportable segments are based on the internal reporting used by the Company’s Chief Executive Officer, who is the chief operating decision maker (CODM), to assess operating performance and make decisions about the allocation of resources. The Corporate Unallocated and Japan category includes non-reportable segments, as well as research and development and general and administrative costs, that the Company does </w:t>
      </w:r>
      <w:r>
        <w:rPr>
          <w:rStyle w:val="Emphasis"/>
          <w:rFonts w:ascii="Times New Roman;Times;serif" w:hAnsi="Times New Roman;Times;serif"/>
          <w:sz w:val="20"/>
        </w:rPr>
        <w:t>not</w:t>
      </w:r>
      <w:r>
        <w:rPr>
          <w:rFonts w:ascii="Times New Roman;Times;serif" w:hAnsi="Times New Roman;Times;serif"/>
          <w:sz w:val="20"/>
        </w:rPr>
        <w:t xml:space="preserve"> allocate directly to its operating segments.</w:t>
      </w:r>
    </w:p>
    <w:p>
      <w:pPr>
        <w:pStyle w:val="TextBody"/>
        <w:spacing w:before="0" w:after="0"/>
        <w:ind w:left="0" w:right="0" w:hanging="0"/>
        <w:jc w:val="left"/>
        <w:rPr/>
      </w:pPr>
      <w:r>
        <w:rPr/>
        <w:t> </w:t>
      </w:r>
    </w:p>
    <w:p>
      <w:pPr>
        <w:pStyle w:val="TextBody"/>
        <w:spacing w:before="0" w:after="0"/>
        <w:ind w:left="0" w:right="0" w:hanging="0"/>
        <w:jc w:val="left"/>
        <w:rPr/>
      </w:pPr>
      <w:r>
        <w:rPr>
          <w:rFonts w:ascii="Times New Roman;Times;serif" w:hAnsi="Times New Roman;Times;serif"/>
          <w:sz w:val="20"/>
        </w:rPr>
        <w:t xml:space="preserve">Intercompany transactions primarily relate to intercontinental activity and have been eliminated and are excluded from the reported amounts. The difference between income from operations and pre-tax income relates to foreign currency-related gains and losses and interest income on cash balances and investments, which are </w:t>
      </w:r>
      <w:r>
        <w:rPr>
          <w:rStyle w:val="Emphasis"/>
          <w:rFonts w:ascii="Times New Roman;Times;serif" w:hAnsi="Times New Roman;Times;serif"/>
          <w:sz w:val="20"/>
        </w:rPr>
        <w:t>not</w:t>
      </w:r>
      <w:r>
        <w:rPr>
          <w:rFonts w:ascii="Times New Roman;Times;serif" w:hAnsi="Times New Roman;Times;serif"/>
          <w:sz w:val="20"/>
        </w:rPr>
        <w:t xml:space="preserve"> allocated to business segments. </w:t>
      </w:r>
    </w:p>
    <w:p>
      <w:pPr>
        <w:pStyle w:val="TextBody"/>
        <w:spacing w:before="0" w:after="0"/>
        <w:ind w:left="0" w:right="0" w:hanging="0"/>
        <w:jc w:val="left"/>
        <w:rPr/>
      </w:pPr>
      <w:r>
        <w:rPr/>
        <w:t> </w:t>
      </w:r>
    </w:p>
    <w:p>
      <w:pPr>
        <w:pStyle w:val="TextBody"/>
        <w:spacing w:before="0" w:after="0"/>
        <w:ind w:left="0" w:right="0" w:hanging="0"/>
        <w:jc w:val="left"/>
        <w:rPr/>
      </w:pPr>
      <w:r>
        <w:rPr>
          <w:rFonts w:ascii="Times New Roman;Times;serif" w:hAnsi="Times New Roman;Times;serif"/>
          <w:sz w:val="20"/>
        </w:rPr>
        <w:t>Revenue and income from operations by reportable segment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March 31,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xml:space="preserve"> were as follows:</w:t>
      </w:r>
    </w:p>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tbl>
      <w:tblPr>
        <w:tblW w:w="3951" w:type="dxa"/>
        <w:jc w:val="left"/>
        <w:tblInd w:w="0" w:type="dxa"/>
        <w:tblCellMar>
          <w:top w:w="0" w:type="dxa"/>
          <w:left w:w="0" w:type="dxa"/>
          <w:bottom w:w="0" w:type="dxa"/>
          <w:right w:w="0" w:type="dxa"/>
        </w:tblCellMar>
      </w:tblPr>
      <w:tblGrid>
        <w:gridCol w:w="1175"/>
        <w:gridCol w:w="60"/>
        <w:gridCol w:w="188"/>
        <w:gridCol w:w="1050"/>
        <w:gridCol w:w="90"/>
        <w:gridCol w:w="90"/>
        <w:gridCol w:w="188"/>
        <w:gridCol w:w="1050"/>
        <w:gridCol w:w="60"/>
      </w:tblGrid>
      <w:tr>
        <w:trPr/>
        <w:tc>
          <w:tcPr>
            <w:tcW w:w="117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656"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 March 31,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117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shd w:fill="FFFFFF" w:val="clear"/>
            <w:vAlign w:val="center"/>
          </w:tcPr>
          <w:p>
            <w:pPr>
              <w:pStyle w:val="TableContents"/>
              <w:spacing w:before="0" w:after="283"/>
              <w:ind w:left="0" w:right="0" w:hanging="0"/>
              <w:rPr/>
            </w:pPr>
            <w:r>
              <w:rPr/>
              <w:t> </w:t>
            </w:r>
          </w:p>
        </w:tc>
        <w:tc>
          <w:tcPr>
            <w:tcW w:w="1238"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2023</w:t>
            </w:r>
          </w:p>
        </w:tc>
        <w:tc>
          <w:tcPr>
            <w:tcW w:w="90" w:type="dxa"/>
            <w:tcBorders>
              <w:bottom w:val="single" w:sz="2" w:space="0" w:color="000000"/>
            </w:tcBorders>
            <w:shd w:fill="FFFFFF" w:val="clear"/>
            <w:tcMar>
              <w:bottom w:w="28" w:type="dxa"/>
            </w:tcMar>
            <w:vAlign w:val="center"/>
          </w:tcPr>
          <w:p>
            <w:pPr>
              <w:pStyle w:val="TableContents"/>
              <w:spacing w:before="0" w:after="283"/>
              <w:rPr/>
            </w:pPr>
            <w:r>
              <w:rPr/>
              <w:t> </w:t>
            </w:r>
          </w:p>
        </w:tc>
        <w:tc>
          <w:tcPr>
            <w:tcW w:w="90" w:type="dxa"/>
            <w:tcBorders/>
            <w:shd w:fill="FFFFFF" w:val="clear"/>
            <w:vAlign w:val="center"/>
          </w:tcPr>
          <w:p>
            <w:pPr>
              <w:pStyle w:val="TableContents"/>
              <w:spacing w:before="0" w:after="283"/>
              <w:ind w:left="0" w:right="0" w:hanging="0"/>
              <w:rPr/>
            </w:pPr>
            <w:r>
              <w:rPr/>
              <w:t> </w:t>
            </w:r>
          </w:p>
        </w:tc>
        <w:tc>
          <w:tcPr>
            <w:tcW w:w="1238"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1175"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Revenue:</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rPr/>
            </w:pPr>
            <w:r>
              <w:rPr/>
              <w:t> </w:t>
            </w:r>
          </w:p>
        </w:tc>
        <w:tc>
          <w:tcPr>
            <w:tcW w:w="105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rPr/>
            </w:pPr>
            <w:r>
              <w:rPr/>
              <w:t> </w:t>
            </w:r>
          </w:p>
        </w:tc>
        <w:tc>
          <w:tcPr>
            <w:tcW w:w="10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r>
      <w:tr>
        <w:trPr/>
        <w:tc>
          <w:tcPr>
            <w:tcW w:w="117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United States</w:t>
            </w:r>
          </w:p>
        </w:tc>
        <w:tc>
          <w:tcPr>
            <w:tcW w:w="60" w:type="dxa"/>
            <w:tcBorders/>
            <w:shd w:fill="FFFFFF" w:val="clear"/>
            <w:vAlign w:val="center"/>
          </w:tcPr>
          <w:p>
            <w:pPr>
              <w:pStyle w:val="TableContents"/>
              <w:spacing w:before="0" w:after="283"/>
              <w:ind w:left="0" w:right="0" w:hanging="0"/>
              <w:rPr/>
            </w:pPr>
            <w:r>
              <w:rPr/>
              <w:t> </w:t>
            </w:r>
          </w:p>
        </w:tc>
        <w:tc>
          <w:tcPr>
            <w:tcW w:w="188"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97,746</w:t>
            </w:r>
          </w:p>
        </w:tc>
        <w:tc>
          <w:tcPr>
            <w:tcW w:w="9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ind w:left="0" w:right="0" w:hanging="0"/>
              <w:rPr/>
            </w:pPr>
            <w:r>
              <w:rPr/>
              <w:t> </w:t>
            </w:r>
          </w:p>
        </w:tc>
        <w:tc>
          <w:tcPr>
            <w:tcW w:w="188"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95,496</w:t>
            </w:r>
          </w:p>
        </w:tc>
        <w:tc>
          <w:tcPr>
            <w:tcW w:w="60" w:type="dxa"/>
            <w:tcBorders/>
            <w:shd w:fill="FFFFFF" w:val="clear"/>
            <w:vAlign w:val="center"/>
          </w:tcPr>
          <w:p>
            <w:pPr>
              <w:pStyle w:val="TableContents"/>
              <w:spacing w:before="0" w:after="283"/>
              <w:rPr/>
            </w:pPr>
            <w:r>
              <w:rPr/>
              <w:t> </w:t>
            </w:r>
          </w:p>
        </w:tc>
      </w:tr>
      <w:tr>
        <w:trPr/>
        <w:tc>
          <w:tcPr>
            <w:tcW w:w="117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Europe</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ind w:left="0" w:right="0" w:hanging="0"/>
              <w:rPr/>
            </w:pPr>
            <w:r>
              <w:rPr/>
              <w:t> </w:t>
            </w:r>
          </w:p>
        </w:tc>
        <w:tc>
          <w:tcPr>
            <w:tcW w:w="10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28,113</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ind w:left="0" w:right="0" w:hanging="0"/>
              <w:rPr/>
            </w:pPr>
            <w:r>
              <w:rPr/>
              <w:t> </w:t>
            </w:r>
          </w:p>
        </w:tc>
        <w:tc>
          <w:tcPr>
            <w:tcW w:w="10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24,586</w:t>
            </w:r>
          </w:p>
        </w:tc>
        <w:tc>
          <w:tcPr>
            <w:tcW w:w="60" w:type="dxa"/>
            <w:tcBorders/>
            <w:shd w:fill="CCEEFF" w:val="clear"/>
            <w:vAlign w:val="center"/>
          </w:tcPr>
          <w:p>
            <w:pPr>
              <w:pStyle w:val="TableContents"/>
              <w:spacing w:before="0" w:after="283"/>
              <w:rPr/>
            </w:pPr>
            <w:r>
              <w:rPr/>
              <w:t> </w:t>
            </w:r>
          </w:p>
        </w:tc>
      </w:tr>
      <w:tr>
        <w:trPr/>
        <w:tc>
          <w:tcPr>
            <w:tcW w:w="117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Japan</w:t>
            </w:r>
          </w:p>
        </w:tc>
        <w:tc>
          <w:tcPr>
            <w:tcW w:w="60" w:type="dxa"/>
            <w:tcBorders/>
            <w:shd w:fill="FFFFFF" w:val="clear"/>
            <w:vAlign w:val="center"/>
          </w:tcPr>
          <w:p>
            <w:pPr>
              <w:pStyle w:val="TableContents"/>
              <w:spacing w:before="0" w:after="283"/>
              <w:rPr/>
            </w:pPr>
            <w:r>
              <w:rPr/>
              <w:t> </w:t>
            </w:r>
          </w:p>
        </w:tc>
        <w:tc>
          <w:tcPr>
            <w:tcW w:w="18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90" w:type="dxa"/>
            <w:tcBorders>
              <w:bottom w:val="single" w:sz="2" w:space="0" w:color="000000"/>
            </w:tcBorders>
            <w:shd w:fill="FFFFFF" w:val="clear"/>
            <w:tcMar>
              <w:bottom w:w="28" w:type="dxa"/>
            </w:tcM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8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4,086</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1175" w:type="dxa"/>
            <w:tcBorders/>
            <w:shd w:fill="CCEE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CCEEFF" w:val="clear"/>
            <w:vAlign w:val="center"/>
          </w:tcPr>
          <w:p>
            <w:pPr>
              <w:pStyle w:val="TableContents"/>
              <w:spacing w:before="0" w:after="283"/>
              <w:ind w:left="0" w:right="0" w:hanging="0"/>
              <w:rPr/>
            </w:pPr>
            <w:r>
              <w:rPr/>
              <w:t> </w:t>
            </w:r>
          </w:p>
        </w:tc>
        <w:tc>
          <w:tcPr>
            <w:tcW w:w="18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125,859</w:t>
            </w:r>
          </w:p>
        </w:tc>
        <w:tc>
          <w:tcPr>
            <w:tcW w:w="90" w:type="dxa"/>
            <w:tcBorders>
              <w:bottom w:val="double" w:sz="6" w:space="0" w:color="000000"/>
            </w:tcBorders>
            <w:shd w:fill="CCEEFF" w:val="clear"/>
            <w:tcMar>
              <w:bottom w:w="28" w:type="dxa"/>
            </w:tcMar>
            <w:vAlign w:val="center"/>
          </w:tcPr>
          <w:p>
            <w:pPr>
              <w:pStyle w:val="TableContents"/>
              <w:spacing w:before="0" w:after="283"/>
              <w:rPr/>
            </w:pPr>
            <w:r>
              <w:rPr/>
              <w:t> </w:t>
            </w:r>
          </w:p>
        </w:tc>
        <w:tc>
          <w:tcPr>
            <w:tcW w:w="90" w:type="dxa"/>
            <w:tcBorders/>
            <w:shd w:fill="CCEEFF" w:val="clear"/>
            <w:vAlign w:val="center"/>
          </w:tcPr>
          <w:p>
            <w:pPr>
              <w:pStyle w:val="TableContents"/>
              <w:spacing w:before="0" w:after="283"/>
              <w:ind w:left="0" w:right="0" w:hanging="0"/>
              <w:rPr/>
            </w:pPr>
            <w:r>
              <w:rPr/>
              <w:t> </w:t>
            </w:r>
          </w:p>
        </w:tc>
        <w:tc>
          <w:tcPr>
            <w:tcW w:w="18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124,168</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r>
    </w:tbl>
    <w:p>
      <w:pPr>
        <w:pStyle w:val="HorizontalLine"/>
        <w:rPr/>
      </w:pPr>
      <w:r>
        <w:rPr/>
      </w:r>
    </w:p>
    <w:p>
      <w:pPr>
        <w:pStyle w:val="TextBody"/>
        <w:spacing w:before="0" w:after="0"/>
        <w:ind w:left="0" w:right="0" w:hanging="0"/>
        <w:jc w:val="left"/>
        <w:rPr/>
      </w:pPr>
      <w:r>
        <w:rPr/>
        <w:t> </w:t>
      </w:r>
    </w:p>
    <w:p>
      <w:pPr>
        <w:pStyle w:val="HorizontalLine"/>
        <w:rPr/>
      </w:pPr>
      <w:r>
        <w:rPr/>
      </w:r>
    </w:p>
    <w:p>
      <w:pPr>
        <w:pStyle w:val="TextBody"/>
        <w:spacing w:before="0" w:after="0"/>
        <w:ind w:left="0" w:right="0" w:hanging="0"/>
        <w:rPr/>
      </w:pPr>
      <w:r>
        <w:rPr/>
        <w:t> </w:t>
      </w:r>
    </w:p>
    <w:tbl>
      <w:tblPr>
        <w:tblW w:w="5517" w:type="dxa"/>
        <w:jc w:val="left"/>
        <w:tblInd w:w="0" w:type="dxa"/>
        <w:tblCellMar>
          <w:top w:w="0" w:type="dxa"/>
          <w:left w:w="0" w:type="dxa"/>
          <w:bottom w:w="0" w:type="dxa"/>
          <w:right w:w="0" w:type="dxa"/>
        </w:tblCellMar>
      </w:tblPr>
      <w:tblGrid>
        <w:gridCol w:w="2720"/>
        <w:gridCol w:w="60"/>
        <w:gridCol w:w="196"/>
        <w:gridCol w:w="1023"/>
        <w:gridCol w:w="125"/>
        <w:gridCol w:w="94"/>
        <w:gridCol w:w="196"/>
        <w:gridCol w:w="1023"/>
        <w:gridCol w:w="80"/>
      </w:tblGrid>
      <w:tr>
        <w:trPr/>
        <w:tc>
          <w:tcPr>
            <w:tcW w:w="27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657"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 March 31,</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72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shd w:fill="FFFFFF" w:val="clear"/>
            <w:vAlign w:val="center"/>
          </w:tcPr>
          <w:p>
            <w:pPr>
              <w:pStyle w:val="TableContents"/>
              <w:spacing w:before="0" w:after="283"/>
              <w:ind w:left="0" w:right="0" w:hanging="0"/>
              <w:rPr/>
            </w:pPr>
            <w:r>
              <w:rPr/>
              <w:t> </w:t>
            </w:r>
          </w:p>
        </w:tc>
        <w:tc>
          <w:tcPr>
            <w:tcW w:w="121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2023</w:t>
            </w:r>
          </w:p>
        </w:tc>
        <w:tc>
          <w:tcPr>
            <w:tcW w:w="125" w:type="dxa"/>
            <w:tcBorders>
              <w:bottom w:val="single" w:sz="2" w:space="0" w:color="000000"/>
            </w:tcBorders>
            <w:shd w:fill="FFFFFF" w:val="clear"/>
            <w:tcMar>
              <w:bottom w:w="28" w:type="dxa"/>
            </w:tcMar>
            <w:vAlign w:val="center"/>
          </w:tcPr>
          <w:p>
            <w:pPr>
              <w:pStyle w:val="TableContents"/>
              <w:spacing w:before="0" w:after="283"/>
              <w:rPr/>
            </w:pPr>
            <w:r>
              <w:rPr/>
              <w:t> </w:t>
            </w:r>
          </w:p>
        </w:tc>
        <w:tc>
          <w:tcPr>
            <w:tcW w:w="94" w:type="dxa"/>
            <w:tcBorders/>
            <w:shd w:fill="FFFFFF" w:val="clear"/>
            <w:vAlign w:val="center"/>
          </w:tcPr>
          <w:p>
            <w:pPr>
              <w:pStyle w:val="TableContents"/>
              <w:spacing w:before="0" w:after="283"/>
              <w:ind w:left="0" w:right="0" w:hanging="0"/>
              <w:rPr/>
            </w:pPr>
            <w:r>
              <w:rPr/>
              <w:t> </w:t>
            </w:r>
          </w:p>
        </w:tc>
        <w:tc>
          <w:tcPr>
            <w:tcW w:w="121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720"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Income (Loss) from Operations:</w:t>
            </w:r>
          </w:p>
        </w:tc>
        <w:tc>
          <w:tcPr>
            <w:tcW w:w="60" w:type="dxa"/>
            <w:tcBorders/>
            <w:shd w:fill="CCEEFF" w:val="clear"/>
            <w:vAlign w:val="center"/>
          </w:tcPr>
          <w:p>
            <w:pPr>
              <w:pStyle w:val="TableContents"/>
              <w:spacing w:before="0" w:after="283"/>
              <w:rPr/>
            </w:pPr>
            <w:r>
              <w:rPr/>
              <w:t> </w:t>
            </w:r>
          </w:p>
        </w:tc>
        <w:tc>
          <w:tcPr>
            <w:tcW w:w="196" w:type="dxa"/>
            <w:tcBorders/>
            <w:shd w:fill="CCEEFF" w:val="clear"/>
            <w:vAlign w:val="center"/>
          </w:tcPr>
          <w:p>
            <w:pPr>
              <w:pStyle w:val="TableContents"/>
              <w:spacing w:before="0" w:after="283"/>
              <w:rPr/>
            </w:pPr>
            <w:r>
              <w:rPr/>
              <w:t> </w:t>
            </w:r>
          </w:p>
        </w:tc>
        <w:tc>
          <w:tcPr>
            <w:tcW w:w="1023"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rPr/>
            </w:pPr>
            <w:r>
              <w:rPr/>
              <w:t> </w:t>
            </w:r>
          </w:p>
        </w:tc>
        <w:tc>
          <w:tcPr>
            <w:tcW w:w="196" w:type="dxa"/>
            <w:tcBorders/>
            <w:shd w:fill="CCEEFF" w:val="clear"/>
            <w:vAlign w:val="center"/>
          </w:tcPr>
          <w:p>
            <w:pPr>
              <w:pStyle w:val="TableContents"/>
              <w:spacing w:before="0" w:after="283"/>
              <w:rPr/>
            </w:pPr>
            <w:r>
              <w:rPr/>
              <w:t> </w:t>
            </w:r>
          </w:p>
        </w:tc>
        <w:tc>
          <w:tcPr>
            <w:tcW w:w="1023"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272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United States</w:t>
            </w:r>
          </w:p>
        </w:tc>
        <w:tc>
          <w:tcPr>
            <w:tcW w:w="60" w:type="dxa"/>
            <w:tcBorders/>
            <w:shd w:fill="FFFFFF" w:val="clear"/>
            <w:vAlign w:val="center"/>
          </w:tcPr>
          <w:p>
            <w:pPr>
              <w:pStyle w:val="TableContents"/>
              <w:spacing w:before="0" w:after="283"/>
              <w:ind w:left="0" w:right="0" w:hanging="0"/>
              <w:rPr/>
            </w:pPr>
            <w:r>
              <w:rPr/>
              <w:t> </w:t>
            </w:r>
          </w:p>
        </w:tc>
        <w:tc>
          <w:tcPr>
            <w:tcW w:w="196"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2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20,481</w:t>
            </w:r>
          </w:p>
        </w:tc>
        <w:tc>
          <w:tcPr>
            <w:tcW w:w="125" w:type="dxa"/>
            <w:tcBorders/>
            <w:shd w:fill="FFFFFF" w:val="clear"/>
            <w:vAlign w:val="center"/>
          </w:tcPr>
          <w:p>
            <w:pPr>
              <w:pStyle w:val="TableContents"/>
              <w:spacing w:before="0" w:after="283"/>
              <w:rPr/>
            </w:pPr>
            <w:r>
              <w:rPr/>
              <w:t> </w:t>
            </w:r>
          </w:p>
        </w:tc>
        <w:tc>
          <w:tcPr>
            <w:tcW w:w="94" w:type="dxa"/>
            <w:tcBorders/>
            <w:shd w:fill="FFFFFF" w:val="clear"/>
            <w:vAlign w:val="center"/>
          </w:tcPr>
          <w:p>
            <w:pPr>
              <w:pStyle w:val="TableContents"/>
              <w:spacing w:before="0" w:after="283"/>
              <w:ind w:left="0" w:right="0" w:hanging="0"/>
              <w:rPr/>
            </w:pPr>
            <w:r>
              <w:rPr/>
              <w:t> </w:t>
            </w:r>
          </w:p>
        </w:tc>
        <w:tc>
          <w:tcPr>
            <w:tcW w:w="196"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2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22,524</w:t>
            </w:r>
          </w:p>
        </w:tc>
        <w:tc>
          <w:tcPr>
            <w:tcW w:w="80" w:type="dxa"/>
            <w:tcBorders/>
            <w:shd w:fill="FFFFFF" w:val="clear"/>
            <w:vAlign w:val="center"/>
          </w:tcPr>
          <w:p>
            <w:pPr>
              <w:pStyle w:val="TableContents"/>
              <w:spacing w:before="0" w:after="283"/>
              <w:rPr/>
            </w:pPr>
            <w:r>
              <w:rPr/>
              <w:t> </w:t>
            </w:r>
          </w:p>
        </w:tc>
      </w:tr>
      <w:tr>
        <w:trPr/>
        <w:tc>
          <w:tcPr>
            <w:tcW w:w="272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Europe</w:t>
            </w:r>
          </w:p>
        </w:tc>
        <w:tc>
          <w:tcPr>
            <w:tcW w:w="60" w:type="dxa"/>
            <w:tcBorders/>
            <w:shd w:fill="CCEEFF" w:val="clear"/>
            <w:vAlign w:val="center"/>
          </w:tcPr>
          <w:p>
            <w:pPr>
              <w:pStyle w:val="TableContents"/>
              <w:spacing w:before="0" w:after="283"/>
              <w:rPr/>
            </w:pPr>
            <w:r>
              <w:rPr/>
              <w:t> </w:t>
            </w:r>
          </w:p>
        </w:tc>
        <w:tc>
          <w:tcPr>
            <w:tcW w:w="196" w:type="dxa"/>
            <w:tcBorders/>
            <w:shd w:fill="CCEEFF" w:val="clear"/>
            <w:vAlign w:val="center"/>
          </w:tcPr>
          <w:p>
            <w:pPr>
              <w:pStyle w:val="TableContents"/>
              <w:spacing w:before="0" w:after="283"/>
              <w:ind w:left="0" w:right="0" w:hanging="0"/>
              <w:rPr/>
            </w:pPr>
            <w:r>
              <w:rPr/>
              <w:t> </w:t>
            </w:r>
          </w:p>
        </w:tc>
        <w:tc>
          <w:tcPr>
            <w:tcW w:w="102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(2,483</w:t>
            </w:r>
          </w:p>
        </w:tc>
        <w:tc>
          <w:tcPr>
            <w:tcW w:w="12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4" w:type="dxa"/>
            <w:tcBorders/>
            <w:shd w:fill="CCEEFF" w:val="clear"/>
            <w:vAlign w:val="center"/>
          </w:tcPr>
          <w:p>
            <w:pPr>
              <w:pStyle w:val="TableContents"/>
              <w:spacing w:before="0" w:after="283"/>
              <w:rPr/>
            </w:pPr>
            <w:r>
              <w:rPr/>
              <w:t> </w:t>
            </w:r>
          </w:p>
        </w:tc>
        <w:tc>
          <w:tcPr>
            <w:tcW w:w="196" w:type="dxa"/>
            <w:tcBorders/>
            <w:shd w:fill="CCEEFF" w:val="clear"/>
            <w:vAlign w:val="center"/>
          </w:tcPr>
          <w:p>
            <w:pPr>
              <w:pStyle w:val="TableContents"/>
              <w:spacing w:before="0" w:after="283"/>
              <w:ind w:left="0" w:right="0" w:hanging="0"/>
              <w:rPr/>
            </w:pPr>
            <w:r>
              <w:rPr/>
              <w:t> </w:t>
            </w:r>
          </w:p>
        </w:tc>
        <w:tc>
          <w:tcPr>
            <w:tcW w:w="102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(1,679</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72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Corporate Unallocated and Japan</w:t>
            </w:r>
          </w:p>
        </w:tc>
        <w:tc>
          <w:tcPr>
            <w:tcW w:w="60" w:type="dxa"/>
            <w:tcBorders/>
            <w:shd w:fill="FFFFFF" w:val="clear"/>
            <w:vAlign w:val="center"/>
          </w:tcPr>
          <w:p>
            <w:pPr>
              <w:pStyle w:val="TableContents"/>
              <w:spacing w:before="0" w:after="283"/>
              <w:rPr/>
            </w:pPr>
            <w:r>
              <w:rPr/>
              <w:t> </w:t>
            </w:r>
          </w:p>
        </w:tc>
        <w:tc>
          <w:tcPr>
            <w:tcW w:w="19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2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(14,249</w:t>
            </w:r>
          </w:p>
        </w:tc>
        <w:tc>
          <w:tcPr>
            <w:tcW w:w="125"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94" w:type="dxa"/>
            <w:tcBorders/>
            <w:shd w:fill="FFFFFF" w:val="clear"/>
            <w:vAlign w:val="center"/>
          </w:tcPr>
          <w:p>
            <w:pPr>
              <w:pStyle w:val="TableContents"/>
              <w:spacing w:before="0" w:after="283"/>
              <w:rPr/>
            </w:pPr>
            <w:r>
              <w:rPr/>
              <w:t> </w:t>
            </w:r>
          </w:p>
        </w:tc>
        <w:tc>
          <w:tcPr>
            <w:tcW w:w="19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2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(12,955</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720" w:type="dxa"/>
            <w:tcBorders/>
            <w:shd w:fill="CCEE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Total Income from Operations</w:t>
            </w:r>
          </w:p>
        </w:tc>
        <w:tc>
          <w:tcPr>
            <w:tcW w:w="60" w:type="dxa"/>
            <w:tcBorders/>
            <w:shd w:fill="CCEEFF" w:val="clear"/>
            <w:vAlign w:val="center"/>
          </w:tcPr>
          <w:p>
            <w:pPr>
              <w:pStyle w:val="TableContents"/>
              <w:spacing w:before="0" w:after="283"/>
              <w:ind w:left="0" w:right="0" w:hanging="0"/>
              <w:rPr/>
            </w:pPr>
            <w:r>
              <w:rPr/>
              <w:t> </w:t>
            </w:r>
          </w:p>
        </w:tc>
        <w:tc>
          <w:tcPr>
            <w:tcW w:w="196"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2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3,749</w:t>
            </w:r>
          </w:p>
        </w:tc>
        <w:tc>
          <w:tcPr>
            <w:tcW w:w="125" w:type="dxa"/>
            <w:tcBorders>
              <w:bottom w:val="double" w:sz="6" w:space="0" w:color="000000"/>
            </w:tcBorders>
            <w:shd w:fill="CCEEFF" w:val="clear"/>
            <w:tcMar>
              <w:bottom w:w="28" w:type="dxa"/>
            </w:tcMar>
            <w:vAlign w:val="center"/>
          </w:tcPr>
          <w:p>
            <w:pPr>
              <w:pStyle w:val="TableContents"/>
              <w:spacing w:before="0" w:after="283"/>
              <w:rPr/>
            </w:pPr>
            <w:r>
              <w:rPr/>
              <w:t> </w:t>
            </w:r>
          </w:p>
        </w:tc>
        <w:tc>
          <w:tcPr>
            <w:tcW w:w="94" w:type="dxa"/>
            <w:tcBorders/>
            <w:shd w:fill="CCEEFF" w:val="clear"/>
            <w:vAlign w:val="center"/>
          </w:tcPr>
          <w:p>
            <w:pPr>
              <w:pStyle w:val="TableContents"/>
              <w:spacing w:before="0" w:after="283"/>
              <w:ind w:left="0" w:right="0" w:hanging="0"/>
              <w:rPr/>
            </w:pPr>
            <w:r>
              <w:rPr/>
              <w:t> </w:t>
            </w:r>
          </w:p>
        </w:tc>
        <w:tc>
          <w:tcPr>
            <w:tcW w:w="196"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2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7,890</w:t>
            </w:r>
          </w:p>
        </w:tc>
        <w:tc>
          <w:tcPr>
            <w:tcW w:w="80" w:type="dxa"/>
            <w:tcBorders>
              <w:bottom w:val="double" w:sz="6" w:space="0" w:color="000000"/>
            </w:tcBorders>
            <w:shd w:fill="CCEEFF" w:val="clear"/>
            <w:tcMar>
              <w:bottom w:w="28" w:type="dxa"/>
            </w:tcMar>
            <w:vAlign w:val="center"/>
          </w:tcPr>
          <w:p>
            <w:pPr>
              <w:pStyle w:val="TableContents"/>
              <w:spacing w:before="0" w:after="283"/>
              <w:rPr/>
            </w:pPr>
            <w:r>
              <w:rPr/>
              <w:t> </w:t>
            </w:r>
          </w:p>
        </w:tc>
      </w:tr>
    </w:tbl>
    <w:p>
      <w:pPr>
        <w:pStyle w:val="TextBody"/>
        <w:spacing w:before="0" w:after="0"/>
        <w:ind w:left="0" w:right="0" w:hanging="0"/>
        <w:rPr/>
      </w:pPr>
      <w:r>
        <w:rPr/>
        <w:t> </w:t>
      </w:r>
    </w:p>
    <w:p>
      <w:pPr>
        <w:pStyle w:val="HorizontalLine"/>
        <w:rPr/>
      </w:pPr>
      <w:r>
        <w:rPr/>
      </w:r>
    </w:p>
    <w:p>
      <w:pPr>
        <w:pStyle w:val="TextBody"/>
        <w:spacing w:before="0" w:after="0"/>
        <w:ind w:left="0" w:right="0" w:hanging="0"/>
        <w:jc w:val="left"/>
        <w:rPr/>
      </w:pPr>
      <w:r>
        <w:rPr/>
        <w:t> </w:t>
      </w:r>
    </w:p>
    <w:p>
      <w:pPr>
        <w:pStyle w:val="TextBody"/>
        <w:spacing w:before="0" w:after="0"/>
        <w:ind w:left="0" w:right="0" w:hanging="0"/>
        <w:jc w:val="left"/>
        <w:rPr/>
      </w:pPr>
      <w:r>
        <w:rPr>
          <w:rFonts w:ascii="Times New Roman;Times;serif" w:hAnsi="Times New Roman;Times;serif"/>
          <w:sz w:val="20"/>
        </w:rPr>
        <w:t>Total long-lived assets at </w:t>
      </w:r>
      <w:r>
        <w:rPr>
          <w:rStyle w:val="Emphasis"/>
          <w:rFonts w:ascii="Times New Roman;Times;serif" w:hAnsi="Times New Roman;Times;serif"/>
          <w:sz w:val="20"/>
        </w:rPr>
        <w:t xml:space="preserve"> March 31, 2023</w:t>
      </w:r>
      <w:r>
        <w:rPr>
          <w:rFonts w:ascii="Times New Roman;Times;serif" w:hAnsi="Times New Roman;Times;serif"/>
          <w:sz w:val="20"/>
        </w:rPr>
        <w:t xml:space="preserve"> and </w:t>
      </w:r>
      <w:r>
        <w:rPr>
          <w:rStyle w:val="Emphasis"/>
          <w:rFonts w:ascii="Times New Roman;Times;serif" w:hAnsi="Times New Roman;Times;serif"/>
          <w:sz w:val="20"/>
        </w:rPr>
        <w:t>December 31, 2022</w:t>
      </w:r>
      <w:r>
        <w:rPr>
          <w:rFonts w:ascii="Times New Roman;Times;serif" w:hAnsi="Times New Roman;Times;serif"/>
          <w:sz w:val="20"/>
        </w:rPr>
        <w:t> were as follows:</w:t>
      </w:r>
    </w:p>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tbl>
      <w:tblPr>
        <w:tblW w:w="4228" w:type="dxa"/>
        <w:jc w:val="left"/>
        <w:tblInd w:w="0" w:type="dxa"/>
        <w:tblCellMar>
          <w:top w:w="0" w:type="dxa"/>
          <w:left w:w="0" w:type="dxa"/>
          <w:bottom w:w="0" w:type="dxa"/>
          <w:right w:w="0" w:type="dxa"/>
        </w:tblCellMar>
      </w:tblPr>
      <w:tblGrid>
        <w:gridCol w:w="1970"/>
        <w:gridCol w:w="60"/>
        <w:gridCol w:w="133"/>
        <w:gridCol w:w="741"/>
        <w:gridCol w:w="60"/>
        <w:gridCol w:w="60"/>
        <w:gridCol w:w="173"/>
        <w:gridCol w:w="971"/>
        <w:gridCol w:w="60"/>
      </w:tblGrid>
      <w:tr>
        <w:trPr/>
        <w:tc>
          <w:tcPr>
            <w:tcW w:w="19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74"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March 31,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December 31,</w:t>
            </w:r>
          </w:p>
        </w:tc>
        <w:tc>
          <w:tcPr>
            <w:tcW w:w="60" w:type="dxa"/>
            <w:tcBorders/>
            <w:shd w:fill="FFFFFF" w:val="clear"/>
            <w:vAlign w:val="center"/>
          </w:tcPr>
          <w:p>
            <w:pPr>
              <w:pStyle w:val="TableContents"/>
              <w:spacing w:before="0" w:after="283"/>
              <w:ind w:left="0" w:right="0" w:hanging="0"/>
              <w:rPr/>
            </w:pPr>
            <w:r>
              <w:rPr/>
              <w:t> </w:t>
            </w:r>
          </w:p>
        </w:tc>
      </w:tr>
      <w:tr>
        <w:trPr/>
        <w:tc>
          <w:tcPr>
            <w:tcW w:w="1970"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 thousands)</w:t>
            </w:r>
          </w:p>
        </w:tc>
        <w:tc>
          <w:tcPr>
            <w:tcW w:w="60" w:type="dxa"/>
            <w:tcBorders/>
            <w:shd w:fill="FFFFFF" w:val="clear"/>
            <w:vAlign w:val="center"/>
          </w:tcPr>
          <w:p>
            <w:pPr>
              <w:pStyle w:val="TableContents"/>
              <w:spacing w:before="0" w:after="0"/>
              <w:ind w:left="0" w:right="0" w:hanging="0"/>
              <w:rPr/>
            </w:pPr>
            <w:r>
              <w:rPr/>
              <w:t> </w:t>
            </w:r>
          </w:p>
        </w:tc>
        <w:tc>
          <w:tcPr>
            <w:tcW w:w="87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2023</w:t>
            </w:r>
          </w:p>
        </w:tc>
        <w:tc>
          <w:tcPr>
            <w:tcW w:w="6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11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2022</w:t>
            </w:r>
          </w:p>
        </w:tc>
        <w:tc>
          <w:tcPr>
            <w:tcW w:w="60" w:type="dxa"/>
            <w:tcBorders>
              <w:bottom w:val="single" w:sz="2" w:space="0" w:color="000000"/>
            </w:tcBorders>
            <w:shd w:fill="FFFFFF" w:val="clear"/>
            <w:tcMar>
              <w:bottom w:w="28" w:type="dxa"/>
            </w:tcMar>
            <w:vAlign w:val="center"/>
          </w:tcPr>
          <w:p>
            <w:pPr>
              <w:pStyle w:val="TableContents"/>
              <w:spacing w:before="0" w:after="0"/>
              <w:rPr/>
            </w:pPr>
            <w:r>
              <w:rPr/>
              <w:t> </w:t>
            </w:r>
          </w:p>
        </w:tc>
      </w:tr>
      <w:tr>
        <w:trPr/>
        <w:tc>
          <w:tcPr>
            <w:tcW w:w="1970"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long-lived assets:</w:t>
            </w:r>
          </w:p>
        </w:tc>
        <w:tc>
          <w:tcPr>
            <w:tcW w:w="60"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rPr/>
            </w:pPr>
            <w:r>
              <w:rPr/>
              <w:t> </w:t>
            </w:r>
          </w:p>
        </w:tc>
        <w:tc>
          <w:tcPr>
            <w:tcW w:w="741"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3" w:type="dxa"/>
            <w:tcBorders/>
            <w:shd w:fill="CCEEFF" w:val="clear"/>
            <w:vAlign w:val="center"/>
          </w:tcPr>
          <w:p>
            <w:pPr>
              <w:pStyle w:val="TableContents"/>
              <w:spacing w:before="0" w:after="283"/>
              <w:rPr/>
            </w:pPr>
            <w:r>
              <w:rPr/>
              <w:t> </w:t>
            </w:r>
          </w:p>
        </w:tc>
        <w:tc>
          <w:tcPr>
            <w:tcW w:w="971"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r>
      <w:tr>
        <w:trPr/>
        <w:tc>
          <w:tcPr>
            <w:tcW w:w="1970"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United States</w:t>
            </w:r>
          </w:p>
        </w:tc>
        <w:tc>
          <w:tcPr>
            <w:tcW w:w="60" w:type="dxa"/>
            <w:tcBorders/>
            <w:shd w:fill="FFFFFF" w:val="clear"/>
            <w:vAlign w:val="center"/>
          </w:tcPr>
          <w:p>
            <w:pPr>
              <w:pStyle w:val="TableContents"/>
              <w:spacing w:before="0" w:after="283"/>
              <w:rPr/>
            </w:pPr>
            <w:r>
              <w:rPr/>
              <w:t> </w:t>
            </w:r>
          </w:p>
        </w:tc>
        <w:tc>
          <w:tcPr>
            <w:tcW w:w="133"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41"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199,381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3"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971"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203,816</w:t>
            </w:r>
          </w:p>
        </w:tc>
        <w:tc>
          <w:tcPr>
            <w:tcW w:w="60" w:type="dxa"/>
            <w:tcBorders/>
            <w:shd w:fill="FFFFFF" w:val="clear"/>
            <w:vAlign w:val="center"/>
          </w:tcPr>
          <w:p>
            <w:pPr>
              <w:pStyle w:val="TableContents"/>
              <w:spacing w:before="0" w:after="283"/>
              <w:rPr/>
            </w:pPr>
            <w:r>
              <w:rPr/>
              <w:t> </w:t>
            </w:r>
          </w:p>
        </w:tc>
      </w:tr>
      <w:tr>
        <w:trPr/>
        <w:tc>
          <w:tcPr>
            <w:tcW w:w="197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Europe</w:t>
            </w:r>
          </w:p>
        </w:tc>
        <w:tc>
          <w:tcPr>
            <w:tcW w:w="60"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rPr/>
            </w:pPr>
            <w:r>
              <w:rPr/>
              <w:t> </w:t>
            </w:r>
          </w:p>
        </w:tc>
        <w:tc>
          <w:tcPr>
            <w:tcW w:w="741"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54,101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3" w:type="dxa"/>
            <w:tcBorders/>
            <w:shd w:fill="CCEEFF" w:val="clear"/>
            <w:vAlign w:val="center"/>
          </w:tcPr>
          <w:p>
            <w:pPr>
              <w:pStyle w:val="TableContents"/>
              <w:spacing w:before="0" w:after="283"/>
              <w:rPr/>
            </w:pPr>
            <w:r>
              <w:rPr/>
              <w:t> </w:t>
            </w:r>
          </w:p>
        </w:tc>
        <w:tc>
          <w:tcPr>
            <w:tcW w:w="971"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53,835</w:t>
            </w:r>
          </w:p>
        </w:tc>
        <w:tc>
          <w:tcPr>
            <w:tcW w:w="60" w:type="dxa"/>
            <w:tcBorders/>
            <w:shd w:fill="CCEEFF" w:val="clear"/>
            <w:vAlign w:val="center"/>
          </w:tcPr>
          <w:p>
            <w:pPr>
              <w:pStyle w:val="TableContents"/>
              <w:spacing w:before="0" w:after="283"/>
              <w:rPr/>
            </w:pPr>
            <w:r>
              <w:rPr/>
              <w:t> </w:t>
            </w:r>
          </w:p>
        </w:tc>
      </w:tr>
      <w:tr>
        <w:trPr/>
        <w:tc>
          <w:tcPr>
            <w:tcW w:w="1970"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Japan</w:t>
            </w:r>
          </w:p>
        </w:tc>
        <w:tc>
          <w:tcPr>
            <w:tcW w:w="60" w:type="dxa"/>
            <w:tcBorders/>
            <w:shd w:fill="FFFFFF" w:val="clear"/>
            <w:vAlign w:val="center"/>
          </w:tcPr>
          <w:p>
            <w:pPr>
              <w:pStyle w:val="TableContents"/>
              <w:spacing w:before="0" w:after="283"/>
              <w:ind w:left="0" w:right="0" w:hanging="0"/>
              <w:rPr/>
            </w:pPr>
            <w:r>
              <w:rPr/>
              <w:t> </w:t>
            </w:r>
          </w:p>
        </w:tc>
        <w:tc>
          <w:tcPr>
            <w:tcW w:w="133"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41"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60" w:type="dxa"/>
            <w:tcBorders>
              <w:bottom w:val="single" w:sz="2" w:space="0" w:color="000000"/>
            </w:tcBorders>
            <w:shd w:fill="FFFFFF" w:val="clear"/>
            <w:tcMar>
              <w:bottom w:w="28" w:type="dxa"/>
            </w:tcMar>
            <w:vAlign w:val="center"/>
          </w:tcPr>
          <w:p>
            <w:pPr>
              <w:pStyle w:val="TableContents"/>
              <w:spacing w:before="0" w:after="0"/>
              <w:rPr/>
            </w:pPr>
            <w:r>
              <w:rPr/>
              <w:t> </w:t>
            </w:r>
          </w:p>
        </w:tc>
        <w:tc>
          <w:tcPr>
            <w:tcW w:w="60" w:type="dxa"/>
            <w:tcBorders/>
            <w:shd w:fill="FFFFFF" w:val="clear"/>
            <w:vAlign w:val="center"/>
          </w:tcPr>
          <w:p>
            <w:pPr>
              <w:pStyle w:val="TableContents"/>
              <w:spacing w:before="0" w:after="283"/>
              <w:ind w:left="0" w:right="0" w:hanging="0"/>
              <w:rPr/>
            </w:pPr>
            <w:r>
              <w:rPr/>
              <w:t> </w:t>
            </w:r>
          </w:p>
        </w:tc>
        <w:tc>
          <w:tcPr>
            <w:tcW w:w="173"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971"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60" w:type="dxa"/>
            <w:tcBorders>
              <w:bottom w:val="single" w:sz="2" w:space="0" w:color="000000"/>
            </w:tcBorders>
            <w:shd w:fill="FFFFFF" w:val="clear"/>
            <w:tcMar>
              <w:bottom w:w="28" w:type="dxa"/>
            </w:tcMar>
            <w:vAlign w:val="center"/>
          </w:tcPr>
          <w:p>
            <w:pPr>
              <w:pStyle w:val="TableContents"/>
              <w:spacing w:before="0" w:after="0"/>
              <w:rPr/>
            </w:pPr>
            <w:r>
              <w:rPr/>
              <w:t> </w:t>
            </w:r>
          </w:p>
        </w:tc>
      </w:tr>
      <w:tr>
        <w:trPr/>
        <w:tc>
          <w:tcPr>
            <w:tcW w:w="1970" w:type="dxa"/>
            <w:tcBorders/>
            <w:shd w:fill="CCEEFF" w:val="clear"/>
            <w:vAlign w:val="center"/>
          </w:tcPr>
          <w:p>
            <w:pPr>
              <w:pStyle w:val="TableContents"/>
              <w:spacing w:before="0" w:after="0"/>
              <w:ind w:left="540" w:right="0" w:hanging="0"/>
              <w:rPr>
                <w:rFonts w:ascii="Times New Roman;Times;serif" w:hAnsi="Times New Roman;Times;serif"/>
                <w:sz w:val="20"/>
              </w:rPr>
            </w:pPr>
            <w:r>
              <w:rPr>
                <w:rFonts w:ascii="Times New Roman;Times;serif" w:hAnsi="Times New Roman;Times;serif"/>
                <w:sz w:val="20"/>
              </w:rPr>
              <w:t>Total Long-lived Assets</w:t>
            </w:r>
          </w:p>
        </w:tc>
        <w:tc>
          <w:tcPr>
            <w:tcW w:w="60" w:type="dxa"/>
            <w:tcBorders/>
            <w:shd w:fill="CCEEFF" w:val="clear"/>
            <w:vAlign w:val="center"/>
          </w:tcPr>
          <w:p>
            <w:pPr>
              <w:pStyle w:val="TableContents"/>
              <w:spacing w:before="0" w:after="283"/>
              <w:ind w:left="0" w:right="0" w:hanging="0"/>
              <w:rPr/>
            </w:pPr>
            <w:r>
              <w:rPr/>
              <w:t> </w:t>
            </w:r>
          </w:p>
        </w:tc>
        <w:tc>
          <w:tcPr>
            <w:tcW w:w="133" w:type="dxa"/>
            <w:tcBorders/>
            <w:shd w:fill="CCEEFF" w:val="clear"/>
            <w:vAlign w:val="center"/>
          </w:tcPr>
          <w:p>
            <w:pPr>
              <w:pStyle w:val="TableContents"/>
              <w:spacing w:before="0" w:after="283"/>
              <w:ind w:left="0" w:right="0" w:hanging="0"/>
              <w:rPr>
                <w:rFonts w:ascii="Times New Roman;Times;serif" w:hAnsi="Times New Roman;Times;serif"/>
                <w:color w:val="000000"/>
                <w:sz w:val="20"/>
              </w:rPr>
            </w:pPr>
            <w:r>
              <w:rPr>
                <w:rFonts w:ascii="Times New Roman;Times;serif" w:hAnsi="Times New Roman;Times;serif"/>
                <w:color w:val="000000"/>
                <w:sz w:val="20"/>
              </w:rPr>
              <w:t>$</w:t>
            </w:r>
          </w:p>
        </w:tc>
        <w:tc>
          <w:tcPr>
            <w:tcW w:w="741" w:type="dxa"/>
            <w:tcBorders/>
            <w:shd w:fill="CCEE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253,616</w:t>
            </w:r>
          </w:p>
        </w:tc>
        <w:tc>
          <w:tcPr>
            <w:tcW w:w="60" w:type="dxa"/>
            <w:tcBorders/>
            <w:shd w:fill="CCEEFF" w:val="clear"/>
            <w:vAlign w:val="center"/>
          </w:tcPr>
          <w:p>
            <w:pPr>
              <w:pStyle w:val="TableContents"/>
              <w:spacing w:before="0" w:after="283"/>
              <w:rPr>
                <w:color w:val="000000"/>
              </w:rPr>
            </w:pPr>
            <w:r>
              <w:rPr>
                <w:color w:val="000000"/>
              </w:rPr>
              <w:t> </w:t>
            </w:r>
          </w:p>
        </w:tc>
        <w:tc>
          <w:tcPr>
            <w:tcW w:w="60" w:type="dxa"/>
            <w:tcBorders/>
            <w:shd w:fill="CCEEFF" w:val="clear"/>
            <w:vAlign w:val="center"/>
          </w:tcPr>
          <w:p>
            <w:pPr>
              <w:pStyle w:val="TableContents"/>
              <w:spacing w:before="0" w:after="283"/>
              <w:ind w:left="0" w:right="0" w:hanging="0"/>
              <w:rPr/>
            </w:pPr>
            <w:r>
              <w:rPr/>
              <w:t> </w:t>
            </w:r>
          </w:p>
        </w:tc>
        <w:tc>
          <w:tcPr>
            <w:tcW w:w="173" w:type="dxa"/>
            <w:tcBorders/>
            <w:shd w:fill="CCEEFF" w:val="clear"/>
            <w:vAlign w:val="center"/>
          </w:tcPr>
          <w:p>
            <w:pPr>
              <w:pStyle w:val="TableContents"/>
              <w:spacing w:before="0" w:after="283"/>
              <w:ind w:left="0" w:right="0" w:hanging="0"/>
              <w:rPr>
                <w:rFonts w:ascii="Times New Roman;Times;serif" w:hAnsi="Times New Roman;Times;serif"/>
                <w:color w:val="000000"/>
                <w:sz w:val="20"/>
              </w:rPr>
            </w:pPr>
            <w:r>
              <w:rPr>
                <w:rFonts w:ascii="Times New Roman;Times;serif" w:hAnsi="Times New Roman;Times;serif"/>
                <w:color w:val="000000"/>
                <w:sz w:val="20"/>
              </w:rPr>
              <w:t>$</w:t>
            </w:r>
          </w:p>
        </w:tc>
        <w:tc>
          <w:tcPr>
            <w:tcW w:w="971" w:type="dxa"/>
            <w:tcBorders/>
            <w:shd w:fill="CCEE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257,785</w:t>
            </w:r>
          </w:p>
        </w:tc>
        <w:tc>
          <w:tcPr>
            <w:tcW w:w="60" w:type="dxa"/>
            <w:tcBorders/>
            <w:shd w:fill="CCEEFF" w:val="clear"/>
            <w:vAlign w:val="center"/>
          </w:tcPr>
          <w:p>
            <w:pPr>
              <w:pStyle w:val="TableContents"/>
              <w:spacing w:before="0" w:after="283"/>
              <w:rPr>
                <w:color w:val="000000"/>
              </w:rPr>
            </w:pPr>
            <w:r>
              <w:rPr>
                <w:color w:val="000000"/>
              </w:rPr>
              <w:t> </w:t>
            </w:r>
          </w:p>
        </w:tc>
      </w:tr>
    </w:tbl>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p>
      <w:pPr>
        <w:pStyle w:val="TextBody"/>
        <w:spacing w:before="0" w:after="0"/>
        <w:ind w:left="0" w:right="0" w:hanging="0"/>
        <w:jc w:val="left"/>
        <w:rPr/>
      </w:pPr>
      <w:r>
        <w:rPr>
          <w:rFonts w:ascii="Times New Roman;Times;serif" w:hAnsi="Times New Roman;Times;serif"/>
          <w:sz w:val="20"/>
        </w:rPr>
        <w:t>Revenue by product line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March 31,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xml:space="preserve"> were as follows:</w:t>
      </w:r>
    </w:p>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tbl>
      <w:tblPr>
        <w:tblW w:w="4296" w:type="dxa"/>
        <w:jc w:val="left"/>
        <w:tblInd w:w="0" w:type="dxa"/>
        <w:tblCellMar>
          <w:top w:w="0" w:type="dxa"/>
          <w:left w:w="0" w:type="dxa"/>
          <w:bottom w:w="0" w:type="dxa"/>
          <w:right w:w="0" w:type="dxa"/>
        </w:tblCellMar>
      </w:tblPr>
      <w:tblGrid>
        <w:gridCol w:w="1520"/>
        <w:gridCol w:w="60"/>
        <w:gridCol w:w="188"/>
        <w:gridCol w:w="1050"/>
        <w:gridCol w:w="90"/>
        <w:gridCol w:w="90"/>
        <w:gridCol w:w="188"/>
        <w:gridCol w:w="1050"/>
        <w:gridCol w:w="60"/>
      </w:tblGrid>
      <w:tr>
        <w:trPr/>
        <w:tc>
          <w:tcPr>
            <w:tcW w:w="15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656"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 March 31,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152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shd w:fill="FFFFFF" w:val="clear"/>
            <w:vAlign w:val="center"/>
          </w:tcPr>
          <w:p>
            <w:pPr>
              <w:pStyle w:val="TableContents"/>
              <w:spacing w:before="0" w:after="283"/>
              <w:ind w:left="0" w:right="0" w:hanging="0"/>
              <w:rPr/>
            </w:pPr>
            <w:r>
              <w:rPr/>
              <w:t> </w:t>
            </w:r>
          </w:p>
        </w:tc>
        <w:tc>
          <w:tcPr>
            <w:tcW w:w="1238"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2023</w:t>
            </w:r>
          </w:p>
        </w:tc>
        <w:tc>
          <w:tcPr>
            <w:tcW w:w="90" w:type="dxa"/>
            <w:tcBorders>
              <w:bottom w:val="single" w:sz="2" w:space="0" w:color="000000"/>
            </w:tcBorders>
            <w:shd w:fill="FFFFFF" w:val="clear"/>
            <w:tcMar>
              <w:bottom w:w="28" w:type="dxa"/>
            </w:tcMar>
            <w:vAlign w:val="center"/>
          </w:tcPr>
          <w:p>
            <w:pPr>
              <w:pStyle w:val="TableContents"/>
              <w:spacing w:before="0" w:after="283"/>
              <w:rPr/>
            </w:pPr>
            <w:r>
              <w:rPr/>
              <w:t> </w:t>
            </w:r>
          </w:p>
        </w:tc>
        <w:tc>
          <w:tcPr>
            <w:tcW w:w="90" w:type="dxa"/>
            <w:tcBorders/>
            <w:shd w:fill="FFFFFF" w:val="clear"/>
            <w:vAlign w:val="center"/>
          </w:tcPr>
          <w:p>
            <w:pPr>
              <w:pStyle w:val="TableContents"/>
              <w:spacing w:before="0" w:after="283"/>
              <w:ind w:left="0" w:right="0" w:hanging="0"/>
              <w:rPr/>
            </w:pPr>
            <w:r>
              <w:rPr/>
              <w:t> </w:t>
            </w:r>
          </w:p>
        </w:tc>
        <w:tc>
          <w:tcPr>
            <w:tcW w:w="1238"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1520"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Revenue:</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rPr/>
            </w:pPr>
            <w:r>
              <w:rPr/>
              <w:t> </w:t>
            </w:r>
          </w:p>
        </w:tc>
        <w:tc>
          <w:tcPr>
            <w:tcW w:w="105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rPr/>
            </w:pPr>
            <w:r>
              <w:rPr/>
              <w:t> </w:t>
            </w:r>
          </w:p>
        </w:tc>
        <w:tc>
          <w:tcPr>
            <w:tcW w:w="10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r>
      <w:tr>
        <w:trPr/>
        <w:tc>
          <w:tcPr>
            <w:tcW w:w="152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Injection Molding</w:t>
            </w:r>
          </w:p>
        </w:tc>
        <w:tc>
          <w:tcPr>
            <w:tcW w:w="60" w:type="dxa"/>
            <w:tcBorders/>
            <w:shd w:fill="FFFFFF" w:val="clear"/>
            <w:vAlign w:val="center"/>
          </w:tcPr>
          <w:p>
            <w:pPr>
              <w:pStyle w:val="TableContents"/>
              <w:spacing w:before="0" w:after="283"/>
              <w:ind w:left="0" w:right="0" w:hanging="0"/>
              <w:rPr/>
            </w:pPr>
            <w:r>
              <w:rPr/>
              <w:t> </w:t>
            </w:r>
          </w:p>
        </w:tc>
        <w:tc>
          <w:tcPr>
            <w:tcW w:w="188"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51,948</w:t>
            </w:r>
          </w:p>
        </w:tc>
        <w:tc>
          <w:tcPr>
            <w:tcW w:w="9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ind w:left="0" w:right="0" w:hanging="0"/>
              <w:rPr/>
            </w:pPr>
            <w:r>
              <w:rPr/>
              <w:t> </w:t>
            </w:r>
          </w:p>
        </w:tc>
        <w:tc>
          <w:tcPr>
            <w:tcW w:w="188"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53,398</w:t>
            </w:r>
          </w:p>
        </w:tc>
        <w:tc>
          <w:tcPr>
            <w:tcW w:w="60" w:type="dxa"/>
            <w:tcBorders/>
            <w:shd w:fill="FFFFFF" w:val="clear"/>
            <w:vAlign w:val="center"/>
          </w:tcPr>
          <w:p>
            <w:pPr>
              <w:pStyle w:val="TableContents"/>
              <w:spacing w:before="0" w:after="283"/>
              <w:rPr/>
            </w:pPr>
            <w:r>
              <w:rPr/>
              <w:t> </w:t>
            </w:r>
          </w:p>
        </w:tc>
      </w:tr>
      <w:tr>
        <w:trPr/>
        <w:tc>
          <w:tcPr>
            <w:tcW w:w="152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CNC Machining</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ind w:left="0" w:right="0" w:hanging="0"/>
              <w:rPr/>
            </w:pPr>
            <w:r>
              <w:rPr/>
              <w:t> </w:t>
            </w:r>
          </w:p>
        </w:tc>
        <w:tc>
          <w:tcPr>
            <w:tcW w:w="10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48,104</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ind w:left="0" w:right="0" w:hanging="0"/>
              <w:rPr/>
            </w:pPr>
            <w:r>
              <w:rPr/>
              <w:t> </w:t>
            </w:r>
          </w:p>
        </w:tc>
        <w:tc>
          <w:tcPr>
            <w:tcW w:w="10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46,098</w:t>
            </w:r>
          </w:p>
        </w:tc>
        <w:tc>
          <w:tcPr>
            <w:tcW w:w="60" w:type="dxa"/>
            <w:tcBorders/>
            <w:shd w:fill="CCEEFF" w:val="clear"/>
            <w:vAlign w:val="center"/>
          </w:tcPr>
          <w:p>
            <w:pPr>
              <w:pStyle w:val="TableContents"/>
              <w:spacing w:before="0" w:after="283"/>
              <w:rPr/>
            </w:pPr>
            <w:r>
              <w:rPr/>
              <w:t> </w:t>
            </w:r>
          </w:p>
        </w:tc>
      </w:tr>
      <w:tr>
        <w:trPr/>
        <w:tc>
          <w:tcPr>
            <w:tcW w:w="152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3D Printing</w:t>
            </w:r>
          </w:p>
        </w:tc>
        <w:tc>
          <w:tcPr>
            <w:tcW w:w="60" w:type="dxa"/>
            <w:tcBorders/>
            <w:shd w:fill="FFFFFF" w:val="clear"/>
            <w:vAlign w:val="center"/>
          </w:tcPr>
          <w:p>
            <w:pPr>
              <w:pStyle w:val="TableContents"/>
              <w:spacing w:before="0" w:after="283"/>
              <w:rPr/>
            </w:pPr>
            <w:r>
              <w:rPr/>
              <w:t> </w:t>
            </w:r>
          </w:p>
        </w:tc>
        <w:tc>
          <w:tcPr>
            <w:tcW w:w="188" w:type="dxa"/>
            <w:tcBorders/>
            <w:shd w:fill="FFFFFF" w:val="clear"/>
            <w:vAlign w:val="center"/>
          </w:tcPr>
          <w:p>
            <w:pPr>
              <w:pStyle w:val="TableContents"/>
              <w:spacing w:before="0" w:after="283"/>
              <w:ind w:left="0" w:right="0" w:hanging="0"/>
              <w:rPr/>
            </w:pPr>
            <w:r>
              <w:rPr/>
              <w:t> </w:t>
            </w:r>
          </w:p>
        </w:tc>
        <w:tc>
          <w:tcPr>
            <w:tcW w:w="10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21,325</w:t>
            </w:r>
          </w:p>
        </w:tc>
        <w:tc>
          <w:tcPr>
            <w:tcW w:w="9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88" w:type="dxa"/>
            <w:tcBorders/>
            <w:shd w:fill="FFFFFF" w:val="clear"/>
            <w:vAlign w:val="center"/>
          </w:tcPr>
          <w:p>
            <w:pPr>
              <w:pStyle w:val="TableContents"/>
              <w:spacing w:before="0" w:after="283"/>
              <w:ind w:left="0" w:right="0" w:hanging="0"/>
              <w:rPr/>
            </w:pPr>
            <w:r>
              <w:rPr/>
              <w:t> </w:t>
            </w:r>
          </w:p>
        </w:tc>
        <w:tc>
          <w:tcPr>
            <w:tcW w:w="10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19,672</w:t>
            </w:r>
          </w:p>
        </w:tc>
        <w:tc>
          <w:tcPr>
            <w:tcW w:w="60" w:type="dxa"/>
            <w:tcBorders/>
            <w:shd w:fill="FFFFFF" w:val="clear"/>
            <w:vAlign w:val="center"/>
          </w:tcPr>
          <w:p>
            <w:pPr>
              <w:pStyle w:val="TableContents"/>
              <w:spacing w:before="0" w:after="283"/>
              <w:rPr/>
            </w:pPr>
            <w:r>
              <w:rPr/>
              <w:t> </w:t>
            </w:r>
          </w:p>
        </w:tc>
      </w:tr>
      <w:tr>
        <w:trPr/>
        <w:tc>
          <w:tcPr>
            <w:tcW w:w="152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Sheet Metal</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ind w:left="0" w:right="0" w:hanging="0"/>
              <w:rPr/>
            </w:pPr>
            <w:r>
              <w:rPr/>
              <w:t> </w:t>
            </w:r>
          </w:p>
        </w:tc>
        <w:tc>
          <w:tcPr>
            <w:tcW w:w="10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4,248</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ind w:left="0" w:right="0" w:hanging="0"/>
              <w:rPr/>
            </w:pPr>
            <w:r>
              <w:rPr/>
              <w:t> </w:t>
            </w:r>
          </w:p>
        </w:tc>
        <w:tc>
          <w:tcPr>
            <w:tcW w:w="10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4,687</w:t>
            </w:r>
          </w:p>
        </w:tc>
        <w:tc>
          <w:tcPr>
            <w:tcW w:w="60" w:type="dxa"/>
            <w:tcBorders/>
            <w:shd w:fill="CCEEFF" w:val="clear"/>
            <w:vAlign w:val="center"/>
          </w:tcPr>
          <w:p>
            <w:pPr>
              <w:pStyle w:val="TableContents"/>
              <w:spacing w:before="0" w:after="283"/>
              <w:rPr/>
            </w:pPr>
            <w:r>
              <w:rPr/>
              <w:t> </w:t>
            </w:r>
          </w:p>
        </w:tc>
      </w:tr>
      <w:tr>
        <w:trPr/>
        <w:tc>
          <w:tcPr>
            <w:tcW w:w="152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Other Revenue</w:t>
            </w:r>
          </w:p>
        </w:tc>
        <w:tc>
          <w:tcPr>
            <w:tcW w:w="60" w:type="dxa"/>
            <w:tcBorders/>
            <w:shd w:fill="FFFFFF" w:val="clear"/>
            <w:vAlign w:val="center"/>
          </w:tcPr>
          <w:p>
            <w:pPr>
              <w:pStyle w:val="TableContents"/>
              <w:spacing w:before="0" w:after="283"/>
              <w:rPr/>
            </w:pPr>
            <w:r>
              <w:rPr/>
              <w:t> </w:t>
            </w:r>
          </w:p>
        </w:tc>
        <w:tc>
          <w:tcPr>
            <w:tcW w:w="18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234</w:t>
            </w:r>
          </w:p>
        </w:tc>
        <w:tc>
          <w:tcPr>
            <w:tcW w:w="90" w:type="dxa"/>
            <w:tcBorders>
              <w:bottom w:val="single" w:sz="2" w:space="0" w:color="000000"/>
            </w:tcBorders>
            <w:shd w:fill="FFFFFF" w:val="clear"/>
            <w:tcMar>
              <w:bottom w:w="28" w:type="dxa"/>
            </w:tcM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8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313</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152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CCEEFF" w:val="clear"/>
            <w:vAlign w:val="center"/>
          </w:tcPr>
          <w:p>
            <w:pPr>
              <w:pStyle w:val="TableContents"/>
              <w:spacing w:before="0" w:after="283"/>
              <w:ind w:left="0" w:right="0" w:hanging="0"/>
              <w:rPr/>
            </w:pPr>
            <w:r>
              <w:rPr/>
              <w:t> </w:t>
            </w:r>
          </w:p>
        </w:tc>
        <w:tc>
          <w:tcPr>
            <w:tcW w:w="18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125,859</w:t>
            </w:r>
          </w:p>
        </w:tc>
        <w:tc>
          <w:tcPr>
            <w:tcW w:w="90" w:type="dxa"/>
            <w:tcBorders>
              <w:bottom w:val="double" w:sz="6" w:space="0" w:color="000000"/>
            </w:tcBorders>
            <w:shd w:fill="CCEEFF" w:val="clear"/>
            <w:tcMar>
              <w:bottom w:w="28" w:type="dxa"/>
            </w:tcMar>
            <w:vAlign w:val="center"/>
          </w:tcPr>
          <w:p>
            <w:pPr>
              <w:pStyle w:val="TableContents"/>
              <w:spacing w:before="0" w:after="283"/>
              <w:rPr/>
            </w:pPr>
            <w:r>
              <w:rPr/>
              <w:t> </w:t>
            </w:r>
          </w:p>
        </w:tc>
        <w:tc>
          <w:tcPr>
            <w:tcW w:w="90" w:type="dxa"/>
            <w:tcBorders/>
            <w:shd w:fill="CCEEFF" w:val="clear"/>
            <w:vAlign w:val="center"/>
          </w:tcPr>
          <w:p>
            <w:pPr>
              <w:pStyle w:val="TableContents"/>
              <w:spacing w:before="0" w:after="283"/>
              <w:ind w:left="0" w:right="0" w:hanging="0"/>
              <w:rPr/>
            </w:pPr>
            <w:r>
              <w:rPr/>
              <w:t> </w:t>
            </w:r>
          </w:p>
        </w:tc>
        <w:tc>
          <w:tcPr>
            <w:tcW w:w="18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124,168</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r>
    </w:tbl>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p>
      <w:pPr>
        <w:pStyle w:val="TextBody"/>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jc w:val="left"/>
        <w:rPr>
          <w:rFonts w:ascii="Times New Roman;Times;serif" w:hAnsi="Times New Roman;Times;serif"/>
          <w:b/>
          <w:sz w:val="20"/>
        </w:rPr>
      </w:pPr>
      <w:bookmarkStart w:id="4" w:name="i2"/>
      <w:bookmarkEnd w:id="4"/>
      <w:r>
        <w:rPr>
          <w:rFonts w:ascii="Times New Roman;Times;serif" w:hAnsi="Times New Roman;Times;serif"/>
          <w:b/>
          <w:sz w:val="20"/>
        </w:rPr>
        <w:t>Item 2. Management’s Discussion and Analysis of Financial Condition and Results of Operations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i/>
          <w:sz w:val="20"/>
        </w:rPr>
      </w:pPr>
      <w:r>
        <w:rPr>
          <w:rFonts w:ascii="Times New Roman;Times;serif" w:hAnsi="Times New Roman;Times;serif"/>
          <w:i/>
          <w:sz w:val="20"/>
        </w:rPr>
        <w:t>The following discussion and analysis of our financial condition and results of operations should be read in conjunction with our unaudited consolidated financial statements and related notes appearing elsewhere in this Quarterly Report on Form 10-Q and our Annual Report on Form 10-K for the year ended December 31, 2022.</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Statements contained in this report regarding matters that are not historical or current facts are “forward-looking statements” within the meaning of The Private Securities Litigation Reform Act of 1995.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known and unknown risks, uncertainties and other factors that may cause our results to be materially different than those expressed or implied in such statements. Certain of these risk factors and others are described in Item 1A. “Risk Factors” of this Form 10-Q, as well as our most recent Annual Report on Form 10-K as filed with the Securities and Exchange Commission (SEC). Other unknown or unpredictable factors also could have material adverse effects on our future results. We cannot guarantee future results, levels of activity, performance or achievements. Accordingly, you should not place undue reliance on these forward-looking statements. Finally, we expressly disclaim any intent or obligation to update any forward-looking statements to reflect subsequent events or circumstances.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We are one of the world’s largest and fastest digital manufacturers of custom prototypes and on-demand production parts. Our mission is to empower companies to bring new ideas to market by offering the fastest and most comprehensive digital manufacturing service in the world. Our automated quoting and manufacturing systems allow us to produce commercial-grade plastic, metal, and liquid silicone rubber parts in as fast as one day. We manufacture prototype and low volume production parts for companies worldwide, who are under increasing pressure to bring their finished products to market faster than their competition. We utilize injection molding, computer numerical control (CNC) machining, 3D printing and sheet metal fabrication to manufacture custom parts for our customers. For most of our offerings, our proprietary technology eliminates most of the time-consuming and expensive skilled labor conventionally required to quote and manufacture parts. Our customers conduct nearly all of their business with us over the Internet. We target our products to the millions of product developers and engineers who use three-dimensional computer-aided design (3D CAD) software to design products across a diverse range of end-markets. In addition, we serve procurement and supply chain professionals seeking to manufacture custom parts on-demand. Through the acquisition of Hubs (formerly 3D Hubs, Inc.) (Hubs) in 2021, we are able to provide our customers access to a global network of premium manufacturing partners who reside across North America, Europe and Asia, complementing our in-house manufacturing. We believe our use of advanced technology enables us to offer significant advantages at competitive prices to many customers and is the primary reason we have become a leading supplier of custom parts.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color w:val="000000"/>
          <w:sz w:val="20"/>
          <w:highlight w:val="white"/>
        </w:rPr>
      </w:pPr>
      <w:r>
        <w:rPr>
          <w:rFonts w:ascii="Times New Roman;Times;serif" w:hAnsi="Times New Roman;Times;serif"/>
          <w:color w:val="000000"/>
          <w:sz w:val="20"/>
          <w:highlight w:val="white"/>
        </w:rPr>
        <w:t>On May 27, 2022, our board of directors approved a plan for the closure of our manufacturing facility in Japan and announced an intention to cease operations in the region. Affected employees in Japan will receive severance and other transition assistance that meet or exceed local requirements. We expect to complete the closure plan within the year.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Our primary manufacturing product lines currently include Injection Molding, CNC Machining, 3D Printing and Sheet Metal. We continually seek to expand the range of sizes and geometric complexity of the parts we can make with these processes, to extend the variety of materials we are able to support, and to identify additional manufacturing processes to which we can apply our technology in order to better serve the evolving preferences and needs of product developers and engineers. In 2021, we augmented our internal manufacturing operations through our acquisition of Hubs to expand the envelope of custom parts we can provide to our customers through a network of premium manufacturing partners in each of our product lines.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Injection Molding</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Our Injection Molding product line uses our 3D CAD-to-CNC machining technology for the automated design and manufacture of molds, which are then used to produce custom plastic and liquid silicone rubber injection-molded parts and over-molded and insert-molded injection-molded parts on commercially available equipment. Our Injection Molding product line works best for on-demand production, bridge tooling, pilot runs and functional prototyping. Our affordable molds and quick turnaround times help reduce design risk and limit overall production costs for product developers and engineers. Because we retain possession of the molds, customers who need short-run production often come back to Proto Labs’ Injection Molding product line for additional quantities. They do so to support pilot production for product testing, while their tooling for high-volume production is being prepared, because they need on-demand manufacturing due to disruptions in their manufacturing process, because their product requires limited annual quantity or because they need end-of-life production support. In 2017, we launched an on-demand manufacturing injection molding service. This service utilizes our existing processes, but is designed to fulfill the needs of customers with on-going production needs.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i/>
          <w:sz w:val="20"/>
        </w:rPr>
      </w:pPr>
      <w:r>
        <w:rPr>
          <w:rFonts w:ascii="Times New Roman;Times;serif" w:hAnsi="Times New Roman;Times;serif"/>
          <w:b/>
          <w:i/>
          <w:sz w:val="20"/>
        </w:rPr>
        <w:t>CNC Machining</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Our CNC Machining product line uses commercially available CNC machines to offer milling and turning. CNC milling is a manufacturing process that cuts plastic and metal blocks into one or more custom parts based on the 3D CAD model uploaded by the customer. CNC turning is a subtractive manufacturing process that rotates a metal rod while a cutting tool is used to remove material and create final parts. Quick-turn CNC machining works best for prototyping, form and fit testing, jigs and fixtures and functional components for end-use applications.</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Industrial 3D Printing </w:t>
      </w:r>
    </w:p>
    <w:p>
      <w:pPr>
        <w:pStyle w:val="TextBody"/>
        <w:spacing w:before="0" w:after="0"/>
        <w:ind w:left="0" w:right="0" w:hanging="0"/>
        <w:jc w:val="both"/>
        <w:rPr/>
      </w:pPr>
      <w:r>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Our Industrial 3D Printing product line includes SL, SLS, DMLS, MJF, PolyJet, Carbon DLS and fused deposition modeling (FDM) processes, which offers customers a wide-variety of high-quality, precision rapid prototyping and low volume production. These processes create parts with a high level of accuracy, detail, strength and durability. Industrial 3D Printing is best suited for functional prototypes, complex designs and end-use applications.</w:t>
      </w:r>
    </w:p>
    <w:p>
      <w:pPr>
        <w:pStyle w:val="TextBody"/>
        <w:spacing w:before="0" w:after="0"/>
        <w:ind w:left="0" w:right="0" w:hanging="0"/>
        <w:rPr/>
      </w:pPr>
      <w:r>
        <w:rPr/>
        <w:t> </w:t>
      </w:r>
    </w:p>
    <w:p>
      <w:pPr>
        <w:pStyle w:val="TextBody"/>
        <w:spacing w:before="0" w:after="0"/>
        <w:ind w:left="0" w:right="0" w:hanging="0"/>
        <w:jc w:val="left"/>
        <w:rPr>
          <w:rFonts w:ascii="Times New Roman;Times;serif" w:hAnsi="Times New Roman;Times;serif"/>
          <w:b/>
          <w:i/>
          <w:sz w:val="20"/>
        </w:rPr>
      </w:pPr>
      <w:r>
        <w:rPr>
          <w:rFonts w:ascii="Times New Roman;Times;serif" w:hAnsi="Times New Roman;Times;serif"/>
          <w:b/>
          <w:i/>
          <w:sz w:val="20"/>
        </w:rPr>
        <w:t>Sheet Metal</w:t>
      </w:r>
    </w:p>
    <w:p>
      <w:pPr>
        <w:pStyle w:val="TextBody"/>
        <w:spacing w:before="0" w:after="0"/>
        <w:ind w:left="0" w:right="0" w:hanging="0"/>
        <w:jc w:val="both"/>
        <w:rPr/>
      </w:pPr>
      <w:r>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Our Sheet Metal product line includes quick-turn and e-commerce-enabled custom sheet metal parts, providing customers with prototype and low-volume production parts. The rapid prototype sheet metal process is most often used when form, fit and function are all a priority. Our manufacturing process uses customer 3D CAD models uploaded by the customer to fabricate rapid prototyping sheet metal or end-use production parts and assemblies.</w:t>
      </w:r>
    </w:p>
    <w:p>
      <w:pPr>
        <w:pStyle w:val="TextBody"/>
        <w:spacing w:before="0" w:after="0"/>
        <w:ind w:left="0" w:right="0" w:hanging="0"/>
        <w:rPr/>
      </w:pPr>
      <w:r>
        <w:rPr/>
        <w:t>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Key Financial Measures and Trends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Our operations are comprised of three geographic operating segments in the United States, Europe and Japan. On May 27, 2022, our board of directors approved a plan for the closure of our manufacturing facility in Japan and announced an intention to cease operations in the region. Revenue is derived from our Injection Molding, CNC Machining, 3D Printing and Sheet Metal product lines. Injection Molding revenue consists of sales of custom injection molds and injection-molded parts. CNC Machining revenue consists of sales of CNC-machined custom parts. 3D Printing revenue consists of sales of 3D-printed parts. Sheet Metal revenue consists of sales of fabricated sheet metal custom parts. Our historical and current efforts to increase revenue have been directed at gaining new customers and selling to our existing customer base by increasing marketing and selling activities, including:</w:t>
      </w:r>
    </w:p>
    <w:p>
      <w:pPr>
        <w:pStyle w:val="TextBody"/>
        <w:spacing w:before="0" w:after="0"/>
        <w:ind w:left="294" w:right="294" w:hanging="0"/>
        <w:jc w:val="left"/>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jc w:val="left"/>
              <w:rPr/>
            </w:pPr>
            <w:r>
              <w:rPr/>
              <w:t>●</w:t>
            </w:r>
          </w:p>
        </w:tc>
        <w:tc>
          <w:tcPr>
            <w:tcW w:w="997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expanding the breadth and scope of our products by adding more sizes and materials to our offerings;</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9975" w:type="dxa"/>
            <w:tcBorders/>
            <w:shd w:fill="auto" w:val="clear"/>
            <w:vAlign w:val="center"/>
          </w:tcPr>
          <w:p>
            <w:pPr>
              <w:pStyle w:val="TableContents"/>
              <w:spacing w:before="0" w:after="0"/>
              <w:ind w:left="0" w:right="0" w:hanging="0"/>
              <w:jc w:val="left"/>
              <w:rPr/>
            </w:pPr>
            <w:r>
              <w:rPr/>
              <w:t> </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jc w:val="left"/>
              <w:rPr/>
            </w:pPr>
            <w:r>
              <w:rPr/>
              <w:t>●</w:t>
            </w:r>
          </w:p>
        </w:tc>
        <w:tc>
          <w:tcPr>
            <w:tcW w:w="997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the introduction of our 3D Printing product line through our acquisition of FineLine in 2014;</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9975" w:type="dxa"/>
            <w:tcBorders/>
            <w:shd w:fill="auto" w:val="clear"/>
            <w:vAlign w:val="center"/>
          </w:tcPr>
          <w:p>
            <w:pPr>
              <w:pStyle w:val="TableContents"/>
              <w:spacing w:before="0" w:after="0"/>
              <w:ind w:left="0" w:right="0" w:hanging="0"/>
              <w:jc w:val="left"/>
              <w:rPr/>
            </w:pPr>
            <w:r>
              <w:rPr/>
              <w:t> </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jc w:val="left"/>
              <w:rPr/>
            </w:pPr>
            <w:r>
              <w:rPr/>
              <w:t>●</w:t>
            </w:r>
          </w:p>
        </w:tc>
        <w:tc>
          <w:tcPr>
            <w:tcW w:w="997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expanding 3D Printing to Europe through our acquisition of Alphaform in 2015;</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9975" w:type="dxa"/>
            <w:tcBorders/>
            <w:shd w:fill="auto" w:val="clear"/>
            <w:vAlign w:val="center"/>
          </w:tcPr>
          <w:p>
            <w:pPr>
              <w:pStyle w:val="TableContents"/>
              <w:spacing w:before="0" w:after="0"/>
              <w:ind w:left="0" w:right="0" w:hanging="0"/>
              <w:jc w:val="left"/>
              <w:rPr/>
            </w:pPr>
            <w:r>
              <w:rPr/>
              <w:t> </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jc w:val="left"/>
              <w:rPr/>
            </w:pPr>
            <w:r>
              <w:rPr/>
              <w:t>●</w:t>
            </w:r>
          </w:p>
        </w:tc>
        <w:tc>
          <w:tcPr>
            <w:tcW w:w="997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the introduction of our Sheet Metal product line through our acquisition of Rapid Manufacturing Group, LLC in 2017;</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9975" w:type="dxa"/>
            <w:tcBorders/>
            <w:shd w:fill="auto" w:val="clear"/>
            <w:vAlign w:val="center"/>
          </w:tcPr>
          <w:p>
            <w:pPr>
              <w:pStyle w:val="TableContents"/>
              <w:spacing w:before="0" w:after="0"/>
              <w:ind w:left="0" w:right="0" w:hanging="0"/>
              <w:jc w:val="left"/>
              <w:rPr/>
            </w:pPr>
            <w:r>
              <w:rPr/>
              <w:t> </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jc w:val="left"/>
              <w:rPr/>
            </w:pPr>
            <w:r>
              <w:rPr/>
              <w:t>●</w:t>
            </w:r>
          </w:p>
        </w:tc>
        <w:tc>
          <w:tcPr>
            <w:tcW w:w="997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continuously improving the usability of our product lines such as our web-centric applications; and</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7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7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providing customers with on-demand access to a global network of premium manufacturing partners through our acquisition of Hubs in 2021.</w:t>
            </w:r>
          </w:p>
        </w:tc>
      </w:tr>
    </w:tbl>
    <w:p>
      <w:pPr>
        <w:pStyle w:val="TextBody"/>
        <w:spacing w:before="0" w:after="0"/>
        <w:ind w:left="294" w:right="294"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During the three months ended March 31, 2023, we served 23,287 unique product developers and engineers who purchased our products through our web-based customer interface, which is consistent with the same period in 2022.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Cost of Revenue, Gross Profit and Gross Margin</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 consists primarily of raw materials, equipment depreciation, employee compensation, benefits, stock-based compensation, facilities costs and overhead allocations associated with the manufacturing process for molds and customer parts. We expect our personnel-related costs to increase in order to retain and attract top talent and remain competitive in the market. Overall, we expect cost of revenue to increase in absolute dollars.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We define gross profit as our revenue less our cost of revenue, and we define gross margin as gross profit expressed as a percentage of revenue. Our gross profit and gross margin are affected by many factors, including our mix of revenue by product line, pricing, sales volume, manufacturing costs, the costs associated with increasing production capacity, the mix between domestic and foreign revenue sources, the mix between revenue produced in our internal manufacturing operations and outsourced to our external manufacturing partners, the mix between premium expedited manufacturing and longer lead times, and foreign currency exchange rates.</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 consist of marketing and sales, research and development and general and administrative expenses. Personnel-related costs are the most significant component in each of these categories.</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Our business strategy is to continue to be a leading online and technology-enabled manufacturer of quick-turn, on-demand injection-molded, CNC-machined, 3D-printed and sheet metal custom parts for prototyping and low-volume production. In order to achieve our goals, we anticipate continued substantial investments in technology and personnel, resulting in increased operating expenses in the future.</w:t>
      </w:r>
    </w:p>
    <w:p>
      <w:pPr>
        <w:pStyle w:val="TextBody"/>
        <w:spacing w:before="0" w:after="0"/>
        <w:ind w:left="0" w:right="0" w:hanging="0"/>
        <w:jc w:val="center"/>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Marketing and sales. </w:t>
      </w:r>
      <w:r>
        <w:rPr>
          <w:rFonts w:ascii="Times New Roman;Times;serif" w:hAnsi="Times New Roman;Times;serif"/>
          <w:sz w:val="20"/>
        </w:rPr>
        <w:t>Marketing and sales expense consists primarily of employee compensation, benefits, commissions, stock-based compensation, marketing programs such as electronic, print and pay-per-click advertising, trade shows and other related overhead, which includes an allocation of information technology expense including amortization of Protolabs 2.0 software assets. We expect sales and marketing expense to increase in the future as we increase the number of marketing and sales professionals and marketing programs targeted to increase our customer base and grow revenue.</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i/>
          <w:sz w:val="20"/>
        </w:rPr>
        <w:t>Research and development.</w:t>
      </w:r>
      <w:r>
        <w:rPr>
          <w:rFonts w:ascii="Times New Roman;Times;serif" w:hAnsi="Times New Roman;Times;serif"/>
          <w:sz w:val="20"/>
        </w:rPr>
        <w:t xml:space="preserve"> Research and development expense consists primarily of personnel and outside service costs related to the development of new processes and product lines, enhancement of existing product lines, development of software for internal use, maintenance of internally developed software, quality assurance and testing. Costs for internal use software are evaluated by project and capitalized where appropriate under ASC 350-40, </w:t>
      </w:r>
      <w:r>
        <w:rPr>
          <w:rFonts w:ascii="Times New Roman;Times;serif" w:hAnsi="Times New Roman;Times;serif"/>
          <w:i/>
          <w:sz w:val="20"/>
        </w:rPr>
        <w:t>Intangibles — Goodwill and Other, Internal-Use Software</w:t>
      </w:r>
      <w:r>
        <w:rPr>
          <w:rFonts w:ascii="Times New Roman;Times;serif" w:hAnsi="Times New Roman;Times;serif"/>
          <w:sz w:val="20"/>
        </w:rPr>
        <w:t>. We expect research and development expense to increase in the future as we seek to enhance our e-commerce interface technology, internal software and supporting business systems, and continue to expand our product lines.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i/>
          <w:sz w:val="20"/>
        </w:rPr>
        <w:t>General and administrative.</w:t>
      </w:r>
      <w:r>
        <w:rPr>
          <w:rFonts w:ascii="Times New Roman;Times;serif" w:hAnsi="Times New Roman;Times;serif"/>
          <w:sz w:val="20"/>
        </w:rPr>
        <w:t xml:space="preserve"> General and administrative expense consists primarily of employee compensation, benefits, stock-based compensation, professional service fees related to accounting, tax and legal, and other related overhead, which includes an allocation of information technology expense including amortization of Protolabs 2.0 software assets. We expect general and administrative expense to increase in the future as we continue to grow and expand as a global organization.</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i/>
          <w:sz w:val="20"/>
        </w:rPr>
        <w:t>Closure of Japan business.</w:t>
      </w:r>
      <w:r>
        <w:rPr>
          <w:rFonts w:ascii="Times New Roman;Times;serif" w:hAnsi="Times New Roman;Times;serif"/>
          <w:sz w:val="20"/>
        </w:rPr>
        <w:t> Closure of Japan business expense is driven by our decision to close the Japan manufacturing facility and exit the Japan market. The expenses consist primarily of operating expense, including employee severance, write-down of fixed assets, facility-related charges and goodwill impairment charges.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i/>
          <w:sz w:val="20"/>
        </w:rPr>
      </w:pPr>
      <w:r>
        <w:rPr>
          <w:rFonts w:ascii="Times New Roman;Times;serif" w:hAnsi="Times New Roman;Times;serif"/>
          <w:b/>
          <w:i/>
          <w:sz w:val="20"/>
        </w:rPr>
        <w:t>Other Income (Loss), net</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Other income (loss), net primarily consists of foreign currency-related gains and losses and interest income on cash balances and investments. Our foreign currency-related gains and losses will vary depending upon movements in underlying foreign currency exchange rates. Our interest income will vary each reporting period depending on our average cash balances during the period, composition of our marketable security portfolio and the current level of interest rates.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i/>
          <w:sz w:val="20"/>
        </w:rPr>
      </w:pPr>
      <w:r>
        <w:rPr>
          <w:rFonts w:ascii="Times New Roman;Times;serif" w:hAnsi="Times New Roman;Times;serif"/>
          <w:b/>
          <w:i/>
          <w:sz w:val="20"/>
        </w:rPr>
        <w:t>Provision for Income Taxes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 is comprised of federal, state, local and foreign taxes based on pre-tax income. Overall, our effective tax rate for 2023 and beyond may differ from historical effective tax rates due to increases in losses in foreign operations that are not eligible for tax benefits on account of valuation allowances, as well as any future tax law changes that may impact our effective tax rate.</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our results of operations and the related changes for the periods indicated. The results below are not necessarily indicative of the results for future periods. </w:t>
      </w:r>
    </w:p>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tbl>
      <w:tblPr>
        <w:tblW w:w="6660" w:type="dxa"/>
        <w:jc w:val="left"/>
        <w:tblInd w:w="0" w:type="dxa"/>
        <w:tblCellMar>
          <w:top w:w="0" w:type="dxa"/>
          <w:left w:w="0" w:type="dxa"/>
          <w:bottom w:w="0" w:type="dxa"/>
          <w:right w:w="0" w:type="dxa"/>
        </w:tblCellMar>
      </w:tblPr>
      <w:tblGrid>
        <w:gridCol w:w="2000"/>
        <w:gridCol w:w="60"/>
        <w:gridCol w:w="110"/>
        <w:gridCol w:w="605"/>
        <w:gridCol w:w="60"/>
        <w:gridCol w:w="60"/>
        <w:gridCol w:w="60"/>
        <w:gridCol w:w="425"/>
        <w:gridCol w:w="155"/>
        <w:gridCol w:w="60"/>
        <w:gridCol w:w="110"/>
        <w:gridCol w:w="605"/>
        <w:gridCol w:w="80"/>
        <w:gridCol w:w="60"/>
        <w:gridCol w:w="60"/>
        <w:gridCol w:w="425"/>
        <w:gridCol w:w="155"/>
        <w:gridCol w:w="60"/>
        <w:gridCol w:w="110"/>
        <w:gridCol w:w="485"/>
        <w:gridCol w:w="80"/>
        <w:gridCol w:w="60"/>
        <w:gridCol w:w="60"/>
        <w:gridCol w:w="485"/>
        <w:gridCol w:w="230"/>
      </w:tblGrid>
      <w:tr>
        <w:trPr/>
        <w:tc>
          <w:tcPr>
            <w:tcW w:w="20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875" w:type="dxa"/>
            <w:gridSpan w:val="14"/>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Three Months Ended March 31,</w:t>
            </w:r>
          </w:p>
        </w:tc>
        <w:tc>
          <w:tcPr>
            <w:tcW w:w="155"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80"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Change</w:t>
            </w:r>
          </w:p>
        </w:tc>
        <w:tc>
          <w:tcPr>
            <w:tcW w:w="23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000" w:type="dxa"/>
            <w:tcBorders/>
            <w:shd w:fill="FFFFFF" w:val="clear"/>
            <w:vAlign w:val="center"/>
          </w:tcPr>
          <w:p>
            <w:pPr>
              <w:pStyle w:val="TableContents"/>
              <w:spacing w:before="0" w:after="0"/>
              <w:ind w:left="0" w:right="0" w:hanging="0"/>
              <w:rPr>
                <w:rFonts w:ascii="Times New Roman;Times;serif" w:hAnsi="Times New Roman;Times;serif"/>
                <w:caps w:val="false"/>
                <w:smallCaps w:val="false"/>
                <w:sz w:val="16"/>
              </w:rPr>
            </w:pPr>
            <w:r>
              <w:rPr>
                <w:rFonts w:ascii="Times New Roman;Times;serif" w:hAnsi="Times New Roman;Times;serif"/>
                <w:caps w:val="false"/>
                <w:smallCaps w:val="false"/>
                <w:sz w:val="16"/>
              </w:rPr>
              <w:t>(dollars in thousands)</w:t>
            </w:r>
          </w:p>
        </w:tc>
        <w:tc>
          <w:tcPr>
            <w:tcW w:w="60" w:type="dxa"/>
            <w:tcBorders/>
            <w:shd w:fill="FFFFFF" w:val="clear"/>
            <w:vAlign w:val="center"/>
          </w:tcPr>
          <w:p>
            <w:pPr>
              <w:pStyle w:val="TableContents"/>
              <w:spacing w:before="0" w:after="283"/>
              <w:ind w:left="0" w:right="0" w:hanging="0"/>
              <w:rPr/>
            </w:pPr>
            <w:r>
              <w:rPr/>
              <w:t> </w:t>
            </w:r>
          </w:p>
        </w:tc>
        <w:tc>
          <w:tcPr>
            <w:tcW w:w="1320"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2023</w:t>
            </w:r>
          </w:p>
        </w:tc>
        <w:tc>
          <w:tcPr>
            <w:tcW w:w="155"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40"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2022</w:t>
            </w:r>
          </w:p>
        </w:tc>
        <w:tc>
          <w:tcPr>
            <w:tcW w:w="155"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95" w:type="dxa"/>
            <w:gridSpan w:val="2"/>
            <w:tcBorders>
              <w:bottom w:val="single" w:sz="2" w:space="0" w:color="000000"/>
            </w:tcBorders>
            <w:shd w:fill="FFFFFF" w:val="clear"/>
            <w:tcMar>
              <w:bottom w:w="28" w:type="dxa"/>
            </w:tcMar>
            <w:vAlign w:val="center"/>
          </w:tcPr>
          <w:p>
            <w:pPr>
              <w:pStyle w:val="TableContents"/>
              <w:spacing w:before="0" w:after="283"/>
              <w:jc w:val="center"/>
              <w:rPr/>
            </w:pPr>
            <w:r>
              <w:rPr/>
              <w:t> </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4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w:t>
            </w:r>
          </w:p>
        </w:tc>
        <w:tc>
          <w:tcPr>
            <w:tcW w:w="23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000"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16"/>
              </w:rPr>
            </w:pPr>
            <w:r>
              <w:rPr>
                <w:rFonts w:ascii="Times New Roman;Times;serif" w:hAnsi="Times New Roman;Times;serif"/>
                <w:caps w:val="false"/>
                <w:smallCaps w:val="false"/>
                <w:sz w:val="16"/>
              </w:rPr>
              <w:t>Revenue</w:t>
            </w:r>
          </w:p>
        </w:tc>
        <w:tc>
          <w:tcPr>
            <w:tcW w:w="60" w:type="dxa"/>
            <w:tcBorders/>
            <w:shd w:fill="CCEEFF" w:val="clear"/>
            <w:vAlign w:val="center"/>
          </w:tcPr>
          <w:p>
            <w:pPr>
              <w:pStyle w:val="TableContents"/>
              <w:spacing w:before="0" w:after="283"/>
              <w:ind w:left="0" w:right="0" w:hanging="0"/>
              <w:rPr/>
            </w:pPr>
            <w:r>
              <w:rPr/>
              <w:t> </w:t>
            </w:r>
          </w:p>
        </w:tc>
        <w:tc>
          <w:tcPr>
            <w:tcW w:w="110" w:type="dxa"/>
            <w:tcBorders/>
            <w:shd w:fill="CCEEFF" w:val="clear"/>
            <w:vAlign w:val="center"/>
          </w:tcPr>
          <w:p>
            <w:pPr>
              <w:pStyle w:val="TableContents"/>
              <w:spacing w:before="0" w:after="283"/>
              <w:ind w:left="0" w:right="0" w:hanging="0"/>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125,859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425"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10" w:type="dxa"/>
            <w:tcBorders/>
            <w:shd w:fill="CCEEFF" w:val="clear"/>
            <w:vAlign w:val="center"/>
          </w:tcPr>
          <w:p>
            <w:pPr>
              <w:pStyle w:val="TableContents"/>
              <w:spacing w:before="0" w:after="283"/>
              <w:ind w:left="0" w:right="0" w:hanging="0"/>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124,168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425"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10" w:type="dxa"/>
            <w:tcBorders/>
            <w:shd w:fill="CCEEFF" w:val="clear"/>
            <w:vAlign w:val="center"/>
          </w:tcPr>
          <w:p>
            <w:pPr>
              <w:pStyle w:val="TableContents"/>
              <w:spacing w:before="0" w:after="283"/>
              <w:ind w:left="0" w:right="0" w:hanging="0"/>
              <w:rPr>
                <w:rFonts w:ascii="Times New Roman;Times;serif" w:hAnsi="Times New Roman;Times;serif"/>
                <w:sz w:val="16"/>
              </w:rPr>
            </w:pPr>
            <w:r>
              <w:rPr>
                <w:rFonts w:ascii="Times New Roman;Times;serif" w:hAnsi="Times New Roman;Times;serif"/>
                <w:sz w:val="16"/>
              </w:rPr>
              <w:t>$</w:t>
            </w:r>
          </w:p>
        </w:tc>
        <w:tc>
          <w:tcPr>
            <w:tcW w:w="485"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1,691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485"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1.4</w:t>
            </w:r>
          </w:p>
        </w:tc>
        <w:tc>
          <w:tcPr>
            <w:tcW w:w="230" w:type="dxa"/>
            <w:tcBorders/>
            <w:shd w:fill="CCEEFF" w:val="clear"/>
            <w:vAlign w:val="center"/>
          </w:tcPr>
          <w:p>
            <w:pPr>
              <w:pStyle w:val="TableContents"/>
              <w:spacing w:before="0" w:after="283"/>
              <w:rPr/>
            </w:pPr>
            <w:r>
              <w:rPr/>
              <w:t> </w:t>
            </w:r>
          </w:p>
        </w:tc>
      </w:tr>
      <w:tr>
        <w:trPr/>
        <w:tc>
          <w:tcPr>
            <w:tcW w:w="2000" w:type="dxa"/>
            <w:tcBorders/>
            <w:shd w:fill="FFFFFF" w:val="clear"/>
            <w:vAlign w:val="center"/>
          </w:tcPr>
          <w:p>
            <w:pPr>
              <w:pStyle w:val="TableContents"/>
              <w:spacing w:before="0" w:after="0"/>
              <w:ind w:left="0" w:right="0" w:hanging="0"/>
              <w:rPr>
                <w:rFonts w:ascii="Times New Roman;Times;serif" w:hAnsi="Times New Roman;Times;serif"/>
                <w:caps w:val="false"/>
                <w:smallCaps w:val="false"/>
                <w:sz w:val="16"/>
              </w:rPr>
            </w:pPr>
            <w:r>
              <w:rPr>
                <w:rFonts w:ascii="Times New Roman;Times;serif" w:hAnsi="Times New Roman;Times;serif"/>
                <w:caps w:val="false"/>
                <w:smallCaps w:val="false"/>
                <w:sz w:val="16"/>
              </w:rPr>
              <w:t>Cost of revenue</w:t>
            </w:r>
          </w:p>
        </w:tc>
        <w:tc>
          <w:tcPr>
            <w:tcW w:w="60" w:type="dxa"/>
            <w:tcBorders/>
            <w:shd w:fill="FFFFFF" w:val="clear"/>
            <w:vAlign w:val="center"/>
          </w:tcPr>
          <w:p>
            <w:pPr>
              <w:pStyle w:val="TableContents"/>
              <w:spacing w:before="0" w:after="283"/>
              <w:rPr/>
            </w:pPr>
            <w:r>
              <w:rPr/>
              <w:t> </w:t>
            </w:r>
          </w:p>
        </w:tc>
        <w:tc>
          <w:tcPr>
            <w:tcW w:w="11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0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72,083</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2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57.3</w:t>
            </w:r>
          </w:p>
        </w:tc>
        <w:tc>
          <w:tcPr>
            <w:tcW w:w="155"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0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68,364</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2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55.1</w:t>
            </w:r>
          </w:p>
        </w:tc>
        <w:tc>
          <w:tcPr>
            <w:tcW w:w="155"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8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3,719</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8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5.4</w:t>
            </w:r>
          </w:p>
        </w:tc>
        <w:tc>
          <w:tcPr>
            <w:tcW w:w="23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000"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16"/>
              </w:rPr>
            </w:pPr>
            <w:r>
              <w:rPr>
                <w:rFonts w:ascii="Times New Roman;Times;serif" w:hAnsi="Times New Roman;Times;serif"/>
                <w:caps w:val="false"/>
                <w:smallCaps w:val="false"/>
                <w:sz w:val="16"/>
              </w:rPr>
              <w:t>Gross profit</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ind w:left="0" w:right="0" w:hanging="0"/>
              <w:rPr/>
            </w:pPr>
            <w:r>
              <w:rPr/>
              <w:t> </w:t>
            </w:r>
          </w:p>
        </w:tc>
        <w:tc>
          <w:tcPr>
            <w:tcW w:w="605"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53,776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425"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42.7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ind w:left="0" w:right="0" w:hanging="0"/>
              <w:rPr/>
            </w:pPr>
            <w:r>
              <w:rPr/>
              <w:t> </w:t>
            </w:r>
          </w:p>
        </w:tc>
        <w:tc>
          <w:tcPr>
            <w:tcW w:w="605"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55,804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425"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44.9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ind w:left="0" w:right="0" w:hanging="0"/>
              <w:rPr/>
            </w:pPr>
            <w:r>
              <w:rPr/>
              <w:t> </w:t>
            </w:r>
          </w:p>
        </w:tc>
        <w:tc>
          <w:tcPr>
            <w:tcW w:w="485"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(2,028</w:t>
            </w:r>
          </w:p>
        </w:tc>
        <w:tc>
          <w:tcPr>
            <w:tcW w:w="80" w:type="dxa"/>
            <w:tcBorders/>
            <w:shd w:fill="CCEEFF"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485"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(3.6</w:t>
            </w:r>
          </w:p>
        </w:tc>
        <w:tc>
          <w:tcPr>
            <w:tcW w:w="230" w:type="dxa"/>
            <w:tcBorders/>
            <w:shd w:fill="CCEEFF"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w:t>
            </w:r>
          </w:p>
        </w:tc>
      </w:tr>
      <w:tr>
        <w:trPr/>
        <w:tc>
          <w:tcPr>
            <w:tcW w:w="2000" w:type="dxa"/>
            <w:tcBorders/>
            <w:shd w:fill="FFFFFF" w:val="clear"/>
            <w:vAlign w:val="center"/>
          </w:tcPr>
          <w:p>
            <w:pPr>
              <w:pStyle w:val="TableContents"/>
              <w:spacing w:before="0" w:after="0"/>
              <w:ind w:left="0" w:right="0" w:hanging="0"/>
              <w:rPr>
                <w:rFonts w:ascii="Times New Roman;Times;serif" w:hAnsi="Times New Roman;Times;serif"/>
                <w:caps w:val="false"/>
                <w:smallCaps w:val="false"/>
                <w:sz w:val="16"/>
              </w:rPr>
            </w:pPr>
            <w:r>
              <w:rPr>
                <w:rFonts w:ascii="Times New Roman;Times;serif" w:hAnsi="Times New Roman;Times;serif"/>
                <w:caps w:val="false"/>
                <w:smallCaps w:val="false"/>
                <w:sz w:val="16"/>
              </w:rPr>
              <w:t>Operating expenses:</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60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25"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60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25"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rPr/>
            </w:pPr>
            <w:r>
              <w:rPr/>
              <w:t> </w:t>
            </w:r>
          </w:p>
        </w:tc>
      </w:tr>
      <w:tr>
        <w:trPr/>
        <w:tc>
          <w:tcPr>
            <w:tcW w:w="2000" w:type="dxa"/>
            <w:tcBorders/>
            <w:shd w:fill="CCEEFF" w:val="clear"/>
            <w:vAlign w:val="center"/>
          </w:tcPr>
          <w:p>
            <w:pPr>
              <w:pStyle w:val="TableContents"/>
              <w:spacing w:before="0" w:after="0"/>
              <w:ind w:left="360" w:right="0" w:hanging="0"/>
              <w:rPr>
                <w:rFonts w:ascii="Times New Roman;Times;serif" w:hAnsi="Times New Roman;Times;serif"/>
                <w:caps w:val="false"/>
                <w:smallCaps w:val="false"/>
                <w:sz w:val="16"/>
              </w:rPr>
            </w:pPr>
            <w:r>
              <w:rPr>
                <w:rFonts w:ascii="Times New Roman;Times;serif" w:hAnsi="Times New Roman;Times;serif"/>
                <w:caps w:val="false"/>
                <w:smallCaps w:val="false"/>
                <w:sz w:val="16"/>
              </w:rPr>
              <w:t>Marketing and sales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ind w:left="0" w:right="0" w:hanging="0"/>
              <w:rPr/>
            </w:pPr>
            <w:r>
              <w:rPr/>
              <w:t> </w:t>
            </w:r>
          </w:p>
        </w:tc>
        <w:tc>
          <w:tcPr>
            <w:tcW w:w="605"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22,451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425"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17.8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ind w:left="0" w:right="0" w:hanging="0"/>
              <w:rPr/>
            </w:pPr>
            <w:r>
              <w:rPr/>
              <w:t> </w:t>
            </w:r>
          </w:p>
        </w:tc>
        <w:tc>
          <w:tcPr>
            <w:tcW w:w="605"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20,586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425"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16.6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ind w:left="0" w:right="0" w:hanging="0"/>
              <w:rPr/>
            </w:pPr>
            <w:r>
              <w:rPr/>
              <w:t> </w:t>
            </w:r>
          </w:p>
        </w:tc>
        <w:tc>
          <w:tcPr>
            <w:tcW w:w="485"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1,865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485"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9.1</w:t>
            </w:r>
          </w:p>
        </w:tc>
        <w:tc>
          <w:tcPr>
            <w:tcW w:w="230" w:type="dxa"/>
            <w:tcBorders/>
            <w:shd w:fill="CCEEFF" w:val="clear"/>
            <w:vAlign w:val="center"/>
          </w:tcPr>
          <w:p>
            <w:pPr>
              <w:pStyle w:val="TableContents"/>
              <w:spacing w:before="0" w:after="283"/>
              <w:rPr/>
            </w:pPr>
            <w:r>
              <w:rPr/>
              <w:t> </w:t>
            </w:r>
          </w:p>
        </w:tc>
      </w:tr>
      <w:tr>
        <w:trPr/>
        <w:tc>
          <w:tcPr>
            <w:tcW w:w="2000" w:type="dxa"/>
            <w:tcBorders/>
            <w:shd w:fill="FFFFFF" w:val="clear"/>
            <w:vAlign w:val="center"/>
          </w:tcPr>
          <w:p>
            <w:pPr>
              <w:pStyle w:val="TableContents"/>
              <w:spacing w:before="0" w:after="0"/>
              <w:ind w:left="360" w:right="0" w:hanging="0"/>
              <w:rPr>
                <w:rFonts w:ascii="Times New Roman;Times;serif" w:hAnsi="Times New Roman;Times;serif"/>
                <w:caps w:val="false"/>
                <w:smallCaps w:val="false"/>
                <w:sz w:val="16"/>
              </w:rPr>
            </w:pPr>
            <w:r>
              <w:rPr>
                <w:rFonts w:ascii="Times New Roman;Times;serif" w:hAnsi="Times New Roman;Times;serif"/>
                <w:caps w:val="false"/>
                <w:smallCaps w:val="false"/>
                <w:sz w:val="16"/>
              </w:rPr>
              <w:t>Research and development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ind w:left="0" w:right="0" w:hanging="0"/>
              <w:rPr/>
            </w:pPr>
            <w:r>
              <w:rPr/>
              <w:t> </w:t>
            </w:r>
          </w:p>
        </w:tc>
        <w:tc>
          <w:tcPr>
            <w:tcW w:w="605" w:type="dxa"/>
            <w:tcBorders/>
            <w:shd w:fill="FFFF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10,677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25" w:type="dxa"/>
            <w:tcBorders/>
            <w:shd w:fill="FFFF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8.5</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ind w:left="0" w:right="0" w:hanging="0"/>
              <w:rPr/>
            </w:pPr>
            <w:r>
              <w:rPr/>
              <w:t> </w:t>
            </w:r>
          </w:p>
        </w:tc>
        <w:tc>
          <w:tcPr>
            <w:tcW w:w="605" w:type="dxa"/>
            <w:tcBorders/>
            <w:shd w:fill="FFFF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10,557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25" w:type="dxa"/>
            <w:tcBorders/>
            <w:shd w:fill="FFFF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8.5</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120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1.1</w:t>
            </w:r>
          </w:p>
        </w:tc>
        <w:tc>
          <w:tcPr>
            <w:tcW w:w="230" w:type="dxa"/>
            <w:tcBorders/>
            <w:shd w:fill="FFFFFF" w:val="clear"/>
            <w:vAlign w:val="center"/>
          </w:tcPr>
          <w:p>
            <w:pPr>
              <w:pStyle w:val="TableContents"/>
              <w:spacing w:before="0" w:after="283"/>
              <w:rPr/>
            </w:pPr>
            <w:r>
              <w:rPr/>
              <w:t> </w:t>
            </w:r>
          </w:p>
        </w:tc>
      </w:tr>
      <w:tr>
        <w:trPr/>
        <w:tc>
          <w:tcPr>
            <w:tcW w:w="2000" w:type="dxa"/>
            <w:tcBorders/>
            <w:shd w:fill="CCEEFF" w:val="clear"/>
            <w:vAlign w:val="center"/>
          </w:tcPr>
          <w:p>
            <w:pPr>
              <w:pStyle w:val="TableContents"/>
              <w:spacing w:before="0" w:after="0"/>
              <w:ind w:left="360" w:right="0" w:hanging="0"/>
              <w:rPr>
                <w:rFonts w:ascii="Times New Roman;Times;serif" w:hAnsi="Times New Roman;Times;serif"/>
                <w:caps w:val="false"/>
                <w:smallCaps w:val="false"/>
                <w:sz w:val="16"/>
              </w:rPr>
            </w:pPr>
            <w:r>
              <w:rPr>
                <w:rFonts w:ascii="Times New Roman;Times;serif" w:hAnsi="Times New Roman;Times;serif"/>
                <w:caps w:val="false"/>
                <w:smallCaps w:val="false"/>
                <w:sz w:val="16"/>
              </w:rPr>
              <w:t>General and administrative</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ind w:left="0" w:right="0" w:hanging="0"/>
              <w:rPr/>
            </w:pPr>
            <w:r>
              <w:rPr/>
              <w:t> </w:t>
            </w:r>
          </w:p>
        </w:tc>
        <w:tc>
          <w:tcPr>
            <w:tcW w:w="605"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16,833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425"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13.4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ind w:left="0" w:right="0" w:hanging="0"/>
              <w:rPr/>
            </w:pPr>
            <w:r>
              <w:rPr/>
              <w:t> </w:t>
            </w:r>
          </w:p>
        </w:tc>
        <w:tc>
          <w:tcPr>
            <w:tcW w:w="605"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16,771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425"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13.5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ind w:left="0" w:right="0" w:hanging="0"/>
              <w:rPr/>
            </w:pPr>
            <w:r>
              <w:rPr/>
              <w:t> </w:t>
            </w:r>
          </w:p>
        </w:tc>
        <w:tc>
          <w:tcPr>
            <w:tcW w:w="485"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62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485"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0.4</w:t>
            </w:r>
          </w:p>
        </w:tc>
        <w:tc>
          <w:tcPr>
            <w:tcW w:w="230" w:type="dxa"/>
            <w:tcBorders/>
            <w:shd w:fill="CCEEFF" w:val="clear"/>
            <w:vAlign w:val="center"/>
          </w:tcPr>
          <w:p>
            <w:pPr>
              <w:pStyle w:val="TableContents"/>
              <w:spacing w:before="0" w:after="283"/>
              <w:rPr/>
            </w:pPr>
            <w:r>
              <w:rPr/>
              <w:t> </w:t>
            </w:r>
          </w:p>
        </w:tc>
      </w:tr>
      <w:tr>
        <w:trPr/>
        <w:tc>
          <w:tcPr>
            <w:tcW w:w="2000" w:type="dxa"/>
            <w:tcBorders/>
            <w:shd w:fill="FFFFFF" w:val="clear"/>
            <w:vAlign w:val="center"/>
          </w:tcPr>
          <w:p>
            <w:pPr>
              <w:pStyle w:val="TableContents"/>
              <w:spacing w:before="0" w:after="0"/>
              <w:ind w:left="360" w:right="0" w:hanging="0"/>
              <w:rPr>
                <w:rFonts w:ascii="Times New Roman;Times;serif" w:hAnsi="Times New Roman;Times;serif"/>
                <w:caps w:val="false"/>
                <w:smallCaps w:val="false"/>
                <w:sz w:val="16"/>
              </w:rPr>
            </w:pPr>
            <w:r>
              <w:rPr>
                <w:rFonts w:ascii="Times New Roman;Times;serif" w:hAnsi="Times New Roman;Times;serif"/>
                <w:caps w:val="false"/>
                <w:smallCaps w:val="false"/>
                <w:sz w:val="16"/>
              </w:rPr>
              <w:t>Closure of Japan business</w:t>
            </w:r>
          </w:p>
        </w:tc>
        <w:tc>
          <w:tcPr>
            <w:tcW w:w="60" w:type="dxa"/>
            <w:tcBorders/>
            <w:shd w:fill="FFFFFF" w:val="clear"/>
            <w:vAlign w:val="center"/>
          </w:tcPr>
          <w:p>
            <w:pPr>
              <w:pStyle w:val="TableContents"/>
              <w:spacing w:before="0" w:after="283"/>
              <w:rPr/>
            </w:pPr>
            <w:r>
              <w:rPr/>
              <w:t> </w:t>
            </w:r>
          </w:p>
        </w:tc>
        <w:tc>
          <w:tcPr>
            <w:tcW w:w="11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0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66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2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0.1</w:t>
            </w:r>
          </w:p>
        </w:tc>
        <w:tc>
          <w:tcPr>
            <w:tcW w:w="155"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0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2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155"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8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66</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8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23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000" w:type="dxa"/>
            <w:tcBorders/>
            <w:shd w:fill="CCEEFF" w:val="clear"/>
            <w:vAlign w:val="center"/>
          </w:tcPr>
          <w:p>
            <w:pPr>
              <w:pStyle w:val="TableContents"/>
              <w:spacing w:before="0" w:after="0"/>
              <w:ind w:left="720" w:right="0" w:hanging="0"/>
              <w:rPr>
                <w:rFonts w:ascii="Times New Roman;Times;serif" w:hAnsi="Times New Roman;Times;serif"/>
                <w:caps w:val="false"/>
                <w:smallCaps w:val="false"/>
                <w:sz w:val="16"/>
              </w:rPr>
            </w:pPr>
            <w:r>
              <w:rPr>
                <w:rFonts w:ascii="Times New Roman;Times;serif" w:hAnsi="Times New Roman;Times;serif"/>
                <w:caps w:val="false"/>
                <w:smallCaps w:val="false"/>
                <w:sz w:val="16"/>
              </w:rPr>
              <w:t>Total operating expenses</w:t>
            </w:r>
          </w:p>
        </w:tc>
        <w:tc>
          <w:tcPr>
            <w:tcW w:w="60" w:type="dxa"/>
            <w:tcBorders/>
            <w:shd w:fill="CCEEFF" w:val="clear"/>
            <w:vAlign w:val="center"/>
          </w:tcPr>
          <w:p>
            <w:pPr>
              <w:pStyle w:val="TableContents"/>
              <w:spacing w:before="0" w:after="283"/>
              <w:rPr/>
            </w:pPr>
            <w:r>
              <w:rPr/>
              <w:t> </w:t>
            </w:r>
          </w:p>
        </w:tc>
        <w:tc>
          <w:tcPr>
            <w:tcW w:w="11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0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50,027</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2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39.7</w:t>
            </w:r>
          </w:p>
        </w:tc>
        <w:tc>
          <w:tcPr>
            <w:tcW w:w="155"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0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47,914</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2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38.6</w:t>
            </w:r>
          </w:p>
        </w:tc>
        <w:tc>
          <w:tcPr>
            <w:tcW w:w="155"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8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2,113</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8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4.4</w:t>
            </w:r>
          </w:p>
        </w:tc>
        <w:tc>
          <w:tcPr>
            <w:tcW w:w="230"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2000" w:type="dxa"/>
            <w:tcBorders/>
            <w:shd w:fill="FFFFFF" w:val="clear"/>
            <w:vAlign w:val="center"/>
          </w:tcPr>
          <w:p>
            <w:pPr>
              <w:pStyle w:val="TableContents"/>
              <w:spacing w:before="0" w:after="0"/>
              <w:ind w:left="0" w:right="0" w:hanging="0"/>
              <w:rPr>
                <w:rFonts w:ascii="Times New Roman;Times;serif" w:hAnsi="Times New Roman;Times;serif"/>
                <w:caps w:val="false"/>
                <w:smallCaps w:val="false"/>
                <w:sz w:val="16"/>
              </w:rPr>
            </w:pPr>
            <w:r>
              <w:rPr>
                <w:rFonts w:ascii="Times New Roman;Times;serif" w:hAnsi="Times New Roman;Times;serif"/>
                <w:caps w:val="false"/>
                <w:smallCaps w:val="false"/>
                <w:sz w:val="16"/>
              </w:rPr>
              <w:t>Income from operations</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ind w:left="0" w:right="0" w:hanging="0"/>
              <w:rPr/>
            </w:pPr>
            <w:r>
              <w:rPr/>
              <w:t> </w:t>
            </w:r>
          </w:p>
        </w:tc>
        <w:tc>
          <w:tcPr>
            <w:tcW w:w="605" w:type="dxa"/>
            <w:tcBorders/>
            <w:shd w:fill="FFFF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3,749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25" w:type="dxa"/>
            <w:tcBorders/>
            <w:shd w:fill="FFFF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3.0</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ind w:left="0" w:right="0" w:hanging="0"/>
              <w:rPr/>
            </w:pPr>
            <w:r>
              <w:rPr/>
              <w:t> </w:t>
            </w:r>
          </w:p>
        </w:tc>
        <w:tc>
          <w:tcPr>
            <w:tcW w:w="605" w:type="dxa"/>
            <w:tcBorders/>
            <w:shd w:fill="FFFF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7,890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25" w:type="dxa"/>
            <w:tcBorders/>
            <w:shd w:fill="FFFF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6.3</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(4,141</w:t>
            </w:r>
          </w:p>
        </w:tc>
        <w:tc>
          <w:tcPr>
            <w:tcW w:w="80" w:type="dxa"/>
            <w:tcBorders/>
            <w:shd w:fill="FFFFFF"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(52.5</w:t>
            </w:r>
          </w:p>
        </w:tc>
        <w:tc>
          <w:tcPr>
            <w:tcW w:w="230" w:type="dxa"/>
            <w:tcBorders/>
            <w:shd w:fill="FFFFFF"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w:t>
            </w:r>
          </w:p>
        </w:tc>
      </w:tr>
      <w:tr>
        <w:trPr/>
        <w:tc>
          <w:tcPr>
            <w:tcW w:w="2000"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16"/>
              </w:rPr>
            </w:pPr>
            <w:r>
              <w:rPr>
                <w:rFonts w:ascii="Times New Roman;Times;serif" w:hAnsi="Times New Roman;Times;serif"/>
                <w:caps w:val="false"/>
                <w:smallCaps w:val="false"/>
                <w:sz w:val="16"/>
              </w:rPr>
              <w:t>Other income (loss), net</w:t>
            </w:r>
          </w:p>
        </w:tc>
        <w:tc>
          <w:tcPr>
            <w:tcW w:w="60" w:type="dxa"/>
            <w:tcBorders/>
            <w:shd w:fill="CCEEFF" w:val="clear"/>
            <w:vAlign w:val="center"/>
          </w:tcPr>
          <w:p>
            <w:pPr>
              <w:pStyle w:val="TableContents"/>
              <w:spacing w:before="0" w:after="283"/>
              <w:rPr/>
            </w:pPr>
            <w:r>
              <w:rPr/>
              <w:t> </w:t>
            </w:r>
          </w:p>
        </w:tc>
        <w:tc>
          <w:tcPr>
            <w:tcW w:w="11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0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1,290</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2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1.0</w:t>
            </w:r>
          </w:p>
        </w:tc>
        <w:tc>
          <w:tcPr>
            <w:tcW w:w="155"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0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(300</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spacing w:before="0" w:after="283"/>
              <w:rPr/>
            </w:pPr>
            <w:r>
              <w:rPr/>
              <w:t> </w:t>
            </w:r>
          </w:p>
        </w:tc>
        <w:tc>
          <w:tcPr>
            <w:tcW w:w="6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2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(0.2</w:t>
            </w:r>
          </w:p>
        </w:tc>
        <w:tc>
          <w:tcPr>
            <w:tcW w:w="155" w:type="dxa"/>
            <w:tcBorders>
              <w:bottom w:val="single" w:sz="2" w:space="0" w:color="000000"/>
            </w:tcBorders>
            <w:shd w:fill="CCEEFF" w:val="clear"/>
            <w:tcMar>
              <w:bottom w:w="28" w:type="dxa"/>
            </w:tcM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spacing w:before="0" w:after="283"/>
              <w:rPr/>
            </w:pPr>
            <w:r>
              <w:rPr/>
              <w:t> </w:t>
            </w:r>
          </w:p>
        </w:tc>
        <w:tc>
          <w:tcPr>
            <w:tcW w:w="11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8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1,590</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8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(530.0</w:t>
            </w:r>
          </w:p>
        </w:tc>
        <w:tc>
          <w:tcPr>
            <w:tcW w:w="230" w:type="dxa"/>
            <w:tcBorders>
              <w:bottom w:val="single" w:sz="2" w:space="0" w:color="000000"/>
            </w:tcBorders>
            <w:shd w:fill="CCEEFF" w:val="clear"/>
            <w:tcMar>
              <w:bottom w:w="28" w:type="dxa"/>
            </w:tcM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w:t>
            </w:r>
          </w:p>
        </w:tc>
      </w:tr>
      <w:tr>
        <w:trPr/>
        <w:tc>
          <w:tcPr>
            <w:tcW w:w="2000" w:type="dxa"/>
            <w:tcBorders/>
            <w:shd w:fill="FFFFFF" w:val="clear"/>
            <w:vAlign w:val="center"/>
          </w:tcPr>
          <w:p>
            <w:pPr>
              <w:pStyle w:val="TableContents"/>
              <w:spacing w:before="0" w:after="0"/>
              <w:ind w:left="0" w:right="0" w:hanging="0"/>
              <w:rPr>
                <w:rFonts w:ascii="Times New Roman;Times;serif" w:hAnsi="Times New Roman;Times;serif"/>
                <w:caps w:val="false"/>
                <w:smallCaps w:val="false"/>
                <w:sz w:val="16"/>
              </w:rPr>
            </w:pPr>
            <w:r>
              <w:rPr>
                <w:rFonts w:ascii="Times New Roman;Times;serif" w:hAnsi="Times New Roman;Times;serif"/>
                <w:caps w:val="false"/>
                <w:smallCaps w:val="false"/>
                <w:sz w:val="16"/>
              </w:rPr>
              <w:t>Income before income taxes</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ind w:left="0" w:right="0" w:hanging="0"/>
              <w:rPr/>
            </w:pPr>
            <w:r>
              <w:rPr/>
              <w:t> </w:t>
            </w:r>
          </w:p>
        </w:tc>
        <w:tc>
          <w:tcPr>
            <w:tcW w:w="605" w:type="dxa"/>
            <w:tcBorders/>
            <w:shd w:fill="FFFF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5,039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25" w:type="dxa"/>
            <w:tcBorders/>
            <w:shd w:fill="FFFF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4.0</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ind w:left="0" w:right="0" w:hanging="0"/>
              <w:rPr/>
            </w:pPr>
            <w:r>
              <w:rPr/>
              <w:t> </w:t>
            </w:r>
          </w:p>
        </w:tc>
        <w:tc>
          <w:tcPr>
            <w:tcW w:w="605" w:type="dxa"/>
            <w:tcBorders/>
            <w:shd w:fill="FFFF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7,590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25" w:type="dxa"/>
            <w:tcBorders/>
            <w:shd w:fill="FFFF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6.1</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(2,551</w:t>
            </w:r>
          </w:p>
        </w:tc>
        <w:tc>
          <w:tcPr>
            <w:tcW w:w="80" w:type="dxa"/>
            <w:tcBorders/>
            <w:shd w:fill="FFFFFF"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(33.6</w:t>
            </w:r>
          </w:p>
        </w:tc>
        <w:tc>
          <w:tcPr>
            <w:tcW w:w="230" w:type="dxa"/>
            <w:tcBorders/>
            <w:shd w:fill="FFFFFF"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w:t>
            </w:r>
          </w:p>
        </w:tc>
      </w:tr>
      <w:tr>
        <w:trPr/>
        <w:tc>
          <w:tcPr>
            <w:tcW w:w="2000"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16"/>
              </w:rPr>
            </w:pPr>
            <w:r>
              <w:rPr>
                <w:rFonts w:ascii="Times New Roman;Times;serif" w:hAnsi="Times New Roman;Times;serif"/>
                <w:caps w:val="false"/>
                <w:smallCaps w:val="false"/>
                <w:sz w:val="16"/>
              </w:rPr>
              <w:t>Provision for income taxes</w:t>
            </w:r>
          </w:p>
        </w:tc>
        <w:tc>
          <w:tcPr>
            <w:tcW w:w="60" w:type="dxa"/>
            <w:tcBorders/>
            <w:shd w:fill="CCEEFF" w:val="clear"/>
            <w:vAlign w:val="center"/>
          </w:tcPr>
          <w:p>
            <w:pPr>
              <w:pStyle w:val="TableContents"/>
              <w:spacing w:before="0" w:after="283"/>
              <w:rPr/>
            </w:pPr>
            <w:r>
              <w:rPr/>
              <w:t> </w:t>
            </w:r>
          </w:p>
        </w:tc>
        <w:tc>
          <w:tcPr>
            <w:tcW w:w="11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0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2,380</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2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1.9</w:t>
            </w:r>
          </w:p>
        </w:tc>
        <w:tc>
          <w:tcPr>
            <w:tcW w:w="155"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0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2,495</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2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2.0</w:t>
            </w:r>
          </w:p>
        </w:tc>
        <w:tc>
          <w:tcPr>
            <w:tcW w:w="155"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8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(115</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spacing w:before="0" w:after="283"/>
              <w:rPr/>
            </w:pPr>
            <w:r>
              <w:rPr/>
              <w:t> </w:t>
            </w:r>
          </w:p>
        </w:tc>
        <w:tc>
          <w:tcPr>
            <w:tcW w:w="6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8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(4.6</w:t>
            </w:r>
          </w:p>
        </w:tc>
        <w:tc>
          <w:tcPr>
            <w:tcW w:w="230" w:type="dxa"/>
            <w:tcBorders>
              <w:bottom w:val="single" w:sz="2" w:space="0" w:color="000000"/>
            </w:tcBorders>
            <w:shd w:fill="CCEEFF" w:val="clear"/>
            <w:tcMar>
              <w:bottom w:w="28" w:type="dxa"/>
            </w:tcM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w:t>
            </w:r>
          </w:p>
        </w:tc>
      </w:tr>
      <w:tr>
        <w:trPr/>
        <w:tc>
          <w:tcPr>
            <w:tcW w:w="2000" w:type="dxa"/>
            <w:tcBorders/>
            <w:shd w:fill="FFFFFF" w:val="clear"/>
            <w:vAlign w:val="center"/>
          </w:tcPr>
          <w:p>
            <w:pPr>
              <w:pStyle w:val="TableContents"/>
              <w:spacing w:before="0" w:after="0"/>
              <w:ind w:left="0" w:right="0" w:hanging="0"/>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FFFFFF" w:val="clear"/>
            <w:vAlign w:val="center"/>
          </w:tcPr>
          <w:p>
            <w:pPr>
              <w:pStyle w:val="TableContents"/>
              <w:spacing w:before="0" w:after="283"/>
              <w:ind w:left="0" w:right="0" w:hanging="0"/>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2,659</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42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2.1</w:t>
            </w:r>
          </w:p>
        </w:tc>
        <w:tc>
          <w:tcPr>
            <w:tcW w:w="155" w:type="dxa"/>
            <w:tcBorders>
              <w:bottom w:val="double" w:sz="6" w:space="0" w:color="000000"/>
            </w:tcBorders>
            <w:shd w:fill="FFFFFF" w:val="clear"/>
            <w:tcMar>
              <w:bottom w:w="28" w:type="dxa"/>
            </w:tcM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spacing w:before="0" w:after="283"/>
              <w:ind w:left="0" w:right="0" w:hanging="0"/>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5,095</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42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4.1</w:t>
            </w:r>
          </w:p>
        </w:tc>
        <w:tc>
          <w:tcPr>
            <w:tcW w:w="155" w:type="dxa"/>
            <w:tcBorders>
              <w:bottom w:val="double" w:sz="6" w:space="0" w:color="000000"/>
            </w:tcBorders>
            <w:shd w:fill="FFFFFF" w:val="clear"/>
            <w:tcMar>
              <w:bottom w:w="28" w:type="dxa"/>
            </w:tcM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spacing w:before="0" w:after="283"/>
              <w:ind w:left="0" w:right="0" w:hanging="0"/>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16"/>
              </w:rPr>
            </w:pPr>
            <w:r>
              <w:rPr>
                <w:rFonts w:ascii="Times New Roman;Times;serif" w:hAnsi="Times New Roman;Times;serif"/>
                <w:sz w:val="16"/>
              </w:rPr>
              <w:t>$</w:t>
            </w:r>
          </w:p>
        </w:tc>
        <w:tc>
          <w:tcPr>
            <w:tcW w:w="48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(2,436</w:t>
            </w:r>
          </w:p>
        </w:tc>
        <w:tc>
          <w:tcPr>
            <w:tcW w:w="80" w:type="dxa"/>
            <w:tcBorders>
              <w:bottom w:val="double" w:sz="6" w:space="0" w:color="000000"/>
            </w:tcBorders>
            <w:shd w:fill="FFFFFF" w:val="clear"/>
            <w:tcMar>
              <w:bottom w:w="28" w:type="dxa"/>
            </w:tcM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spacing w:before="0" w:after="283"/>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48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(47.8</w:t>
            </w:r>
          </w:p>
        </w:tc>
        <w:tc>
          <w:tcPr>
            <w:tcW w:w="230" w:type="dxa"/>
            <w:tcBorders>
              <w:bottom w:val="double" w:sz="6" w:space="0" w:color="000000"/>
            </w:tcBorders>
            <w:shd w:fill="FFFFFF" w:val="clear"/>
            <w:tcMar>
              <w:bottom w:w="28" w:type="dxa"/>
            </w:tcM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w:t>
            </w:r>
          </w:p>
        </w:tc>
      </w:tr>
    </w:tbl>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 included in the statements of operations data above for the three months ended March 31, 2023 and 2022 were as follows:</w:t>
      </w:r>
    </w:p>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tbl>
      <w:tblPr>
        <w:tblW w:w="7164" w:type="dxa"/>
        <w:jc w:val="left"/>
        <w:tblInd w:w="0" w:type="dxa"/>
        <w:tblCellMar>
          <w:top w:w="0" w:type="dxa"/>
          <w:left w:w="0" w:type="dxa"/>
          <w:bottom w:w="0" w:type="dxa"/>
          <w:right w:w="0" w:type="dxa"/>
        </w:tblCellMar>
      </w:tblPr>
      <w:tblGrid>
        <w:gridCol w:w="4340"/>
        <w:gridCol w:w="60"/>
        <w:gridCol w:w="252"/>
        <w:gridCol w:w="979"/>
        <w:gridCol w:w="121"/>
        <w:gridCol w:w="121"/>
        <w:gridCol w:w="252"/>
        <w:gridCol w:w="979"/>
        <w:gridCol w:w="60"/>
      </w:tblGrid>
      <w:tr>
        <w:trPr/>
        <w:tc>
          <w:tcPr>
            <w:tcW w:w="43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704"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434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(dollars in thousands)</w:t>
            </w:r>
          </w:p>
        </w:tc>
        <w:tc>
          <w:tcPr>
            <w:tcW w:w="60" w:type="dxa"/>
            <w:tcBorders/>
            <w:shd w:fill="FFFFFF" w:val="clear"/>
            <w:vAlign w:val="center"/>
          </w:tcPr>
          <w:p>
            <w:pPr>
              <w:pStyle w:val="TableContents"/>
              <w:spacing w:before="0" w:after="283"/>
              <w:ind w:left="0" w:right="0" w:hanging="0"/>
              <w:rPr/>
            </w:pPr>
            <w:r>
              <w:rPr/>
              <w:t> </w:t>
            </w:r>
          </w:p>
        </w:tc>
        <w:tc>
          <w:tcPr>
            <w:tcW w:w="1231"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21" w:type="dxa"/>
            <w:tcBorders>
              <w:bottom w:val="single" w:sz="2" w:space="0" w:color="000000"/>
            </w:tcBorders>
            <w:shd w:fill="FFFFFF" w:val="clear"/>
            <w:tcMar>
              <w:bottom w:w="28" w:type="dxa"/>
            </w:tcMar>
            <w:vAlign w:val="center"/>
          </w:tcPr>
          <w:p>
            <w:pPr>
              <w:pStyle w:val="TableContents"/>
              <w:spacing w:before="0" w:after="283"/>
              <w:rPr/>
            </w:pPr>
            <w:r>
              <w:rPr/>
              <w:t> </w:t>
            </w:r>
          </w:p>
        </w:tc>
        <w:tc>
          <w:tcPr>
            <w:tcW w:w="121" w:type="dxa"/>
            <w:tcBorders/>
            <w:shd w:fill="FFFFFF" w:val="clear"/>
            <w:vAlign w:val="center"/>
          </w:tcPr>
          <w:p>
            <w:pPr>
              <w:pStyle w:val="TableContents"/>
              <w:spacing w:before="0" w:after="283"/>
              <w:ind w:left="0" w:right="0" w:hanging="0"/>
              <w:rPr/>
            </w:pPr>
            <w:r>
              <w:rPr/>
              <w:t> </w:t>
            </w:r>
          </w:p>
        </w:tc>
        <w:tc>
          <w:tcPr>
            <w:tcW w:w="1231"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434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Stock options, restricted stock and performance stock</w:t>
            </w:r>
          </w:p>
        </w:tc>
        <w:tc>
          <w:tcPr>
            <w:tcW w:w="60" w:type="dxa"/>
            <w:tcBorders/>
            <w:shd w:fill="CCEEFF" w:val="clear"/>
            <w:vAlign w:val="center"/>
          </w:tcPr>
          <w:p>
            <w:pPr>
              <w:pStyle w:val="TableContents"/>
              <w:spacing w:before="0" w:after="283"/>
              <w:ind w:left="0" w:right="0" w:hanging="0"/>
              <w:rPr/>
            </w:pPr>
            <w:r>
              <w:rPr/>
              <w:t> </w:t>
            </w:r>
          </w:p>
        </w:tc>
        <w:tc>
          <w:tcPr>
            <w:tcW w:w="25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7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3,321</w:t>
            </w:r>
          </w:p>
        </w:tc>
        <w:tc>
          <w:tcPr>
            <w:tcW w:w="121"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ind w:left="0" w:right="0" w:hanging="0"/>
              <w:rPr/>
            </w:pPr>
            <w:r>
              <w:rPr/>
              <w:t> </w:t>
            </w:r>
          </w:p>
        </w:tc>
        <w:tc>
          <w:tcPr>
            <w:tcW w:w="25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7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4,006</w:t>
            </w:r>
          </w:p>
        </w:tc>
        <w:tc>
          <w:tcPr>
            <w:tcW w:w="60" w:type="dxa"/>
            <w:tcBorders/>
            <w:shd w:fill="CCEEFF" w:val="clear"/>
            <w:vAlign w:val="center"/>
          </w:tcPr>
          <w:p>
            <w:pPr>
              <w:pStyle w:val="TableContents"/>
              <w:spacing w:before="0" w:after="283"/>
              <w:rPr/>
            </w:pPr>
            <w:r>
              <w:rPr/>
              <w:t> </w:t>
            </w:r>
          </w:p>
        </w:tc>
      </w:tr>
      <w:tr>
        <w:trPr/>
        <w:tc>
          <w:tcPr>
            <w:tcW w:w="434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Employee stock purchase plan</w:t>
            </w:r>
          </w:p>
        </w:tc>
        <w:tc>
          <w:tcPr>
            <w:tcW w:w="60" w:type="dxa"/>
            <w:tcBorders/>
            <w:shd w:fill="FFFFFF" w:val="clear"/>
            <w:vAlign w:val="center"/>
          </w:tcPr>
          <w:p>
            <w:pPr>
              <w:pStyle w:val="TableContents"/>
              <w:spacing w:before="0" w:after="283"/>
              <w:rPr/>
            </w:pPr>
            <w:r>
              <w:rPr/>
              <w:t> </w:t>
            </w:r>
          </w:p>
        </w:tc>
        <w:tc>
          <w:tcPr>
            <w:tcW w:w="25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7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374</w:t>
            </w:r>
          </w:p>
        </w:tc>
        <w:tc>
          <w:tcPr>
            <w:tcW w:w="121" w:type="dxa"/>
            <w:tcBorders>
              <w:bottom w:val="single" w:sz="2" w:space="0" w:color="000000"/>
            </w:tcBorders>
            <w:shd w:fill="FFFFFF" w:val="clear"/>
            <w:tcMar>
              <w:bottom w:w="28" w:type="dxa"/>
            </w:tcMar>
            <w:vAlign w:val="center"/>
          </w:tcPr>
          <w:p>
            <w:pPr>
              <w:pStyle w:val="TableContents"/>
              <w:spacing w:before="0" w:after="283"/>
              <w:rPr/>
            </w:pPr>
            <w:r>
              <w:rPr/>
              <w:t> </w:t>
            </w:r>
          </w:p>
        </w:tc>
        <w:tc>
          <w:tcPr>
            <w:tcW w:w="121" w:type="dxa"/>
            <w:tcBorders/>
            <w:shd w:fill="FFFFFF" w:val="clear"/>
            <w:vAlign w:val="center"/>
          </w:tcPr>
          <w:p>
            <w:pPr>
              <w:pStyle w:val="TableContents"/>
              <w:spacing w:before="0" w:after="283"/>
              <w:rPr/>
            </w:pPr>
            <w:r>
              <w:rPr/>
              <w:t> </w:t>
            </w:r>
          </w:p>
        </w:tc>
        <w:tc>
          <w:tcPr>
            <w:tcW w:w="25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7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434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stock-based compensation expense</w:t>
            </w:r>
          </w:p>
        </w:tc>
        <w:tc>
          <w:tcPr>
            <w:tcW w:w="60" w:type="dxa"/>
            <w:tcBorders/>
            <w:shd w:fill="CCEEFF" w:val="clear"/>
            <w:vAlign w:val="center"/>
          </w:tcPr>
          <w:p>
            <w:pPr>
              <w:pStyle w:val="TableContents"/>
              <w:spacing w:before="0" w:after="283"/>
              <w:ind w:left="0" w:right="0" w:hanging="0"/>
              <w:rPr/>
            </w:pPr>
            <w:r>
              <w:rPr/>
              <w:t> </w:t>
            </w:r>
          </w:p>
        </w:tc>
        <w:tc>
          <w:tcPr>
            <w:tcW w:w="252"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7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3,695</w:t>
            </w:r>
          </w:p>
        </w:tc>
        <w:tc>
          <w:tcPr>
            <w:tcW w:w="121" w:type="dxa"/>
            <w:tcBorders>
              <w:bottom w:val="double" w:sz="6" w:space="0" w:color="000000"/>
            </w:tcBorders>
            <w:shd w:fill="CCEEFF" w:val="clear"/>
            <w:tcMar>
              <w:bottom w:w="28" w:type="dxa"/>
            </w:tcM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ind w:left="0" w:right="0" w:hanging="0"/>
              <w:rPr/>
            </w:pPr>
            <w:r>
              <w:rPr/>
              <w:t> </w:t>
            </w:r>
          </w:p>
        </w:tc>
        <w:tc>
          <w:tcPr>
            <w:tcW w:w="252"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7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4,397</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r>
      <w:tr>
        <w:trPr/>
        <w:tc>
          <w:tcPr>
            <w:tcW w:w="43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52" w:type="dxa"/>
            <w:tcBorders/>
            <w:shd w:fill="FFFFFF" w:val="clear"/>
            <w:vAlign w:val="center"/>
          </w:tcPr>
          <w:p>
            <w:pPr>
              <w:pStyle w:val="TableContents"/>
              <w:spacing w:before="0" w:after="283"/>
              <w:rPr/>
            </w:pPr>
            <w:r>
              <w:rPr/>
              <w:t> </w:t>
            </w:r>
          </w:p>
        </w:tc>
        <w:tc>
          <w:tcPr>
            <w:tcW w:w="979" w:type="dxa"/>
            <w:tcBorders/>
            <w:shd w:fill="FFFFFF" w:val="clear"/>
            <w:vAlign w:val="center"/>
          </w:tcPr>
          <w:p>
            <w:pPr>
              <w:pStyle w:val="TableContents"/>
              <w:spacing w:before="0" w:after="283"/>
              <w:rPr/>
            </w:pPr>
            <w:r>
              <w:rPr/>
              <w:t> </w:t>
            </w:r>
          </w:p>
        </w:tc>
        <w:tc>
          <w:tcPr>
            <w:tcW w:w="121" w:type="dxa"/>
            <w:tcBorders/>
            <w:shd w:fill="FFFFFF" w:val="clear"/>
            <w:vAlign w:val="center"/>
          </w:tcPr>
          <w:p>
            <w:pPr>
              <w:pStyle w:val="TableContents"/>
              <w:spacing w:before="0" w:after="283"/>
              <w:rPr/>
            </w:pPr>
            <w:r>
              <w:rPr/>
              <w:t> </w:t>
            </w:r>
          </w:p>
        </w:tc>
        <w:tc>
          <w:tcPr>
            <w:tcW w:w="121" w:type="dxa"/>
            <w:tcBorders/>
            <w:shd w:fill="FFFFFF" w:val="clear"/>
            <w:vAlign w:val="center"/>
          </w:tcPr>
          <w:p>
            <w:pPr>
              <w:pStyle w:val="TableContents"/>
              <w:spacing w:before="0" w:after="283"/>
              <w:rPr/>
            </w:pPr>
            <w:r>
              <w:rPr/>
              <w:t> </w:t>
            </w:r>
          </w:p>
        </w:tc>
        <w:tc>
          <w:tcPr>
            <w:tcW w:w="252" w:type="dxa"/>
            <w:tcBorders/>
            <w:shd w:fill="FFFFFF" w:val="clear"/>
            <w:vAlign w:val="center"/>
          </w:tcPr>
          <w:p>
            <w:pPr>
              <w:pStyle w:val="TableContents"/>
              <w:spacing w:before="0" w:after="283"/>
              <w:rPr/>
            </w:pPr>
            <w:r>
              <w:rPr/>
              <w:t> </w:t>
            </w:r>
          </w:p>
        </w:tc>
        <w:tc>
          <w:tcPr>
            <w:tcW w:w="979"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r>
      <w:tr>
        <w:trPr/>
        <w:tc>
          <w:tcPr>
            <w:tcW w:w="434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Cost of revenue</w:t>
            </w:r>
          </w:p>
        </w:tc>
        <w:tc>
          <w:tcPr>
            <w:tcW w:w="60" w:type="dxa"/>
            <w:tcBorders/>
            <w:shd w:fill="CCEEFF" w:val="clear"/>
            <w:vAlign w:val="center"/>
          </w:tcPr>
          <w:p>
            <w:pPr>
              <w:pStyle w:val="TableContents"/>
              <w:spacing w:before="0" w:after="283"/>
              <w:ind w:left="0" w:right="0" w:hanging="0"/>
              <w:rPr/>
            </w:pPr>
            <w:r>
              <w:rPr/>
              <w:t> </w:t>
            </w:r>
          </w:p>
        </w:tc>
        <w:tc>
          <w:tcPr>
            <w:tcW w:w="25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7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466</w:t>
            </w:r>
          </w:p>
        </w:tc>
        <w:tc>
          <w:tcPr>
            <w:tcW w:w="121"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ind w:left="0" w:right="0" w:hanging="0"/>
              <w:rPr/>
            </w:pPr>
            <w:r>
              <w:rPr/>
              <w:t> </w:t>
            </w:r>
          </w:p>
        </w:tc>
        <w:tc>
          <w:tcPr>
            <w:tcW w:w="25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7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587</w:t>
            </w:r>
          </w:p>
        </w:tc>
        <w:tc>
          <w:tcPr>
            <w:tcW w:w="60" w:type="dxa"/>
            <w:tcBorders/>
            <w:shd w:fill="CCEEFF" w:val="clear"/>
            <w:vAlign w:val="center"/>
          </w:tcPr>
          <w:p>
            <w:pPr>
              <w:pStyle w:val="TableContents"/>
              <w:spacing w:before="0" w:after="283"/>
              <w:rPr/>
            </w:pPr>
            <w:r>
              <w:rPr/>
              <w:t> </w:t>
            </w:r>
          </w:p>
        </w:tc>
      </w:tr>
      <w:tr>
        <w:trPr/>
        <w:tc>
          <w:tcPr>
            <w:tcW w:w="434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FFFFFF" w:val="clear"/>
            <w:vAlign w:val="center"/>
          </w:tcPr>
          <w:p>
            <w:pPr>
              <w:pStyle w:val="TableContents"/>
              <w:spacing w:before="0" w:after="283"/>
              <w:rPr/>
            </w:pPr>
            <w:r>
              <w:rPr/>
              <w:t> </w:t>
            </w:r>
          </w:p>
        </w:tc>
        <w:tc>
          <w:tcPr>
            <w:tcW w:w="252" w:type="dxa"/>
            <w:tcBorders/>
            <w:shd w:fill="FFFFFF" w:val="clear"/>
            <w:vAlign w:val="center"/>
          </w:tcPr>
          <w:p>
            <w:pPr>
              <w:pStyle w:val="TableContents"/>
              <w:spacing w:before="0" w:after="283"/>
              <w:rPr/>
            </w:pPr>
            <w:r>
              <w:rPr/>
              <w:t> </w:t>
            </w:r>
          </w:p>
        </w:tc>
        <w:tc>
          <w:tcPr>
            <w:tcW w:w="979" w:type="dxa"/>
            <w:tcBorders/>
            <w:shd w:fill="FFFFFF" w:val="clear"/>
            <w:vAlign w:val="center"/>
          </w:tcPr>
          <w:p>
            <w:pPr>
              <w:pStyle w:val="TableContents"/>
              <w:spacing w:before="0" w:after="283"/>
              <w:rPr/>
            </w:pPr>
            <w:r>
              <w:rPr/>
              <w:t> </w:t>
            </w:r>
          </w:p>
        </w:tc>
        <w:tc>
          <w:tcPr>
            <w:tcW w:w="121" w:type="dxa"/>
            <w:tcBorders/>
            <w:shd w:fill="FFFFFF" w:val="clear"/>
            <w:vAlign w:val="center"/>
          </w:tcPr>
          <w:p>
            <w:pPr>
              <w:pStyle w:val="TableContents"/>
              <w:spacing w:before="0" w:after="283"/>
              <w:rPr/>
            </w:pPr>
            <w:r>
              <w:rPr/>
              <w:t> </w:t>
            </w:r>
          </w:p>
        </w:tc>
        <w:tc>
          <w:tcPr>
            <w:tcW w:w="121" w:type="dxa"/>
            <w:tcBorders/>
            <w:shd w:fill="FFFFFF" w:val="clear"/>
            <w:vAlign w:val="center"/>
          </w:tcPr>
          <w:p>
            <w:pPr>
              <w:pStyle w:val="TableContents"/>
              <w:spacing w:before="0" w:after="283"/>
              <w:rPr/>
            </w:pPr>
            <w:r>
              <w:rPr/>
              <w:t> </w:t>
            </w:r>
          </w:p>
        </w:tc>
        <w:tc>
          <w:tcPr>
            <w:tcW w:w="252" w:type="dxa"/>
            <w:tcBorders/>
            <w:shd w:fill="FFFFFF" w:val="clear"/>
            <w:vAlign w:val="center"/>
          </w:tcPr>
          <w:p>
            <w:pPr>
              <w:pStyle w:val="TableContents"/>
              <w:spacing w:before="0" w:after="283"/>
              <w:rPr/>
            </w:pPr>
            <w:r>
              <w:rPr/>
              <w:t> </w:t>
            </w:r>
          </w:p>
        </w:tc>
        <w:tc>
          <w:tcPr>
            <w:tcW w:w="979"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r>
      <w:tr>
        <w:trPr/>
        <w:tc>
          <w:tcPr>
            <w:tcW w:w="434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Marketing and sales</w:t>
            </w:r>
          </w:p>
        </w:tc>
        <w:tc>
          <w:tcPr>
            <w:tcW w:w="60" w:type="dxa"/>
            <w:tcBorders/>
            <w:shd w:fill="CCEEFF" w:val="clear"/>
            <w:vAlign w:val="center"/>
          </w:tcPr>
          <w:p>
            <w:pPr>
              <w:pStyle w:val="TableContents"/>
              <w:spacing w:before="0" w:after="283"/>
              <w:rPr/>
            </w:pPr>
            <w:r>
              <w:rPr/>
              <w:t> </w:t>
            </w:r>
          </w:p>
        </w:tc>
        <w:tc>
          <w:tcPr>
            <w:tcW w:w="252" w:type="dxa"/>
            <w:tcBorders/>
            <w:shd w:fill="CCEEFF" w:val="clear"/>
            <w:vAlign w:val="center"/>
          </w:tcPr>
          <w:p>
            <w:pPr>
              <w:pStyle w:val="TableContents"/>
              <w:spacing w:before="0" w:after="283"/>
              <w:ind w:left="0" w:right="0" w:hanging="0"/>
              <w:rPr/>
            </w:pPr>
            <w:r>
              <w:rPr/>
              <w:t> </w:t>
            </w:r>
          </w:p>
        </w:tc>
        <w:tc>
          <w:tcPr>
            <w:tcW w:w="97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693</w:t>
            </w:r>
          </w:p>
        </w:tc>
        <w:tc>
          <w:tcPr>
            <w:tcW w:w="121"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rPr/>
            </w:pPr>
            <w:r>
              <w:rPr/>
              <w:t> </w:t>
            </w:r>
          </w:p>
        </w:tc>
        <w:tc>
          <w:tcPr>
            <w:tcW w:w="252" w:type="dxa"/>
            <w:tcBorders/>
            <w:shd w:fill="CCEEFF" w:val="clear"/>
            <w:vAlign w:val="center"/>
          </w:tcPr>
          <w:p>
            <w:pPr>
              <w:pStyle w:val="TableContents"/>
              <w:spacing w:before="0" w:after="283"/>
              <w:ind w:left="0" w:right="0" w:hanging="0"/>
              <w:rPr/>
            </w:pPr>
            <w:r>
              <w:rPr/>
              <w:t> </w:t>
            </w:r>
          </w:p>
        </w:tc>
        <w:tc>
          <w:tcPr>
            <w:tcW w:w="97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737</w:t>
            </w:r>
          </w:p>
        </w:tc>
        <w:tc>
          <w:tcPr>
            <w:tcW w:w="60" w:type="dxa"/>
            <w:tcBorders/>
            <w:shd w:fill="CCEEFF" w:val="clear"/>
            <w:vAlign w:val="center"/>
          </w:tcPr>
          <w:p>
            <w:pPr>
              <w:pStyle w:val="TableContents"/>
              <w:spacing w:before="0" w:after="283"/>
              <w:rPr/>
            </w:pPr>
            <w:r>
              <w:rPr/>
              <w:t> </w:t>
            </w:r>
          </w:p>
        </w:tc>
      </w:tr>
      <w:tr>
        <w:trPr/>
        <w:tc>
          <w:tcPr>
            <w:tcW w:w="434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spacing w:before="0" w:after="283"/>
              <w:rPr/>
            </w:pPr>
            <w:r>
              <w:rPr/>
              <w:t> </w:t>
            </w:r>
          </w:p>
        </w:tc>
        <w:tc>
          <w:tcPr>
            <w:tcW w:w="252" w:type="dxa"/>
            <w:tcBorders/>
            <w:shd w:fill="FFFFFF" w:val="clear"/>
            <w:vAlign w:val="center"/>
          </w:tcPr>
          <w:p>
            <w:pPr>
              <w:pStyle w:val="TableContents"/>
              <w:spacing w:before="0" w:after="283"/>
              <w:ind w:left="0" w:right="0" w:hanging="0"/>
              <w:rPr/>
            </w:pPr>
            <w:r>
              <w:rPr/>
              <w:t> </w:t>
            </w:r>
          </w:p>
        </w:tc>
        <w:tc>
          <w:tcPr>
            <w:tcW w:w="97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572</w:t>
            </w:r>
          </w:p>
        </w:tc>
        <w:tc>
          <w:tcPr>
            <w:tcW w:w="121" w:type="dxa"/>
            <w:tcBorders/>
            <w:shd w:fill="FFFFFF" w:val="clear"/>
            <w:vAlign w:val="center"/>
          </w:tcPr>
          <w:p>
            <w:pPr>
              <w:pStyle w:val="TableContents"/>
              <w:spacing w:before="0" w:after="283"/>
              <w:rPr/>
            </w:pPr>
            <w:r>
              <w:rPr/>
              <w:t> </w:t>
            </w:r>
          </w:p>
        </w:tc>
        <w:tc>
          <w:tcPr>
            <w:tcW w:w="121" w:type="dxa"/>
            <w:tcBorders/>
            <w:shd w:fill="FFFFFF" w:val="clear"/>
            <w:vAlign w:val="center"/>
          </w:tcPr>
          <w:p>
            <w:pPr>
              <w:pStyle w:val="TableContents"/>
              <w:spacing w:before="0" w:after="283"/>
              <w:rPr/>
            </w:pPr>
            <w:r>
              <w:rPr/>
              <w:t> </w:t>
            </w:r>
          </w:p>
        </w:tc>
        <w:tc>
          <w:tcPr>
            <w:tcW w:w="252" w:type="dxa"/>
            <w:tcBorders/>
            <w:shd w:fill="FFFFFF" w:val="clear"/>
            <w:vAlign w:val="center"/>
          </w:tcPr>
          <w:p>
            <w:pPr>
              <w:pStyle w:val="TableContents"/>
              <w:spacing w:before="0" w:after="283"/>
              <w:ind w:left="0" w:right="0" w:hanging="0"/>
              <w:rPr/>
            </w:pPr>
            <w:r>
              <w:rPr/>
              <w:t> </w:t>
            </w:r>
          </w:p>
        </w:tc>
        <w:tc>
          <w:tcPr>
            <w:tcW w:w="97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629</w:t>
            </w:r>
          </w:p>
        </w:tc>
        <w:tc>
          <w:tcPr>
            <w:tcW w:w="60" w:type="dxa"/>
            <w:tcBorders/>
            <w:shd w:fill="FFFFFF" w:val="clear"/>
            <w:vAlign w:val="center"/>
          </w:tcPr>
          <w:p>
            <w:pPr>
              <w:pStyle w:val="TableContents"/>
              <w:spacing w:before="0" w:after="283"/>
              <w:rPr/>
            </w:pPr>
            <w:r>
              <w:rPr/>
              <w:t> </w:t>
            </w:r>
          </w:p>
        </w:tc>
      </w:tr>
      <w:tr>
        <w:trPr/>
        <w:tc>
          <w:tcPr>
            <w:tcW w:w="434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CCEEFF" w:val="clear"/>
            <w:vAlign w:val="center"/>
          </w:tcPr>
          <w:p>
            <w:pPr>
              <w:pStyle w:val="TableContents"/>
              <w:spacing w:before="0" w:after="283"/>
              <w:rPr/>
            </w:pPr>
            <w:r>
              <w:rPr/>
              <w:t> </w:t>
            </w:r>
          </w:p>
        </w:tc>
        <w:tc>
          <w:tcPr>
            <w:tcW w:w="25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7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1,964</w:t>
            </w:r>
          </w:p>
        </w:tc>
        <w:tc>
          <w:tcPr>
            <w:tcW w:w="121" w:type="dxa"/>
            <w:tcBorders>
              <w:bottom w:val="single" w:sz="2" w:space="0" w:color="000000"/>
            </w:tcBorders>
            <w:shd w:fill="CCEEFF" w:val="clear"/>
            <w:tcMar>
              <w:bottom w:w="28" w:type="dxa"/>
            </w:tcM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rPr/>
            </w:pPr>
            <w:r>
              <w:rPr/>
              <w:t> </w:t>
            </w:r>
          </w:p>
        </w:tc>
        <w:tc>
          <w:tcPr>
            <w:tcW w:w="25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7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2,444</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434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stock-based compensation expense</w:t>
            </w:r>
          </w:p>
        </w:tc>
        <w:tc>
          <w:tcPr>
            <w:tcW w:w="60" w:type="dxa"/>
            <w:tcBorders/>
            <w:shd w:fill="FFFFFF" w:val="clear"/>
            <w:vAlign w:val="center"/>
          </w:tcPr>
          <w:p>
            <w:pPr>
              <w:pStyle w:val="TableContents"/>
              <w:spacing w:before="0" w:after="283"/>
              <w:ind w:left="0" w:right="0" w:hanging="0"/>
              <w:rPr/>
            </w:pPr>
            <w:r>
              <w:rPr/>
              <w:t> </w:t>
            </w:r>
          </w:p>
        </w:tc>
        <w:tc>
          <w:tcPr>
            <w:tcW w:w="25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7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3,695</w:t>
            </w:r>
          </w:p>
        </w:tc>
        <w:tc>
          <w:tcPr>
            <w:tcW w:w="121" w:type="dxa"/>
            <w:tcBorders>
              <w:bottom w:val="double" w:sz="6" w:space="0" w:color="000000"/>
            </w:tcBorders>
            <w:shd w:fill="FFFFFF" w:val="clear"/>
            <w:tcMar>
              <w:bottom w:w="28" w:type="dxa"/>
            </w:tcMar>
            <w:vAlign w:val="center"/>
          </w:tcPr>
          <w:p>
            <w:pPr>
              <w:pStyle w:val="TableContents"/>
              <w:spacing w:before="0" w:after="283"/>
              <w:rPr/>
            </w:pPr>
            <w:r>
              <w:rPr/>
              <w:t> </w:t>
            </w:r>
          </w:p>
        </w:tc>
        <w:tc>
          <w:tcPr>
            <w:tcW w:w="121" w:type="dxa"/>
            <w:tcBorders/>
            <w:shd w:fill="FFFFFF" w:val="clear"/>
            <w:vAlign w:val="center"/>
          </w:tcPr>
          <w:p>
            <w:pPr>
              <w:pStyle w:val="TableContents"/>
              <w:spacing w:before="0" w:after="283"/>
              <w:ind w:left="0" w:right="0" w:hanging="0"/>
              <w:rPr/>
            </w:pPr>
            <w:r>
              <w:rPr/>
              <w:t> </w:t>
            </w:r>
          </w:p>
        </w:tc>
        <w:tc>
          <w:tcPr>
            <w:tcW w:w="25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7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4,397</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r>
    </w:tbl>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Comparison of Three Months Ended March 31, 2023 and 2022</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i/>
          <w:sz w:val="20"/>
        </w:rPr>
      </w:pPr>
      <w:r>
        <w:rPr>
          <w:rFonts w:ascii="Times New Roman;Times;serif" w:hAnsi="Times New Roman;Times;serif"/>
          <w:i/>
          <w:sz w:val="20"/>
        </w:rPr>
        <w:t>Revenue</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Revenue by reportable segment and the related changes for the three months ended March 31, 2023 and 2022 were as follows:</w:t>
      </w:r>
    </w:p>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tbl>
      <w:tblPr>
        <w:tblW w:w="9203" w:type="dxa"/>
        <w:jc w:val="left"/>
        <w:tblInd w:w="0" w:type="dxa"/>
        <w:tblCellMar>
          <w:top w:w="0" w:type="dxa"/>
          <w:left w:w="0" w:type="dxa"/>
          <w:bottom w:w="0" w:type="dxa"/>
          <w:right w:w="0" w:type="dxa"/>
        </w:tblCellMar>
      </w:tblPr>
      <w:tblGrid>
        <w:gridCol w:w="1775"/>
        <w:gridCol w:w="60"/>
        <w:gridCol w:w="125"/>
        <w:gridCol w:w="695"/>
        <w:gridCol w:w="60"/>
        <w:gridCol w:w="60"/>
        <w:gridCol w:w="186"/>
        <w:gridCol w:w="1513"/>
        <w:gridCol w:w="185"/>
        <w:gridCol w:w="60"/>
        <w:gridCol w:w="125"/>
        <w:gridCol w:w="695"/>
        <w:gridCol w:w="60"/>
        <w:gridCol w:w="60"/>
        <w:gridCol w:w="186"/>
        <w:gridCol w:w="1513"/>
        <w:gridCol w:w="185"/>
        <w:gridCol w:w="60"/>
        <w:gridCol w:w="125"/>
        <w:gridCol w:w="545"/>
        <w:gridCol w:w="80"/>
        <w:gridCol w:w="60"/>
        <w:gridCol w:w="60"/>
        <w:gridCol w:w="545"/>
        <w:gridCol w:w="185"/>
      </w:tblGrid>
      <w:tr>
        <w:trPr/>
        <w:tc>
          <w:tcPr>
            <w:tcW w:w="177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523" w:type="dxa"/>
            <w:gridSpan w:val="14"/>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w:t>
            </w:r>
          </w:p>
        </w:tc>
        <w:tc>
          <w:tcPr>
            <w:tcW w:w="185"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45" w:type="dxa"/>
            <w:tcBorders/>
            <w:shd w:fill="FFFFFF" w:val="clear"/>
            <w:vAlign w:val="center"/>
          </w:tcPr>
          <w:p>
            <w:pPr>
              <w:pStyle w:val="TableContents"/>
              <w:spacing w:before="0" w:after="283"/>
              <w:jc w:val="center"/>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545" w:type="dxa"/>
            <w:tcBorders/>
            <w:shd w:fill="FFFFFF" w:val="clear"/>
            <w:vAlign w:val="center"/>
          </w:tcPr>
          <w:p>
            <w:pPr>
              <w:pStyle w:val="TableContents"/>
              <w:spacing w:before="0" w:after="283"/>
              <w:jc w:val="center"/>
              <w:rPr/>
            </w:pPr>
            <w:r>
              <w:rPr/>
              <w:t> </w:t>
            </w:r>
          </w:p>
        </w:tc>
        <w:tc>
          <w:tcPr>
            <w:tcW w:w="185" w:type="dxa"/>
            <w:tcBorders/>
            <w:shd w:fill="FFFFFF" w:val="clear"/>
            <w:vAlign w:val="center"/>
          </w:tcPr>
          <w:p>
            <w:pPr>
              <w:pStyle w:val="TableContents"/>
              <w:spacing w:before="0" w:after="283"/>
              <w:rPr/>
            </w:pPr>
            <w:r>
              <w:rPr/>
              <w:t> </w:t>
            </w:r>
          </w:p>
        </w:tc>
      </w:tr>
      <w:tr>
        <w:trPr/>
        <w:tc>
          <w:tcPr>
            <w:tcW w:w="177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639"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85"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639"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185"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15"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185"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1775"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(dollars in thousands)</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shd w:fill="FFFFFF"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99" w:type="dxa"/>
            <w:gridSpan w:val="2"/>
            <w:tcBorders/>
            <w:shd w:fill="FFFFFF"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 of Total Revenue</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shd w:fill="FFFFFF"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99" w:type="dxa"/>
            <w:gridSpan w:val="2"/>
            <w:tcBorders/>
            <w:shd w:fill="FFFFFF"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 of Total Revenue</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70" w:type="dxa"/>
            <w:gridSpan w:val="2"/>
            <w:tcBorders/>
            <w:shd w:fill="FFFFFF"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05" w:type="dxa"/>
            <w:gridSpan w:val="2"/>
            <w:tcBorders/>
            <w:shd w:fill="FFFFFF"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85" w:type="dxa"/>
            <w:tcBorders/>
            <w:shd w:fill="FFFFFF" w:val="clear"/>
            <w:vAlign w:val="center"/>
          </w:tcPr>
          <w:p>
            <w:pPr>
              <w:pStyle w:val="TableContents"/>
              <w:spacing w:before="0" w:after="283"/>
              <w:rPr/>
            </w:pPr>
            <w:r>
              <w:rPr/>
              <w:t> </w:t>
            </w:r>
          </w:p>
        </w:tc>
      </w:tr>
      <w:tr>
        <w:trPr/>
        <w:tc>
          <w:tcPr>
            <w:tcW w:w="177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rPr/>
            </w:pPr>
            <w:r>
              <w:rPr/>
              <w:t> </w:t>
            </w:r>
          </w:p>
        </w:tc>
        <w:tc>
          <w:tcPr>
            <w:tcW w:w="1513" w:type="dxa"/>
            <w:tcBorders/>
            <w:shd w:fill="CCEEFF" w:val="clear"/>
            <w:vAlign w:val="center"/>
          </w:tcPr>
          <w:p>
            <w:pPr>
              <w:pStyle w:val="TableContents"/>
              <w:spacing w:before="0" w:after="283"/>
              <w:jc w:val="left"/>
              <w:rPr/>
            </w:pPr>
            <w:r>
              <w:rPr/>
              <w:t> </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rPr/>
            </w:pPr>
            <w:r>
              <w:rPr/>
              <w:t> </w:t>
            </w:r>
          </w:p>
        </w:tc>
        <w:tc>
          <w:tcPr>
            <w:tcW w:w="1513" w:type="dxa"/>
            <w:tcBorders/>
            <w:shd w:fill="CCEEFF" w:val="clear"/>
            <w:vAlign w:val="center"/>
          </w:tcPr>
          <w:p>
            <w:pPr>
              <w:pStyle w:val="TableContents"/>
              <w:spacing w:before="0" w:after="283"/>
              <w:jc w:val="left"/>
              <w:rPr/>
            </w:pPr>
            <w:r>
              <w:rPr/>
              <w:t> </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45" w:type="dxa"/>
            <w:tcBorders/>
            <w:shd w:fill="CCEEFF" w:val="clear"/>
            <w:vAlign w:val="center"/>
          </w:tcPr>
          <w:p>
            <w:pPr>
              <w:pStyle w:val="TableContents"/>
              <w:spacing w:before="0" w:after="283"/>
              <w:jc w:val="left"/>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45" w:type="dxa"/>
            <w:tcBorders/>
            <w:shd w:fill="CCEEFF" w:val="clear"/>
            <w:vAlign w:val="center"/>
          </w:tcPr>
          <w:p>
            <w:pPr>
              <w:pStyle w:val="TableContents"/>
              <w:spacing w:before="0" w:after="283"/>
              <w:jc w:val="left"/>
              <w:rPr/>
            </w:pPr>
            <w:r>
              <w:rPr/>
              <w:t> </w:t>
            </w:r>
          </w:p>
        </w:tc>
        <w:tc>
          <w:tcPr>
            <w:tcW w:w="185" w:type="dxa"/>
            <w:tcBorders/>
            <w:shd w:fill="CCEEFF" w:val="clear"/>
            <w:vAlign w:val="center"/>
          </w:tcPr>
          <w:p>
            <w:pPr>
              <w:pStyle w:val="TableContents"/>
              <w:spacing w:before="0" w:after="283"/>
              <w:rPr/>
            </w:pPr>
            <w:r>
              <w:rPr/>
              <w:t> </w:t>
            </w:r>
          </w:p>
        </w:tc>
      </w:tr>
      <w:tr>
        <w:trPr/>
        <w:tc>
          <w:tcPr>
            <w:tcW w:w="1775" w:type="dxa"/>
            <w:tcBorders/>
            <w:shd w:fill="FFFFFF" w:val="clear"/>
            <w:vAlign w:val="center"/>
          </w:tcPr>
          <w:p>
            <w:pPr>
              <w:pStyle w:val="TableContents"/>
              <w:spacing w:before="0" w:after="0"/>
              <w:ind w:left="360" w:right="0" w:hanging="0"/>
              <w:rPr>
                <w:rFonts w:ascii="Times New Roman;Times;serif" w:hAnsi="Times New Roman;Times;serif"/>
                <w:sz w:val="20"/>
              </w:rPr>
            </w:pPr>
            <w:r>
              <w:rPr>
                <w:rFonts w:ascii="Times New Roman;Times;serif" w:hAnsi="Times New Roman;Times;serif"/>
                <w:sz w:val="20"/>
              </w:rPr>
              <w:t>United States</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97,746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6" w:type="dxa"/>
            <w:tcBorders/>
            <w:shd w:fill="FFFFFF" w:val="clear"/>
            <w:vAlign w:val="center"/>
          </w:tcPr>
          <w:p>
            <w:pPr>
              <w:pStyle w:val="TableContents"/>
              <w:spacing w:before="0" w:after="283"/>
              <w:ind w:left="0" w:right="0" w:hanging="0"/>
              <w:rPr/>
            </w:pPr>
            <w:r>
              <w:rPr/>
              <w:t> </w:t>
            </w:r>
          </w:p>
        </w:tc>
        <w:tc>
          <w:tcPr>
            <w:tcW w:w="1513"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77.7</w:t>
            </w:r>
          </w:p>
        </w:tc>
        <w:tc>
          <w:tcPr>
            <w:tcW w:w="18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95,496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6" w:type="dxa"/>
            <w:tcBorders/>
            <w:shd w:fill="FFFFFF" w:val="clear"/>
            <w:vAlign w:val="center"/>
          </w:tcPr>
          <w:p>
            <w:pPr>
              <w:pStyle w:val="TableContents"/>
              <w:spacing w:before="0" w:after="283"/>
              <w:ind w:left="0" w:right="0" w:hanging="0"/>
              <w:rPr/>
            </w:pPr>
            <w:r>
              <w:rPr/>
              <w:t> </w:t>
            </w:r>
          </w:p>
        </w:tc>
        <w:tc>
          <w:tcPr>
            <w:tcW w:w="1513"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76.9</w:t>
            </w:r>
          </w:p>
        </w:tc>
        <w:tc>
          <w:tcPr>
            <w:tcW w:w="18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2,250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45"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18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1775" w:type="dxa"/>
            <w:tcBorders/>
            <w:shd w:fill="CCEEFF" w:val="clear"/>
            <w:vAlign w:val="center"/>
          </w:tcPr>
          <w:p>
            <w:pPr>
              <w:pStyle w:val="TableContents"/>
              <w:spacing w:before="0" w:after="0"/>
              <w:ind w:left="360" w:right="0" w:hanging="0"/>
              <w:rPr>
                <w:rFonts w:ascii="Times New Roman;Times;serif" w:hAnsi="Times New Roman;Times;serif"/>
                <w:sz w:val="20"/>
              </w:rPr>
            </w:pPr>
            <w:r>
              <w:rPr>
                <w:rFonts w:ascii="Times New Roman;Times;serif" w:hAnsi="Times New Roman;Times;serif"/>
                <w:sz w:val="20"/>
              </w:rPr>
              <w:t>Europe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28,113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ind w:left="0" w:right="0" w:hanging="0"/>
              <w:rPr/>
            </w:pPr>
            <w:r>
              <w:rPr/>
              <w:t> </w:t>
            </w:r>
          </w:p>
        </w:tc>
        <w:tc>
          <w:tcPr>
            <w:tcW w:w="1513"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22.3</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24,586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ind w:left="0" w:right="0" w:hanging="0"/>
              <w:rPr/>
            </w:pPr>
            <w:r>
              <w:rPr/>
              <w:t> </w:t>
            </w:r>
          </w:p>
        </w:tc>
        <w:tc>
          <w:tcPr>
            <w:tcW w:w="1513"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19.8</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45"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3,527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545"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185" w:type="dxa"/>
            <w:tcBorders/>
            <w:shd w:fill="CCEEFF" w:val="clear"/>
            <w:vAlign w:val="center"/>
          </w:tcPr>
          <w:p>
            <w:pPr>
              <w:pStyle w:val="TableContents"/>
              <w:spacing w:before="0" w:after="283"/>
              <w:rPr/>
            </w:pPr>
            <w:r>
              <w:rPr/>
              <w:t> </w:t>
            </w:r>
          </w:p>
        </w:tc>
      </w:tr>
      <w:tr>
        <w:trPr/>
        <w:tc>
          <w:tcPr>
            <w:tcW w:w="1775" w:type="dxa"/>
            <w:tcBorders/>
            <w:shd w:fill="FFFFFF" w:val="clear"/>
            <w:vAlign w:val="center"/>
          </w:tcPr>
          <w:p>
            <w:pPr>
              <w:pStyle w:val="TableContents"/>
              <w:spacing w:before="0" w:after="0"/>
              <w:ind w:left="360" w:right="0" w:hanging="0"/>
              <w:rPr>
                <w:rFonts w:ascii="Times New Roman;Times;serif" w:hAnsi="Times New Roman;Times;serif"/>
                <w:sz w:val="20"/>
              </w:rPr>
            </w:pPr>
            <w:r>
              <w:rPr>
                <w:rFonts w:ascii="Times New Roman;Times;serif" w:hAnsi="Times New Roman;Times;serif"/>
                <w:sz w:val="20"/>
              </w:rPr>
              <w:t>Japan</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color w:val="000000"/>
              </w:rPr>
            </w:pPr>
            <w:r>
              <w:rPr>
                <w:color w:val="000000"/>
              </w:rPr>
              <w:t> </w:t>
            </w:r>
          </w:p>
        </w:tc>
        <w:tc>
          <w:tcPr>
            <w:tcW w:w="695" w:type="dxa"/>
            <w:tcBorders/>
            <w:shd w:fill="FFFF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FFFFFF" w:val="clear"/>
            <w:vAlign w:val="center"/>
          </w:tcPr>
          <w:p>
            <w:pPr>
              <w:pStyle w:val="TableContents"/>
              <w:spacing w:before="0" w:after="283"/>
              <w:rPr>
                <w:color w:val="000000"/>
              </w:rPr>
            </w:pPr>
            <w:r>
              <w:rPr>
                <w:color w:val="000000"/>
              </w:rPr>
              <w:t> </w:t>
            </w:r>
          </w:p>
        </w:tc>
        <w:tc>
          <w:tcPr>
            <w:tcW w:w="60" w:type="dxa"/>
            <w:tcBorders/>
            <w:shd w:fill="FFFFFF" w:val="clear"/>
            <w:vAlign w:val="center"/>
          </w:tcPr>
          <w:p>
            <w:pPr>
              <w:pStyle w:val="TableContents"/>
              <w:spacing w:before="0" w:after="283"/>
              <w:rPr/>
            </w:pPr>
            <w:r>
              <w:rPr/>
              <w:t> </w:t>
            </w:r>
          </w:p>
        </w:tc>
        <w:tc>
          <w:tcPr>
            <w:tcW w:w="186" w:type="dxa"/>
            <w:tcBorders/>
            <w:shd w:fill="FFFFFF" w:val="clear"/>
            <w:vAlign w:val="center"/>
          </w:tcPr>
          <w:p>
            <w:pPr>
              <w:pStyle w:val="TableContents"/>
              <w:spacing w:before="0" w:after="283"/>
              <w:ind w:left="0" w:right="0" w:hanging="0"/>
              <w:rPr>
                <w:color w:val="000000"/>
              </w:rPr>
            </w:pPr>
            <w:r>
              <w:rPr>
                <w:color w:val="000000"/>
              </w:rPr>
              <w:t> </w:t>
            </w:r>
          </w:p>
        </w:tc>
        <w:tc>
          <w:tcPr>
            <w:tcW w:w="1513" w:type="dxa"/>
            <w:tcBorders/>
            <w:shd w:fill="FFFF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w:t>
            </w:r>
          </w:p>
        </w:tc>
        <w:tc>
          <w:tcPr>
            <w:tcW w:w="185" w:type="dxa"/>
            <w:tcBorders/>
            <w:shd w:fill="FFFFFF" w:val="clear"/>
            <w:vAlign w:val="center"/>
          </w:tcPr>
          <w:p>
            <w:pPr>
              <w:pStyle w:val="TableContents"/>
              <w:spacing w:before="0" w:after="283"/>
              <w:rPr>
                <w:color w:val="000000"/>
              </w:rPr>
            </w:pPr>
            <w:r>
              <w:rPr>
                <w:color w:val="000000"/>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color w:val="000000"/>
              </w:rPr>
            </w:pPr>
            <w:r>
              <w:rPr>
                <w:color w:val="000000"/>
              </w:rPr>
              <w:t> </w:t>
            </w:r>
          </w:p>
        </w:tc>
        <w:tc>
          <w:tcPr>
            <w:tcW w:w="695" w:type="dxa"/>
            <w:tcBorders/>
            <w:shd w:fill="FFFF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4,086</w:t>
            </w:r>
          </w:p>
        </w:tc>
        <w:tc>
          <w:tcPr>
            <w:tcW w:w="60" w:type="dxa"/>
            <w:tcBorders/>
            <w:shd w:fill="FFFFFF" w:val="clear"/>
            <w:vAlign w:val="center"/>
          </w:tcPr>
          <w:p>
            <w:pPr>
              <w:pStyle w:val="TableContents"/>
              <w:spacing w:before="0" w:after="283"/>
              <w:rPr>
                <w:color w:val="000000"/>
              </w:rPr>
            </w:pPr>
            <w:r>
              <w:rPr>
                <w:color w:val="000000"/>
              </w:rPr>
              <w:t> </w:t>
            </w:r>
          </w:p>
        </w:tc>
        <w:tc>
          <w:tcPr>
            <w:tcW w:w="60" w:type="dxa"/>
            <w:tcBorders/>
            <w:shd w:fill="FFFFFF" w:val="clear"/>
            <w:vAlign w:val="center"/>
          </w:tcPr>
          <w:p>
            <w:pPr>
              <w:pStyle w:val="TableContents"/>
              <w:spacing w:before="0" w:after="283"/>
              <w:rPr/>
            </w:pPr>
            <w:r>
              <w:rPr/>
              <w:t> </w:t>
            </w:r>
          </w:p>
        </w:tc>
        <w:tc>
          <w:tcPr>
            <w:tcW w:w="186" w:type="dxa"/>
            <w:tcBorders/>
            <w:shd w:fill="FFFFFF" w:val="clear"/>
            <w:vAlign w:val="center"/>
          </w:tcPr>
          <w:p>
            <w:pPr>
              <w:pStyle w:val="TableContents"/>
              <w:spacing w:before="0" w:after="283"/>
              <w:ind w:left="0" w:right="0" w:hanging="0"/>
              <w:rPr>
                <w:color w:val="000000"/>
              </w:rPr>
            </w:pPr>
            <w:r>
              <w:rPr>
                <w:color w:val="000000"/>
              </w:rPr>
              <w:t> </w:t>
            </w:r>
          </w:p>
        </w:tc>
        <w:tc>
          <w:tcPr>
            <w:tcW w:w="1513" w:type="dxa"/>
            <w:tcBorders/>
            <w:shd w:fill="FFFF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3.3</w:t>
            </w:r>
          </w:p>
        </w:tc>
        <w:tc>
          <w:tcPr>
            <w:tcW w:w="185" w:type="dxa"/>
            <w:tcBorders/>
            <w:shd w:fill="FFFFFF" w:val="clear"/>
            <w:vAlign w:val="center"/>
          </w:tcPr>
          <w:p>
            <w:pPr>
              <w:pStyle w:val="TableContents"/>
              <w:spacing w:before="0" w:after="283"/>
              <w:rPr>
                <w:color w:val="000000"/>
              </w:rPr>
            </w:pPr>
            <w:r>
              <w:rPr>
                <w:color w:val="000000"/>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color w:val="000000"/>
              </w:rPr>
            </w:pPr>
            <w:r>
              <w:rPr>
                <w:color w:val="000000"/>
              </w:rPr>
              <w:t> </w:t>
            </w:r>
          </w:p>
        </w:tc>
        <w:tc>
          <w:tcPr>
            <w:tcW w:w="545" w:type="dxa"/>
            <w:tcBorders/>
            <w:shd w:fill="FFFF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(4,086</w:t>
            </w:r>
          </w:p>
        </w:tc>
        <w:tc>
          <w:tcPr>
            <w:tcW w:w="80" w:type="dxa"/>
            <w:tcBorders/>
            <w:shd w:fill="FFFFFF" w:val="clear"/>
            <w:vAlign w:val="center"/>
          </w:tcPr>
          <w:p>
            <w:pPr>
              <w:pStyle w:val="TableContents"/>
              <w:spacing w:before="0" w:after="283"/>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color w:val="000000"/>
              </w:rPr>
            </w:pPr>
            <w:r>
              <w:rPr>
                <w:color w:val="000000"/>
              </w:rPr>
              <w:t> </w:t>
            </w:r>
          </w:p>
        </w:tc>
        <w:tc>
          <w:tcPr>
            <w:tcW w:w="545" w:type="dxa"/>
            <w:tcBorders/>
            <w:shd w:fill="FFFF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(100.0</w:t>
            </w:r>
          </w:p>
        </w:tc>
        <w:tc>
          <w:tcPr>
            <w:tcW w:w="185" w:type="dxa"/>
            <w:tcBorders/>
            <w:shd w:fill="FFFFFF" w:val="clear"/>
            <w:vAlign w:val="center"/>
          </w:tcPr>
          <w:p>
            <w:pPr>
              <w:pStyle w:val="TableContents"/>
              <w:spacing w:before="0" w:after="283"/>
              <w:rPr>
                <w:rFonts w:ascii="Times New Roman;Times;serif" w:hAnsi="Times New Roman;Times;serif"/>
                <w:color w:val="000000"/>
                <w:sz w:val="20"/>
              </w:rPr>
            </w:pPr>
            <w:r>
              <w:rPr>
                <w:rFonts w:ascii="Times New Roman;Times;serif" w:hAnsi="Times New Roman;Times;serif"/>
                <w:color w:val="000000"/>
                <w:sz w:val="20"/>
              </w:rPr>
              <w:t>)</w:t>
            </w:r>
          </w:p>
        </w:tc>
      </w:tr>
      <w:tr>
        <w:trPr/>
        <w:tc>
          <w:tcPr>
            <w:tcW w:w="177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shd w:fill="CCEE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125,859</w:t>
            </w:r>
          </w:p>
        </w:tc>
        <w:tc>
          <w:tcPr>
            <w:tcW w:w="60" w:type="dxa"/>
            <w:tcBorders/>
            <w:shd w:fill="CCEEFF" w:val="clear"/>
            <w:vAlign w:val="center"/>
          </w:tcPr>
          <w:p>
            <w:pPr>
              <w:pStyle w:val="TableContents"/>
              <w:spacing w:before="0" w:after="283"/>
              <w:rPr>
                <w:color w:val="000000"/>
              </w:rPr>
            </w:pPr>
            <w:r>
              <w:rPr>
                <w:color w:val="000000"/>
              </w:rPr>
              <w:t> </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ind w:left="0" w:right="0" w:hanging="0"/>
              <w:rPr>
                <w:color w:val="000000"/>
              </w:rPr>
            </w:pPr>
            <w:r>
              <w:rPr>
                <w:color w:val="000000"/>
              </w:rPr>
              <w:t> </w:t>
            </w:r>
          </w:p>
        </w:tc>
        <w:tc>
          <w:tcPr>
            <w:tcW w:w="1513" w:type="dxa"/>
            <w:tcBorders/>
            <w:shd w:fill="CCEE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100.0</w:t>
            </w:r>
          </w:p>
        </w:tc>
        <w:tc>
          <w:tcPr>
            <w:tcW w:w="185" w:type="dxa"/>
            <w:tcBorders/>
            <w:shd w:fill="CCEEFF" w:val="clear"/>
            <w:vAlign w:val="center"/>
          </w:tcPr>
          <w:p>
            <w:pPr>
              <w:pStyle w:val="TableContents"/>
              <w:spacing w:before="0" w:after="283"/>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shd w:fill="CCEE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124,168</w:t>
            </w:r>
          </w:p>
        </w:tc>
        <w:tc>
          <w:tcPr>
            <w:tcW w:w="60" w:type="dxa"/>
            <w:tcBorders/>
            <w:shd w:fill="CCEEFF" w:val="clear"/>
            <w:vAlign w:val="center"/>
          </w:tcPr>
          <w:p>
            <w:pPr>
              <w:pStyle w:val="TableContents"/>
              <w:spacing w:before="0" w:after="283"/>
              <w:rPr>
                <w:color w:val="000000"/>
              </w:rPr>
            </w:pPr>
            <w:r>
              <w:rPr>
                <w:color w:val="000000"/>
              </w:rPr>
              <w:t> </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ind w:left="0" w:right="0" w:hanging="0"/>
              <w:rPr>
                <w:color w:val="000000"/>
              </w:rPr>
            </w:pPr>
            <w:r>
              <w:rPr>
                <w:color w:val="000000"/>
              </w:rPr>
              <w:t> </w:t>
            </w:r>
          </w:p>
        </w:tc>
        <w:tc>
          <w:tcPr>
            <w:tcW w:w="1513" w:type="dxa"/>
            <w:tcBorders/>
            <w:shd w:fill="CCEE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100.0</w:t>
            </w:r>
          </w:p>
        </w:tc>
        <w:tc>
          <w:tcPr>
            <w:tcW w:w="185" w:type="dxa"/>
            <w:tcBorders/>
            <w:shd w:fill="CCEEFF" w:val="clear"/>
            <w:vAlign w:val="center"/>
          </w:tcPr>
          <w:p>
            <w:pPr>
              <w:pStyle w:val="TableContents"/>
              <w:spacing w:before="0" w:after="283"/>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Times;serif" w:hAnsi="Times New Roman;Times;serif"/>
                <w:color w:val="000000"/>
                <w:sz w:val="20"/>
              </w:rPr>
            </w:pPr>
            <w:r>
              <w:rPr>
                <w:rFonts w:ascii="Times New Roman;Times;serif" w:hAnsi="Times New Roman;Times;serif"/>
                <w:color w:val="000000"/>
                <w:sz w:val="20"/>
              </w:rPr>
              <w:t>$</w:t>
            </w:r>
          </w:p>
        </w:tc>
        <w:tc>
          <w:tcPr>
            <w:tcW w:w="545" w:type="dxa"/>
            <w:tcBorders/>
            <w:shd w:fill="CCEE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1,691</w:t>
            </w:r>
          </w:p>
        </w:tc>
        <w:tc>
          <w:tcPr>
            <w:tcW w:w="80" w:type="dxa"/>
            <w:tcBorders/>
            <w:shd w:fill="CCEEFF" w:val="clear"/>
            <w:vAlign w:val="center"/>
          </w:tcPr>
          <w:p>
            <w:pPr>
              <w:pStyle w:val="TableContents"/>
              <w:spacing w:before="0" w:after="283"/>
              <w:rPr>
                <w:color w:val="000000"/>
              </w:rPr>
            </w:pPr>
            <w:r>
              <w:rPr>
                <w:color w:val="00000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color w:val="000000"/>
              </w:rPr>
            </w:pPr>
            <w:r>
              <w:rPr>
                <w:color w:val="000000"/>
              </w:rPr>
              <w:t> </w:t>
            </w:r>
          </w:p>
        </w:tc>
        <w:tc>
          <w:tcPr>
            <w:tcW w:w="545" w:type="dxa"/>
            <w:tcBorders/>
            <w:shd w:fill="CCEE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1.4</w:t>
            </w:r>
          </w:p>
        </w:tc>
        <w:tc>
          <w:tcPr>
            <w:tcW w:w="185" w:type="dxa"/>
            <w:tcBorders/>
            <w:shd w:fill="CCEEFF" w:val="clear"/>
            <w:vAlign w:val="center"/>
          </w:tcPr>
          <w:p>
            <w:pPr>
              <w:pStyle w:val="TableContents"/>
              <w:spacing w:before="0" w:after="283"/>
              <w:rPr>
                <w:rFonts w:ascii="Times New Roman;Times;serif" w:hAnsi="Times New Roman;Times;serif"/>
                <w:color w:val="000000"/>
                <w:sz w:val="20"/>
              </w:rPr>
            </w:pPr>
            <w:r>
              <w:rPr>
                <w:rFonts w:ascii="Times New Roman;Times;serif" w:hAnsi="Times New Roman;Times;serif"/>
                <w:color w:val="000000"/>
                <w:sz w:val="20"/>
              </w:rPr>
              <w:t>%</w:t>
            </w:r>
          </w:p>
        </w:tc>
      </w:tr>
    </w:tbl>
    <w:p>
      <w:pPr>
        <w:pStyle w:val="TextBody"/>
        <w:spacing w:before="0" w:after="0"/>
        <w:ind w:left="0" w:right="0" w:hanging="0"/>
        <w:rPr/>
      </w:pPr>
      <w:r>
        <w:rPr/>
        <w:t> </w:t>
      </w:r>
    </w:p>
    <w:p>
      <w:pPr>
        <w:pStyle w:val="HorizontalLine"/>
        <w:rPr/>
      </w:pPr>
      <w:r>
        <w:rPr/>
      </w:r>
    </w:p>
    <w:p>
      <w:pPr>
        <w:pStyle w:val="TextBody"/>
        <w:spacing w:before="0" w:after="0"/>
        <w:ind w:left="0" w:right="0" w:hanging="0"/>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Our revenue increased $1.7 million, or 1.4%, for the three months ended March 31, 2023 compared to the same period in 2022. By reportable segment, revenue in the United States increased $2.3 million, or 2.4%, for the three months ended March 31, 2023 compared to the same period in 2022. Revenue in Europe increased $3.5 million, or 14.3%, and revenue in Japan decreased $4.1 million, or 100.0%, in each case for the three months ended March 31, 2023 compared to the same period in 2022. The decrease in Japan revenue was driven by our decision in the second quarter of 2022 to close our Japan operations. Our acquisition of Hubs provided revenue of $9.4 million and $4.8 million in the United States, and $7.8 million and $5.5 million in Europe, for each of the three months ended March 31, 2023 and 2022. International revenue was negatively impacted by $2.5 million during the three months ended March 31, 2023 compared to the same period in 2022 as a result of foreign currency movements, primarily the weakening of the British Pound and Euro relative to the United States Dollar.</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During the three months ended March 31, 2023, we served 23,287 unique product developers and engineers, which is consistent with the same period in 2022. Our growth in product developers and engineers served increased at a lesser rate than our revenue gro</w:t>
      </w:r>
      <w:r>
        <w:rPr>
          <w:rFonts w:ascii="Times New Roman;Times;serif" w:hAnsi="Times New Roman;Times;serif"/>
          <w:color w:val="000000"/>
          <w:sz w:val="20"/>
        </w:rPr>
        <w:t>wth, resulting in an increase in the average spend per product developer and engineer.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Revenue by product line and the related changes for the three months ended March 31, 2023 and 2022 were as follows:</w:t>
      </w:r>
    </w:p>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tbl>
      <w:tblPr>
        <w:tblW w:w="9158" w:type="dxa"/>
        <w:jc w:val="left"/>
        <w:tblInd w:w="0" w:type="dxa"/>
        <w:tblCellMar>
          <w:top w:w="0" w:type="dxa"/>
          <w:left w:w="0" w:type="dxa"/>
          <w:bottom w:w="0" w:type="dxa"/>
          <w:right w:w="0" w:type="dxa"/>
        </w:tblCellMar>
      </w:tblPr>
      <w:tblGrid>
        <w:gridCol w:w="1775"/>
        <w:gridCol w:w="60"/>
        <w:gridCol w:w="125"/>
        <w:gridCol w:w="695"/>
        <w:gridCol w:w="60"/>
        <w:gridCol w:w="60"/>
        <w:gridCol w:w="186"/>
        <w:gridCol w:w="1513"/>
        <w:gridCol w:w="185"/>
        <w:gridCol w:w="60"/>
        <w:gridCol w:w="125"/>
        <w:gridCol w:w="695"/>
        <w:gridCol w:w="60"/>
        <w:gridCol w:w="60"/>
        <w:gridCol w:w="186"/>
        <w:gridCol w:w="1513"/>
        <w:gridCol w:w="185"/>
        <w:gridCol w:w="60"/>
        <w:gridCol w:w="125"/>
        <w:gridCol w:w="545"/>
        <w:gridCol w:w="80"/>
        <w:gridCol w:w="60"/>
        <w:gridCol w:w="60"/>
        <w:gridCol w:w="440"/>
        <w:gridCol w:w="245"/>
      </w:tblGrid>
      <w:tr>
        <w:trPr/>
        <w:tc>
          <w:tcPr>
            <w:tcW w:w="177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523" w:type="dxa"/>
            <w:gridSpan w:val="14"/>
            <w:tcBorders/>
            <w:shd w:fill="FFFFFF"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w:t>
            </w:r>
          </w:p>
        </w:tc>
        <w:tc>
          <w:tcPr>
            <w:tcW w:w="185" w:type="dxa"/>
            <w:tcBorders/>
            <w:shd w:fill="FFFFFF" w:val="clear"/>
            <w:vAlign w:val="center"/>
          </w:tcPr>
          <w:p>
            <w:pPr>
              <w:pStyle w:val="TableContents"/>
              <w:spacing w:before="0" w:after="283"/>
              <w:rPr>
                <w:color w:val="000000"/>
              </w:rPr>
            </w:pPr>
            <w:r>
              <w:rPr>
                <w:color w:val="000000"/>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45" w:type="dxa"/>
            <w:tcBorders/>
            <w:shd w:fill="FFFFFF" w:val="clear"/>
            <w:vAlign w:val="center"/>
          </w:tcPr>
          <w:p>
            <w:pPr>
              <w:pStyle w:val="TableContents"/>
              <w:spacing w:before="0" w:after="283"/>
              <w:jc w:val="center"/>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40" w:type="dxa"/>
            <w:tcBorders/>
            <w:shd w:fill="FFFFFF" w:val="clear"/>
            <w:vAlign w:val="center"/>
          </w:tcPr>
          <w:p>
            <w:pPr>
              <w:pStyle w:val="TableContents"/>
              <w:spacing w:before="0" w:after="283"/>
              <w:jc w:val="center"/>
              <w:rPr/>
            </w:pPr>
            <w:r>
              <w:rPr/>
              <w:t> </w:t>
            </w:r>
          </w:p>
        </w:tc>
        <w:tc>
          <w:tcPr>
            <w:tcW w:w="245" w:type="dxa"/>
            <w:tcBorders/>
            <w:shd w:fill="FFFFFF" w:val="clear"/>
            <w:vAlign w:val="center"/>
          </w:tcPr>
          <w:p>
            <w:pPr>
              <w:pStyle w:val="TableContents"/>
              <w:spacing w:before="0" w:after="283"/>
              <w:rPr/>
            </w:pPr>
            <w:r>
              <w:rPr/>
              <w:t> </w:t>
            </w:r>
          </w:p>
        </w:tc>
      </w:tr>
      <w:tr>
        <w:trPr/>
        <w:tc>
          <w:tcPr>
            <w:tcW w:w="177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639" w:type="dxa"/>
            <w:gridSpan w:val="6"/>
            <w:tcBorders/>
            <w:shd w:fill="FFFFFF"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85" w:type="dxa"/>
            <w:tcBorders/>
            <w:shd w:fill="FFFFFF" w:val="clear"/>
            <w:vAlign w:val="center"/>
          </w:tcPr>
          <w:p>
            <w:pPr>
              <w:pStyle w:val="TableContents"/>
              <w:spacing w:before="0" w:after="283"/>
              <w:rPr>
                <w:color w:val="000000"/>
              </w:rPr>
            </w:pPr>
            <w:r>
              <w:rPr>
                <w:color w:val="000000"/>
              </w:rPr>
              <w:t> </w:t>
            </w:r>
          </w:p>
        </w:tc>
        <w:tc>
          <w:tcPr>
            <w:tcW w:w="60" w:type="dxa"/>
            <w:tcBorders/>
            <w:shd w:fill="FFFFFF" w:val="clear"/>
            <w:vAlign w:val="center"/>
          </w:tcPr>
          <w:p>
            <w:pPr>
              <w:pStyle w:val="TableContents"/>
              <w:spacing w:before="0" w:after="283"/>
              <w:ind w:left="0" w:right="0" w:hanging="0"/>
              <w:rPr/>
            </w:pPr>
            <w:r>
              <w:rPr/>
              <w:t> </w:t>
            </w:r>
          </w:p>
        </w:tc>
        <w:tc>
          <w:tcPr>
            <w:tcW w:w="2639" w:type="dxa"/>
            <w:gridSpan w:val="6"/>
            <w:tcBorders/>
            <w:shd w:fill="FFFFFF"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185" w:type="dxa"/>
            <w:tcBorders/>
            <w:shd w:fill="FFFFFF" w:val="clear"/>
            <w:vAlign w:val="center"/>
          </w:tcPr>
          <w:p>
            <w:pPr>
              <w:pStyle w:val="TableContents"/>
              <w:spacing w:before="0" w:after="283"/>
              <w:rPr>
                <w:color w:val="000000"/>
              </w:rPr>
            </w:pPr>
            <w:r>
              <w:rPr>
                <w:color w:val="000000"/>
              </w:rPr>
              <w:t> </w:t>
            </w:r>
          </w:p>
        </w:tc>
        <w:tc>
          <w:tcPr>
            <w:tcW w:w="60" w:type="dxa"/>
            <w:tcBorders/>
            <w:shd w:fill="FFFFFF" w:val="clear"/>
            <w:vAlign w:val="center"/>
          </w:tcPr>
          <w:p>
            <w:pPr>
              <w:pStyle w:val="TableContents"/>
              <w:spacing w:before="0" w:after="283"/>
              <w:ind w:left="0" w:right="0" w:hanging="0"/>
              <w:rPr/>
            </w:pPr>
            <w:r>
              <w:rPr/>
              <w:t> </w:t>
            </w:r>
          </w:p>
        </w:tc>
        <w:tc>
          <w:tcPr>
            <w:tcW w:w="1310" w:type="dxa"/>
            <w:gridSpan w:val="6"/>
            <w:tcBorders/>
            <w:shd w:fill="FFFFFF"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245" w:type="dxa"/>
            <w:tcBorders/>
            <w:shd w:fill="FFFFFF" w:val="clear"/>
            <w:vAlign w:val="center"/>
          </w:tcPr>
          <w:p>
            <w:pPr>
              <w:pStyle w:val="TableContents"/>
              <w:spacing w:before="0" w:after="283"/>
              <w:rPr>
                <w:color w:val="000000"/>
              </w:rPr>
            </w:pPr>
            <w:r>
              <w:rPr>
                <w:color w:val="000000"/>
              </w:rPr>
              <w:t> </w:t>
            </w:r>
          </w:p>
        </w:tc>
      </w:tr>
      <w:tr>
        <w:trPr/>
        <w:tc>
          <w:tcPr>
            <w:tcW w:w="1775"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(dollars in thousands)</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shd w:fill="FFFFFF"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99" w:type="dxa"/>
            <w:gridSpan w:val="2"/>
            <w:tcBorders/>
            <w:shd w:fill="FFFFFF"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 of Total Revenue</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shd w:fill="FFFFFF"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99" w:type="dxa"/>
            <w:gridSpan w:val="2"/>
            <w:tcBorders/>
            <w:shd w:fill="FFFFFF"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 of Total Revenue</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70" w:type="dxa"/>
            <w:gridSpan w:val="2"/>
            <w:tcBorders/>
            <w:shd w:fill="FFFFFF"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00" w:type="dxa"/>
            <w:gridSpan w:val="2"/>
            <w:tcBorders/>
            <w:shd w:fill="FFFFFF"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245" w:type="dxa"/>
            <w:tcBorders/>
            <w:shd w:fill="FFFFFF" w:val="clear"/>
            <w:vAlign w:val="center"/>
          </w:tcPr>
          <w:p>
            <w:pPr>
              <w:pStyle w:val="TableContents"/>
              <w:spacing w:before="0" w:after="283"/>
              <w:rPr/>
            </w:pPr>
            <w:r>
              <w:rPr/>
              <w:t> </w:t>
            </w:r>
          </w:p>
        </w:tc>
      </w:tr>
      <w:tr>
        <w:trPr/>
        <w:tc>
          <w:tcPr>
            <w:tcW w:w="177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rPr/>
            </w:pPr>
            <w:r>
              <w:rPr/>
              <w:t> </w:t>
            </w:r>
          </w:p>
        </w:tc>
        <w:tc>
          <w:tcPr>
            <w:tcW w:w="1513" w:type="dxa"/>
            <w:tcBorders/>
            <w:shd w:fill="CCEEFF" w:val="clear"/>
            <w:vAlign w:val="center"/>
          </w:tcPr>
          <w:p>
            <w:pPr>
              <w:pStyle w:val="TableContents"/>
              <w:spacing w:before="0" w:after="283"/>
              <w:jc w:val="left"/>
              <w:rPr/>
            </w:pPr>
            <w:r>
              <w:rPr/>
              <w:t> </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rPr/>
            </w:pPr>
            <w:r>
              <w:rPr/>
              <w:t> </w:t>
            </w:r>
          </w:p>
        </w:tc>
        <w:tc>
          <w:tcPr>
            <w:tcW w:w="1513" w:type="dxa"/>
            <w:tcBorders/>
            <w:shd w:fill="CCEEFF" w:val="clear"/>
            <w:vAlign w:val="center"/>
          </w:tcPr>
          <w:p>
            <w:pPr>
              <w:pStyle w:val="TableContents"/>
              <w:spacing w:before="0" w:after="283"/>
              <w:jc w:val="left"/>
              <w:rPr/>
            </w:pPr>
            <w:r>
              <w:rPr/>
              <w:t> </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45" w:type="dxa"/>
            <w:tcBorders/>
            <w:shd w:fill="CCEEFF" w:val="clear"/>
            <w:vAlign w:val="center"/>
          </w:tcPr>
          <w:p>
            <w:pPr>
              <w:pStyle w:val="TableContents"/>
              <w:spacing w:before="0" w:after="283"/>
              <w:jc w:val="left"/>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0" w:type="dxa"/>
            <w:tcBorders/>
            <w:shd w:fill="CCEEFF" w:val="clear"/>
            <w:vAlign w:val="center"/>
          </w:tcPr>
          <w:p>
            <w:pPr>
              <w:pStyle w:val="TableContents"/>
              <w:spacing w:before="0" w:after="283"/>
              <w:jc w:val="left"/>
              <w:rPr/>
            </w:pPr>
            <w:r>
              <w:rPr/>
              <w:t> </w:t>
            </w:r>
          </w:p>
        </w:tc>
        <w:tc>
          <w:tcPr>
            <w:tcW w:w="245" w:type="dxa"/>
            <w:tcBorders/>
            <w:shd w:fill="CCEEFF" w:val="clear"/>
            <w:vAlign w:val="center"/>
          </w:tcPr>
          <w:p>
            <w:pPr>
              <w:pStyle w:val="TableContents"/>
              <w:spacing w:before="0" w:after="283"/>
              <w:ind w:left="0" w:right="0" w:hanging="0"/>
              <w:rPr/>
            </w:pPr>
            <w:r>
              <w:rPr/>
              <w:t> </w:t>
            </w:r>
          </w:p>
        </w:tc>
      </w:tr>
      <w:tr>
        <w:trPr/>
        <w:tc>
          <w:tcPr>
            <w:tcW w:w="1775"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Injection Molding</w:t>
            </w:r>
          </w:p>
        </w:tc>
        <w:tc>
          <w:tcPr>
            <w:tcW w:w="6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51,948</w:t>
            </w:r>
          </w:p>
        </w:tc>
        <w:tc>
          <w:tcPr>
            <w:tcW w:w="60"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186" w:type="dxa"/>
            <w:tcBorders/>
            <w:shd w:fill="FFFFFF" w:val="clear"/>
            <w:vAlign w:val="center"/>
          </w:tcPr>
          <w:p>
            <w:pPr>
              <w:pStyle w:val="TableContents"/>
              <w:spacing w:before="0" w:after="0"/>
              <w:ind w:left="0" w:right="0" w:hanging="0"/>
              <w:rPr/>
            </w:pPr>
            <w:r>
              <w:rPr/>
              <w:t> </w:t>
            </w:r>
          </w:p>
        </w:tc>
        <w:tc>
          <w:tcPr>
            <w:tcW w:w="1513"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185"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53,398</w:t>
            </w:r>
          </w:p>
        </w:tc>
        <w:tc>
          <w:tcPr>
            <w:tcW w:w="60"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186" w:type="dxa"/>
            <w:tcBorders/>
            <w:shd w:fill="FFFFFF" w:val="clear"/>
            <w:vAlign w:val="center"/>
          </w:tcPr>
          <w:p>
            <w:pPr>
              <w:pStyle w:val="TableContents"/>
              <w:spacing w:before="0" w:after="0"/>
              <w:ind w:left="0" w:right="0" w:hanging="0"/>
              <w:rPr/>
            </w:pPr>
            <w:r>
              <w:rPr/>
              <w:t> </w:t>
            </w:r>
          </w:p>
        </w:tc>
        <w:tc>
          <w:tcPr>
            <w:tcW w:w="1513"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185"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(1,450</w:t>
            </w:r>
          </w:p>
        </w:tc>
        <w:tc>
          <w:tcPr>
            <w:tcW w:w="80"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440"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245"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77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CNC Machining</w:t>
            </w:r>
          </w:p>
        </w:tc>
        <w:tc>
          <w:tcPr>
            <w:tcW w:w="6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69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48,104</w:t>
            </w:r>
          </w:p>
        </w:tc>
        <w:tc>
          <w:tcPr>
            <w:tcW w:w="60" w:type="dxa"/>
            <w:tcBorders/>
            <w:shd w:fill="CCEEFF" w:val="cle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186" w:type="dxa"/>
            <w:tcBorders/>
            <w:shd w:fill="CCEEFF" w:val="clear"/>
            <w:vAlign w:val="center"/>
          </w:tcPr>
          <w:p>
            <w:pPr>
              <w:pStyle w:val="TableContents"/>
              <w:spacing w:before="0" w:after="0"/>
              <w:ind w:left="0" w:right="0" w:hanging="0"/>
              <w:rPr/>
            </w:pPr>
            <w:r>
              <w:rPr/>
              <w:t> </w:t>
            </w:r>
          </w:p>
        </w:tc>
        <w:tc>
          <w:tcPr>
            <w:tcW w:w="151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c>
          <w:tcPr>
            <w:tcW w:w="185" w:type="dxa"/>
            <w:tcBorders/>
            <w:shd w:fill="CCEEFF" w:val="cle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69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46,098</w:t>
            </w:r>
          </w:p>
        </w:tc>
        <w:tc>
          <w:tcPr>
            <w:tcW w:w="60" w:type="dxa"/>
            <w:tcBorders/>
            <w:shd w:fill="CCEEFF" w:val="cle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186" w:type="dxa"/>
            <w:tcBorders/>
            <w:shd w:fill="CCEEFF" w:val="clear"/>
            <w:vAlign w:val="center"/>
          </w:tcPr>
          <w:p>
            <w:pPr>
              <w:pStyle w:val="TableContents"/>
              <w:spacing w:before="0" w:after="0"/>
              <w:ind w:left="0" w:right="0" w:hanging="0"/>
              <w:rPr/>
            </w:pPr>
            <w:r>
              <w:rPr/>
              <w:t> </w:t>
            </w:r>
          </w:p>
        </w:tc>
        <w:tc>
          <w:tcPr>
            <w:tcW w:w="151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37.1</w:t>
            </w:r>
          </w:p>
        </w:tc>
        <w:tc>
          <w:tcPr>
            <w:tcW w:w="185" w:type="dxa"/>
            <w:tcBorders/>
            <w:shd w:fill="CCEEFF" w:val="cle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54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2,006</w:t>
            </w:r>
          </w:p>
        </w:tc>
        <w:tc>
          <w:tcPr>
            <w:tcW w:w="80" w:type="dxa"/>
            <w:tcBorders/>
            <w:shd w:fill="CCEEFF" w:val="cle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44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245" w:type="dxa"/>
            <w:tcBorders/>
            <w:shd w:fill="CCEEFF" w:val="clear"/>
            <w:vAlign w:val="center"/>
          </w:tcPr>
          <w:p>
            <w:pPr>
              <w:pStyle w:val="TableContents"/>
              <w:spacing w:before="0" w:after="0"/>
              <w:ind w:left="0" w:right="0" w:hanging="0"/>
              <w:rPr/>
            </w:pPr>
            <w:r>
              <w:rPr/>
              <w:t> </w:t>
            </w:r>
          </w:p>
        </w:tc>
      </w:tr>
      <w:tr>
        <w:trPr/>
        <w:tc>
          <w:tcPr>
            <w:tcW w:w="1775"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3D Printing</w:t>
            </w:r>
          </w:p>
        </w:tc>
        <w:tc>
          <w:tcPr>
            <w:tcW w:w="6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695"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21,325</w:t>
            </w:r>
          </w:p>
        </w:tc>
        <w:tc>
          <w:tcPr>
            <w:tcW w:w="60"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186" w:type="dxa"/>
            <w:tcBorders/>
            <w:shd w:fill="FFFFFF" w:val="clear"/>
            <w:vAlign w:val="center"/>
          </w:tcPr>
          <w:p>
            <w:pPr>
              <w:pStyle w:val="TableContents"/>
              <w:spacing w:before="0" w:after="0"/>
              <w:ind w:left="0" w:right="0" w:hanging="0"/>
              <w:rPr/>
            </w:pPr>
            <w:r>
              <w:rPr/>
              <w:t> </w:t>
            </w:r>
          </w:p>
        </w:tc>
        <w:tc>
          <w:tcPr>
            <w:tcW w:w="1513"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185"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695"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19,672</w:t>
            </w:r>
          </w:p>
        </w:tc>
        <w:tc>
          <w:tcPr>
            <w:tcW w:w="60"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186" w:type="dxa"/>
            <w:tcBorders/>
            <w:shd w:fill="FFFFFF" w:val="clear"/>
            <w:vAlign w:val="center"/>
          </w:tcPr>
          <w:p>
            <w:pPr>
              <w:pStyle w:val="TableContents"/>
              <w:spacing w:before="0" w:after="0"/>
              <w:ind w:left="0" w:right="0" w:hanging="0"/>
              <w:rPr/>
            </w:pPr>
            <w:r>
              <w:rPr/>
              <w:t> </w:t>
            </w:r>
          </w:p>
        </w:tc>
        <w:tc>
          <w:tcPr>
            <w:tcW w:w="1513"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185"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545"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1,653</w:t>
            </w:r>
          </w:p>
        </w:tc>
        <w:tc>
          <w:tcPr>
            <w:tcW w:w="80"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440"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245" w:type="dxa"/>
            <w:tcBorders/>
            <w:shd w:fill="FFFFFF" w:val="clear"/>
            <w:vAlign w:val="center"/>
          </w:tcPr>
          <w:p>
            <w:pPr>
              <w:pStyle w:val="TableContents"/>
              <w:spacing w:before="0" w:after="0"/>
              <w:ind w:left="0" w:right="0" w:hanging="0"/>
              <w:rPr/>
            </w:pPr>
            <w:r>
              <w:rPr/>
              <w:t> </w:t>
            </w:r>
          </w:p>
        </w:tc>
      </w:tr>
      <w:tr>
        <w:trPr/>
        <w:tc>
          <w:tcPr>
            <w:tcW w:w="177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Sheet Metal</w:t>
            </w:r>
          </w:p>
        </w:tc>
        <w:tc>
          <w:tcPr>
            <w:tcW w:w="6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69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4,248</w:t>
            </w:r>
          </w:p>
        </w:tc>
        <w:tc>
          <w:tcPr>
            <w:tcW w:w="60" w:type="dxa"/>
            <w:tcBorders/>
            <w:shd w:fill="CCEEFF" w:val="cle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186" w:type="dxa"/>
            <w:tcBorders/>
            <w:shd w:fill="CCEEFF" w:val="clear"/>
            <w:vAlign w:val="center"/>
          </w:tcPr>
          <w:p>
            <w:pPr>
              <w:pStyle w:val="TableContents"/>
              <w:spacing w:before="0" w:after="0"/>
              <w:ind w:left="0" w:right="0" w:hanging="0"/>
              <w:rPr/>
            </w:pPr>
            <w:r>
              <w:rPr/>
              <w:t> </w:t>
            </w:r>
          </w:p>
        </w:tc>
        <w:tc>
          <w:tcPr>
            <w:tcW w:w="151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185" w:type="dxa"/>
            <w:tcBorders/>
            <w:shd w:fill="CCEEFF" w:val="cle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69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4,687</w:t>
            </w:r>
          </w:p>
        </w:tc>
        <w:tc>
          <w:tcPr>
            <w:tcW w:w="60" w:type="dxa"/>
            <w:tcBorders/>
            <w:shd w:fill="CCEEFF" w:val="cle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186" w:type="dxa"/>
            <w:tcBorders/>
            <w:shd w:fill="CCEEFF" w:val="clear"/>
            <w:vAlign w:val="center"/>
          </w:tcPr>
          <w:p>
            <w:pPr>
              <w:pStyle w:val="TableContents"/>
              <w:spacing w:before="0" w:after="0"/>
              <w:ind w:left="0" w:right="0" w:hanging="0"/>
              <w:rPr/>
            </w:pPr>
            <w:r>
              <w:rPr/>
              <w:t> </w:t>
            </w:r>
          </w:p>
        </w:tc>
        <w:tc>
          <w:tcPr>
            <w:tcW w:w="151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185" w:type="dxa"/>
            <w:tcBorders/>
            <w:shd w:fill="CCEEFF" w:val="cle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54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(439</w:t>
            </w:r>
          </w:p>
        </w:tc>
        <w:tc>
          <w:tcPr>
            <w:tcW w:w="8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44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24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775"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Revenue</w:t>
            </w:r>
          </w:p>
        </w:tc>
        <w:tc>
          <w:tcPr>
            <w:tcW w:w="6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color w:val="000000"/>
              </w:rPr>
            </w:pPr>
            <w:r>
              <w:rPr>
                <w:color w:val="000000"/>
              </w:rPr>
              <w:t> </w:t>
            </w:r>
          </w:p>
        </w:tc>
        <w:tc>
          <w:tcPr>
            <w:tcW w:w="695" w:type="dxa"/>
            <w:tcBorders/>
            <w:shd w:fill="FFFFFF" w:val="clear"/>
            <w:vAlign w:val="center"/>
          </w:tcPr>
          <w:p>
            <w:pPr>
              <w:pStyle w:val="TableContents"/>
              <w:spacing w:before="0" w:after="0"/>
              <w:ind w:left="0" w:right="0" w:hanging="0"/>
              <w:jc w:val="right"/>
              <w:rPr>
                <w:rFonts w:ascii="Times New Roman;Times;serif" w:hAnsi="Times New Roman;Times;serif"/>
                <w:color w:val="000000"/>
                <w:sz w:val="20"/>
              </w:rPr>
            </w:pPr>
            <w:r>
              <w:rPr>
                <w:rFonts w:ascii="Times New Roman;Times;serif" w:hAnsi="Times New Roman;Times;serif"/>
                <w:color w:val="000000"/>
                <w:sz w:val="20"/>
              </w:rPr>
              <w:t>234</w:t>
            </w:r>
          </w:p>
        </w:tc>
        <w:tc>
          <w:tcPr>
            <w:tcW w:w="60" w:type="dxa"/>
            <w:tcBorders/>
            <w:shd w:fill="FFFFFF" w:val="clear"/>
            <w:vAlign w:val="center"/>
          </w:tcPr>
          <w:p>
            <w:pPr>
              <w:pStyle w:val="TableContents"/>
              <w:spacing w:before="0" w:after="0"/>
              <w:ind w:left="0" w:right="0" w:hanging="0"/>
              <w:rPr>
                <w:color w:val="000000"/>
              </w:rPr>
            </w:pPr>
            <w:r>
              <w:rPr>
                <w:color w:val="000000"/>
              </w:rPr>
              <w:t> </w:t>
            </w:r>
          </w:p>
        </w:tc>
        <w:tc>
          <w:tcPr>
            <w:tcW w:w="60" w:type="dxa"/>
            <w:tcBorders/>
            <w:shd w:fill="FFFFFF" w:val="clear"/>
            <w:vAlign w:val="center"/>
          </w:tcPr>
          <w:p>
            <w:pPr>
              <w:pStyle w:val="TableContents"/>
              <w:spacing w:before="0" w:after="0"/>
              <w:ind w:left="0" w:right="0" w:hanging="0"/>
              <w:rPr/>
            </w:pPr>
            <w:r>
              <w:rPr/>
              <w:t> </w:t>
            </w:r>
          </w:p>
        </w:tc>
        <w:tc>
          <w:tcPr>
            <w:tcW w:w="186" w:type="dxa"/>
            <w:tcBorders/>
            <w:shd w:fill="FFFFFF" w:val="clear"/>
            <w:vAlign w:val="center"/>
          </w:tcPr>
          <w:p>
            <w:pPr>
              <w:pStyle w:val="TableContents"/>
              <w:spacing w:before="0" w:after="0"/>
              <w:ind w:left="0" w:right="0" w:hanging="0"/>
              <w:rPr>
                <w:color w:val="000000"/>
              </w:rPr>
            </w:pPr>
            <w:r>
              <w:rPr>
                <w:color w:val="000000"/>
              </w:rPr>
              <w:t> </w:t>
            </w:r>
          </w:p>
        </w:tc>
        <w:tc>
          <w:tcPr>
            <w:tcW w:w="1513" w:type="dxa"/>
            <w:tcBorders/>
            <w:shd w:fill="FFFFFF" w:val="clear"/>
            <w:vAlign w:val="center"/>
          </w:tcPr>
          <w:p>
            <w:pPr>
              <w:pStyle w:val="TableContents"/>
              <w:spacing w:before="0" w:after="0"/>
              <w:ind w:left="0" w:right="0" w:hanging="0"/>
              <w:jc w:val="right"/>
              <w:rPr>
                <w:rFonts w:ascii="Times New Roman;Times;serif" w:hAnsi="Times New Roman;Times;serif"/>
                <w:color w:val="000000"/>
                <w:sz w:val="20"/>
              </w:rPr>
            </w:pPr>
            <w:r>
              <w:rPr>
                <w:rFonts w:ascii="Times New Roman;Times;serif" w:hAnsi="Times New Roman;Times;serif"/>
                <w:color w:val="000000"/>
                <w:sz w:val="20"/>
              </w:rPr>
              <w:t>0.2</w:t>
            </w:r>
          </w:p>
        </w:tc>
        <w:tc>
          <w:tcPr>
            <w:tcW w:w="185" w:type="dxa"/>
            <w:tcBorders/>
            <w:shd w:fill="FFFFFF" w:val="clear"/>
            <w:vAlign w:val="center"/>
          </w:tcPr>
          <w:p>
            <w:pPr>
              <w:pStyle w:val="TableContents"/>
              <w:spacing w:before="0" w:after="0"/>
              <w:ind w:left="0" w:right="0" w:hanging="0"/>
              <w:rPr>
                <w:color w:val="000000"/>
              </w:rPr>
            </w:pPr>
            <w:r>
              <w:rPr>
                <w:color w:val="000000"/>
              </w:rPr>
              <w:t> </w:t>
            </w:r>
          </w:p>
        </w:tc>
        <w:tc>
          <w:tcPr>
            <w:tcW w:w="6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color w:val="000000"/>
              </w:rPr>
            </w:pPr>
            <w:r>
              <w:rPr>
                <w:color w:val="000000"/>
              </w:rPr>
              <w:t> </w:t>
            </w:r>
          </w:p>
        </w:tc>
        <w:tc>
          <w:tcPr>
            <w:tcW w:w="695" w:type="dxa"/>
            <w:tcBorders/>
            <w:shd w:fill="FFFFFF" w:val="clear"/>
            <w:vAlign w:val="center"/>
          </w:tcPr>
          <w:p>
            <w:pPr>
              <w:pStyle w:val="TableContents"/>
              <w:spacing w:before="0" w:after="0"/>
              <w:ind w:left="0" w:right="0" w:hanging="0"/>
              <w:jc w:val="right"/>
              <w:rPr>
                <w:rFonts w:ascii="Times New Roman;Times;serif" w:hAnsi="Times New Roman;Times;serif"/>
                <w:color w:val="000000"/>
                <w:sz w:val="20"/>
              </w:rPr>
            </w:pPr>
            <w:r>
              <w:rPr>
                <w:rFonts w:ascii="Times New Roman;Times;serif" w:hAnsi="Times New Roman;Times;serif"/>
                <w:color w:val="000000"/>
                <w:sz w:val="20"/>
              </w:rPr>
              <w:t>313</w:t>
            </w:r>
          </w:p>
        </w:tc>
        <w:tc>
          <w:tcPr>
            <w:tcW w:w="60" w:type="dxa"/>
            <w:tcBorders/>
            <w:shd w:fill="FFFFFF" w:val="clear"/>
            <w:vAlign w:val="center"/>
          </w:tcPr>
          <w:p>
            <w:pPr>
              <w:pStyle w:val="TableContents"/>
              <w:spacing w:before="0" w:after="0"/>
              <w:ind w:left="0" w:right="0" w:hanging="0"/>
              <w:rPr>
                <w:color w:val="000000"/>
              </w:rPr>
            </w:pPr>
            <w:r>
              <w:rPr>
                <w:color w:val="000000"/>
              </w:rPr>
              <w:t> </w:t>
            </w:r>
          </w:p>
        </w:tc>
        <w:tc>
          <w:tcPr>
            <w:tcW w:w="60" w:type="dxa"/>
            <w:tcBorders/>
            <w:shd w:fill="FFFFFF" w:val="clear"/>
            <w:vAlign w:val="center"/>
          </w:tcPr>
          <w:p>
            <w:pPr>
              <w:pStyle w:val="TableContents"/>
              <w:spacing w:before="0" w:after="0"/>
              <w:ind w:left="0" w:right="0" w:hanging="0"/>
              <w:rPr/>
            </w:pPr>
            <w:r>
              <w:rPr/>
              <w:t> </w:t>
            </w:r>
          </w:p>
        </w:tc>
        <w:tc>
          <w:tcPr>
            <w:tcW w:w="186" w:type="dxa"/>
            <w:tcBorders/>
            <w:shd w:fill="FFFFFF" w:val="clear"/>
            <w:vAlign w:val="center"/>
          </w:tcPr>
          <w:p>
            <w:pPr>
              <w:pStyle w:val="TableContents"/>
              <w:spacing w:before="0" w:after="0"/>
              <w:ind w:left="0" w:right="0" w:hanging="0"/>
              <w:rPr>
                <w:color w:val="000000"/>
              </w:rPr>
            </w:pPr>
            <w:r>
              <w:rPr>
                <w:color w:val="000000"/>
              </w:rPr>
              <w:t> </w:t>
            </w:r>
          </w:p>
        </w:tc>
        <w:tc>
          <w:tcPr>
            <w:tcW w:w="1513" w:type="dxa"/>
            <w:tcBorders/>
            <w:shd w:fill="FFFFFF" w:val="clear"/>
            <w:vAlign w:val="center"/>
          </w:tcPr>
          <w:p>
            <w:pPr>
              <w:pStyle w:val="TableContents"/>
              <w:spacing w:before="0" w:after="0"/>
              <w:ind w:left="0" w:right="0" w:hanging="0"/>
              <w:jc w:val="right"/>
              <w:rPr>
                <w:rFonts w:ascii="Times New Roman;Times;serif" w:hAnsi="Times New Roman;Times;serif"/>
                <w:color w:val="000000"/>
                <w:sz w:val="20"/>
              </w:rPr>
            </w:pPr>
            <w:r>
              <w:rPr>
                <w:rFonts w:ascii="Times New Roman;Times;serif" w:hAnsi="Times New Roman;Times;serif"/>
                <w:color w:val="000000"/>
                <w:sz w:val="20"/>
              </w:rPr>
              <w:t>0.3</w:t>
            </w:r>
          </w:p>
        </w:tc>
        <w:tc>
          <w:tcPr>
            <w:tcW w:w="185" w:type="dxa"/>
            <w:tcBorders/>
            <w:shd w:fill="FFFFFF" w:val="clear"/>
            <w:vAlign w:val="center"/>
          </w:tcPr>
          <w:p>
            <w:pPr>
              <w:pStyle w:val="TableContents"/>
              <w:spacing w:before="0" w:after="0"/>
              <w:ind w:left="0" w:right="0" w:hanging="0"/>
              <w:rPr>
                <w:color w:val="000000"/>
              </w:rPr>
            </w:pPr>
            <w:r>
              <w:rPr>
                <w:color w:val="000000"/>
              </w:rPr>
              <w:t> </w:t>
            </w:r>
          </w:p>
        </w:tc>
        <w:tc>
          <w:tcPr>
            <w:tcW w:w="6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color w:val="000000"/>
              </w:rPr>
            </w:pPr>
            <w:r>
              <w:rPr>
                <w:color w:val="000000"/>
              </w:rPr>
              <w:t> </w:t>
            </w:r>
          </w:p>
        </w:tc>
        <w:tc>
          <w:tcPr>
            <w:tcW w:w="545" w:type="dxa"/>
            <w:tcBorders/>
            <w:shd w:fill="FFFFFF" w:val="clear"/>
            <w:vAlign w:val="center"/>
          </w:tcPr>
          <w:p>
            <w:pPr>
              <w:pStyle w:val="TableContents"/>
              <w:spacing w:before="0" w:after="0"/>
              <w:ind w:left="0" w:right="0" w:hanging="0"/>
              <w:jc w:val="right"/>
              <w:rPr>
                <w:rFonts w:ascii="Times New Roman;Times;serif" w:hAnsi="Times New Roman;Times;serif"/>
                <w:color w:val="000000"/>
                <w:sz w:val="20"/>
              </w:rPr>
            </w:pPr>
            <w:r>
              <w:rPr>
                <w:rFonts w:ascii="Times New Roman;Times;serif" w:hAnsi="Times New Roman;Times;serif"/>
                <w:color w:val="000000"/>
                <w:sz w:val="20"/>
              </w:rPr>
              <w:t>(79</w:t>
            </w:r>
          </w:p>
        </w:tc>
        <w:tc>
          <w:tcPr>
            <w:tcW w:w="80" w:type="dxa"/>
            <w:tcBorders/>
            <w:shd w:fill="FFFFFF" w:val="clear"/>
            <w:vAlign w:val="center"/>
          </w:tcPr>
          <w:p>
            <w:pPr>
              <w:pStyle w:val="TableContents"/>
              <w:spacing w:before="0" w:after="0"/>
              <w:ind w:left="0" w:right="0" w:hanging="0"/>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color w:val="000000"/>
              </w:rPr>
            </w:pPr>
            <w:r>
              <w:rPr>
                <w:color w:val="000000"/>
              </w:rPr>
              <w:t> </w:t>
            </w:r>
          </w:p>
        </w:tc>
        <w:tc>
          <w:tcPr>
            <w:tcW w:w="440" w:type="dxa"/>
            <w:tcBorders/>
            <w:shd w:fill="FFFFFF" w:val="clear"/>
            <w:vAlign w:val="center"/>
          </w:tcPr>
          <w:p>
            <w:pPr>
              <w:pStyle w:val="TableContents"/>
              <w:spacing w:before="0" w:after="0"/>
              <w:ind w:left="0" w:right="0" w:hanging="0"/>
              <w:jc w:val="right"/>
              <w:rPr>
                <w:rFonts w:ascii="Times New Roman;Times;serif" w:hAnsi="Times New Roman;Times;serif"/>
                <w:color w:val="000000"/>
                <w:sz w:val="20"/>
              </w:rPr>
            </w:pPr>
            <w:r>
              <w:rPr>
                <w:rFonts w:ascii="Times New Roman;Times;serif" w:hAnsi="Times New Roman;Times;serif"/>
                <w:color w:val="000000"/>
                <w:sz w:val="20"/>
              </w:rPr>
              <w:t>(25.2</w:t>
            </w:r>
          </w:p>
        </w:tc>
        <w:tc>
          <w:tcPr>
            <w:tcW w:w="245" w:type="dxa"/>
            <w:tcBorders/>
            <w:shd w:fill="FFFFFF" w:val="clear"/>
            <w:vAlign w:val="center"/>
          </w:tcPr>
          <w:p>
            <w:pPr>
              <w:pStyle w:val="TableContents"/>
              <w:spacing w:before="0" w:after="0"/>
              <w:rPr>
                <w:rFonts w:ascii="Times New Roman;Times;serif" w:hAnsi="Times New Roman;Times;serif"/>
                <w:color w:val="000000"/>
                <w:sz w:val="20"/>
              </w:rPr>
            </w:pPr>
            <w:r>
              <w:rPr>
                <w:rFonts w:ascii="Times New Roman;Times;serif" w:hAnsi="Times New Roman;Times;serif"/>
                <w:color w:val="000000"/>
                <w:sz w:val="20"/>
              </w:rPr>
              <w:t>)</w:t>
            </w:r>
          </w:p>
        </w:tc>
      </w:tr>
      <w:tr>
        <w:trPr/>
        <w:tc>
          <w:tcPr>
            <w:tcW w:w="177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shd w:fill="CCEE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125,859</w:t>
            </w:r>
          </w:p>
        </w:tc>
        <w:tc>
          <w:tcPr>
            <w:tcW w:w="60" w:type="dxa"/>
            <w:tcBorders/>
            <w:shd w:fill="CCEEFF" w:val="clear"/>
            <w:vAlign w:val="center"/>
          </w:tcPr>
          <w:p>
            <w:pPr>
              <w:pStyle w:val="TableContents"/>
              <w:spacing w:before="0" w:after="283"/>
              <w:rPr>
                <w:color w:val="000000"/>
              </w:rPr>
            </w:pPr>
            <w:r>
              <w:rPr>
                <w:color w:val="000000"/>
              </w:rPr>
              <w:t> </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ind w:left="0" w:right="0" w:hanging="0"/>
              <w:rPr>
                <w:color w:val="000000"/>
              </w:rPr>
            </w:pPr>
            <w:r>
              <w:rPr>
                <w:color w:val="000000"/>
              </w:rPr>
              <w:t> </w:t>
            </w:r>
          </w:p>
        </w:tc>
        <w:tc>
          <w:tcPr>
            <w:tcW w:w="1513" w:type="dxa"/>
            <w:tcBorders/>
            <w:shd w:fill="CCEE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100.0</w:t>
            </w:r>
          </w:p>
        </w:tc>
        <w:tc>
          <w:tcPr>
            <w:tcW w:w="185" w:type="dxa"/>
            <w:tcBorders/>
            <w:shd w:fill="CCEEFF" w:val="clear"/>
            <w:vAlign w:val="center"/>
          </w:tcPr>
          <w:p>
            <w:pPr>
              <w:pStyle w:val="TableContents"/>
              <w:spacing w:before="0" w:after="283"/>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shd w:fill="CCEE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124,168</w:t>
            </w:r>
          </w:p>
        </w:tc>
        <w:tc>
          <w:tcPr>
            <w:tcW w:w="60" w:type="dxa"/>
            <w:tcBorders/>
            <w:shd w:fill="CCEEFF" w:val="clear"/>
            <w:vAlign w:val="center"/>
          </w:tcPr>
          <w:p>
            <w:pPr>
              <w:pStyle w:val="TableContents"/>
              <w:spacing w:before="0" w:after="283"/>
              <w:rPr>
                <w:color w:val="000000"/>
              </w:rPr>
            </w:pPr>
            <w:r>
              <w:rPr>
                <w:color w:val="000000"/>
              </w:rPr>
              <w:t> </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ind w:left="0" w:right="0" w:hanging="0"/>
              <w:rPr>
                <w:color w:val="000000"/>
              </w:rPr>
            </w:pPr>
            <w:r>
              <w:rPr>
                <w:color w:val="000000"/>
              </w:rPr>
              <w:t> </w:t>
            </w:r>
          </w:p>
        </w:tc>
        <w:tc>
          <w:tcPr>
            <w:tcW w:w="1513" w:type="dxa"/>
            <w:tcBorders/>
            <w:shd w:fill="CCEE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100.0</w:t>
            </w:r>
          </w:p>
        </w:tc>
        <w:tc>
          <w:tcPr>
            <w:tcW w:w="185" w:type="dxa"/>
            <w:tcBorders/>
            <w:shd w:fill="CCEEFF" w:val="clear"/>
            <w:vAlign w:val="center"/>
          </w:tcPr>
          <w:p>
            <w:pPr>
              <w:pStyle w:val="TableContents"/>
              <w:spacing w:before="0" w:after="283"/>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Times;serif" w:hAnsi="Times New Roman;Times;serif"/>
                <w:color w:val="000000"/>
                <w:sz w:val="20"/>
              </w:rPr>
            </w:pPr>
            <w:r>
              <w:rPr>
                <w:rFonts w:ascii="Times New Roman;Times;serif" w:hAnsi="Times New Roman;Times;serif"/>
                <w:color w:val="000000"/>
                <w:sz w:val="20"/>
              </w:rPr>
              <w:t>$</w:t>
            </w:r>
          </w:p>
        </w:tc>
        <w:tc>
          <w:tcPr>
            <w:tcW w:w="545" w:type="dxa"/>
            <w:tcBorders/>
            <w:shd w:fill="CCEE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1,691</w:t>
            </w:r>
          </w:p>
        </w:tc>
        <w:tc>
          <w:tcPr>
            <w:tcW w:w="80" w:type="dxa"/>
            <w:tcBorders/>
            <w:shd w:fill="CCEEFF" w:val="clear"/>
            <w:vAlign w:val="center"/>
          </w:tcPr>
          <w:p>
            <w:pPr>
              <w:pStyle w:val="TableContents"/>
              <w:spacing w:before="0" w:after="283"/>
              <w:rPr>
                <w:color w:val="000000"/>
              </w:rPr>
            </w:pPr>
            <w:r>
              <w:rPr>
                <w:color w:val="00000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color w:val="000000"/>
              </w:rPr>
            </w:pPr>
            <w:r>
              <w:rPr>
                <w:color w:val="000000"/>
              </w:rPr>
              <w:t> </w:t>
            </w:r>
          </w:p>
        </w:tc>
        <w:tc>
          <w:tcPr>
            <w:tcW w:w="440" w:type="dxa"/>
            <w:tcBorders/>
            <w:shd w:fill="CCEEFF" w:val="clear"/>
            <w:vAlign w:val="center"/>
          </w:tcPr>
          <w:p>
            <w:pPr>
              <w:pStyle w:val="TableContents"/>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1.4</w:t>
            </w:r>
          </w:p>
        </w:tc>
        <w:tc>
          <w:tcPr>
            <w:tcW w:w="245" w:type="dxa"/>
            <w:tcBorders/>
            <w:shd w:fill="CCEEFF" w:val="clear"/>
            <w:vAlign w:val="center"/>
          </w:tcPr>
          <w:p>
            <w:pPr>
              <w:pStyle w:val="TableContents"/>
              <w:spacing w:before="0" w:after="283"/>
              <w:rPr>
                <w:rFonts w:ascii="Times New Roman;Times;serif" w:hAnsi="Times New Roman;Times;serif"/>
                <w:color w:val="000000"/>
                <w:sz w:val="20"/>
              </w:rPr>
            </w:pPr>
            <w:r>
              <w:rPr>
                <w:rFonts w:ascii="Times New Roman;Times;serif" w:hAnsi="Times New Roman;Times;serif"/>
                <w:color w:val="000000"/>
                <w:sz w:val="20"/>
              </w:rPr>
              <w:t>%</w:t>
            </w:r>
          </w:p>
        </w:tc>
      </w:tr>
    </w:tbl>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By product line, our revenue increase was driven by a 4.4% increase in CNC Machining revenue and an 8.4% increase in 3D Printing revenue, which was partially offset by a 2.7% decrease in Injection Molding revenue, a 9.4% decrease in Sheet Metal revenue and a 25.2% decrease in Other Revenue, in each case for the three months ended March 31, 2023 compared to the same period in 2022.</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Cost of Revenue, Gross Profit and Gross Margin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Cost of Revenue. </w:t>
      </w:r>
      <w:r>
        <w:rPr>
          <w:rFonts w:ascii="Times New Roman;Times;serif" w:hAnsi="Times New Roman;Times;serif"/>
          <w:sz w:val="20"/>
        </w:rPr>
        <w:t>Cost of revenue increased $3.7 million, or 5.4%, for the three months ended March 31, 2023 compared to the same period in 2022, which was higher than the rate of revenue increase of 1.4% for the three months ended March 31, 2023 compared to the same period in 2022. Cost of revenue decreased $1.9 million in our digital manufacturing business, which was driven by decreases in overtime and contract labor expense and led to lower personnel and related costs of $2.1 million, and an increase in raw material and product costs of $0.2 million. Hubs provided a $5.6 million increase in cost of revenue due to higher revenue volume for the three months ended March 31, 2023 compared to the same period in 2022.</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Gross Profit and Gross Margin. </w:t>
      </w:r>
      <w:r>
        <w:rPr>
          <w:rFonts w:ascii="Times New Roman;Times;serif" w:hAnsi="Times New Roman;Times;serif"/>
          <w:sz w:val="20"/>
        </w:rPr>
        <w:t>Gross profit decreased from $55.8 million in the three months ended March 31, 2022 to $53.8 million in the three months ended March 31, 2023. Gross margin decreased from 44.9% in the three months ended March 31, 2022 to 42.7% in the three months ended March 31, 2023.</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i/>
          <w:sz w:val="20"/>
        </w:rPr>
      </w:pPr>
      <w:r>
        <w:rPr>
          <w:rFonts w:ascii="Times New Roman;Times;serif" w:hAnsi="Times New Roman;Times;serif"/>
          <w:i/>
          <w:sz w:val="20"/>
        </w:rPr>
        <w:t>Operating Expenses, Other Income (Loss), net and Provision for Income Taxes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Marketing and Sales. </w:t>
      </w:r>
      <w:r>
        <w:rPr>
          <w:rFonts w:ascii="Times New Roman;Times;serif" w:hAnsi="Times New Roman;Times;serif"/>
          <w:sz w:val="20"/>
        </w:rPr>
        <w:t>Marketing and sales expenses increased $1.9 million, or 9.1%, during the three months ended March 31, 2023 compared to the same period in 2022. The increase was driven by marketing program cost increases in our digital manufacturing business of $0.2 million and increases in Hubs' marketing and sales expenses of $1.7 million during the three months ended March 31, 2023 when compared to the same period in 2022.</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Research and Development. </w:t>
      </w:r>
      <w:r>
        <w:rPr>
          <w:rFonts w:ascii="Times New Roman;Times;serif" w:hAnsi="Times New Roman;Times;serif"/>
          <w:sz w:val="20"/>
        </w:rPr>
        <w:t>Our research and development expenses increased $0.1 million, or 1.1%, during the three months ended March 31, 2023 compared to the same period in 2022 primarily due to increases of $0.7 million in Hubs' research and development expenses, which were partially offset by personnel and related cost decreases of $0.2 million and decreases in professional services and other operating costs of  $0.4 million in our digital manufacturing business.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General and Administrative. </w:t>
      </w:r>
      <w:r>
        <w:rPr>
          <w:rFonts w:ascii="Times New Roman;Times;serif" w:hAnsi="Times New Roman;Times;serif"/>
          <w:sz w:val="20"/>
        </w:rPr>
        <w:t>Our general and administrative expenses increased $0.1 million, or 0.4%, during the three months ended March 31, 2023 compared to the same period in 2022 primarily due to an increase of $0.3 million in personnel and related costs, an increase of professional services of $0.4 million, an increase in stock based compensation costs of $0.1 million, which were partially offset by a decrease of $0.5 million in administrative costs and decreases of $0.2 million in Hubs' general and administrative expenses.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color w:val="000000"/>
          <w:sz w:val="20"/>
        </w:rPr>
      </w:pPr>
      <w:r>
        <w:rPr>
          <w:rFonts w:ascii="Times New Roman;Times;serif" w:hAnsi="Times New Roman;Times;serif"/>
          <w:i/>
          <w:color w:val="000000"/>
          <w:sz w:val="20"/>
        </w:rPr>
        <w:t>Closure of Japan business.</w:t>
      </w:r>
      <w:r>
        <w:rPr>
          <w:rFonts w:ascii="Times New Roman;Times;serif" w:hAnsi="Times New Roman;Times;serif"/>
          <w:color w:val="000000"/>
          <w:sz w:val="20"/>
        </w:rPr>
        <w:t> Our decision to close our Japan business resulted in $0.1 million in operating expenses during the three months ended March 31, 2023. We had no expenses related to the closure of our Japan business in the three months ended March 31, 2022.</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Other income (loss), net. </w:t>
      </w:r>
      <w:r>
        <w:rPr>
          <w:rFonts w:ascii="Times New Roman;Times;serif" w:hAnsi="Times New Roman;Times;serif"/>
          <w:sz w:val="20"/>
        </w:rPr>
        <w:t>We recognized other income, net of $1.3 million for the three months ended March 31, 2023, an increase of $1.6 million compared to other loss, net of $0.3 million for the three months ended March 31, 2022. Other income, net for the three months ended March 31, 2023 primarily consisted of a $0.1 million gain on foreign currency and $1.2 million in interest income on investments and other income. Other income, net for the three months ended March 31, 2022 primarily consisted of a $0.3 million loss on foreign currency.</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Provision for Income Taxes. </w:t>
      </w:r>
      <w:r>
        <w:rPr>
          <w:rFonts w:ascii="Times New Roman;Times;serif" w:hAnsi="Times New Roman;Times;serif"/>
          <w:sz w:val="20"/>
        </w:rPr>
        <w:t>Our effective tax rate of 47.2% for the three months ended March 31, 2023 increased 14.3% compared to 32.9% for the same period in 2022. The increase in the effective tax rate is primarily due to a decrease in tax benefits from the vesting of restricted stock, the cancellation of performance stock units and the exercise of stock options, as well as an increase in the rate impact of losses in jurisdictions that are not eligible for tax benefits due to valuation allowances. Our income tax provision of $2.4 million for the three months ended March 31, 2023 decreased $0.1 million compared to our income tax provision of $2.5 million for the three months ended March 31, 2022.</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i/>
          <w:sz w:val="20"/>
        </w:rPr>
      </w:pPr>
      <w:r>
        <w:rPr>
          <w:rFonts w:ascii="Times New Roman;Times;serif" w:hAnsi="Times New Roman;Times;serif"/>
          <w:b/>
          <w:i/>
          <w:sz w:val="20"/>
        </w:rPr>
        <w:t>Liquidity and Capital Resources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i/>
          <w:sz w:val="20"/>
        </w:rPr>
      </w:pPr>
      <w:r>
        <w:rPr>
          <w:rFonts w:ascii="Times New Roman;Times;serif" w:hAnsi="Times New Roman;Times;serif"/>
          <w:i/>
          <w:sz w:val="20"/>
        </w:rPr>
        <w:t>Cash Flows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our cash flows during the three months ended March 31, 2023 and 2022:</w:t>
      </w:r>
    </w:p>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tbl>
      <w:tblPr>
        <w:tblW w:w="7199" w:type="dxa"/>
        <w:jc w:val="left"/>
        <w:tblInd w:w="0" w:type="dxa"/>
        <w:tblCellMar>
          <w:top w:w="0" w:type="dxa"/>
          <w:left w:w="0" w:type="dxa"/>
          <w:bottom w:w="0" w:type="dxa"/>
          <w:right w:w="0" w:type="dxa"/>
        </w:tblCellMar>
      </w:tblPr>
      <w:tblGrid>
        <w:gridCol w:w="4355"/>
        <w:gridCol w:w="60"/>
        <w:gridCol w:w="200"/>
        <w:gridCol w:w="1040"/>
        <w:gridCol w:w="128"/>
        <w:gridCol w:w="96"/>
        <w:gridCol w:w="200"/>
        <w:gridCol w:w="1040"/>
        <w:gridCol w:w="80"/>
      </w:tblGrid>
      <w:tr>
        <w:trPr/>
        <w:tc>
          <w:tcPr>
            <w:tcW w:w="43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704"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w:t>
            </w:r>
          </w:p>
        </w:tc>
        <w:tc>
          <w:tcPr>
            <w:tcW w:w="8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r>
      <w:tr>
        <w:trPr/>
        <w:tc>
          <w:tcPr>
            <w:tcW w:w="4355"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(dollars in thousands)</w:t>
            </w:r>
          </w:p>
        </w:tc>
        <w:tc>
          <w:tcPr>
            <w:tcW w:w="60" w:type="dxa"/>
            <w:tcBorders/>
            <w:shd w:fill="FFFFFF" w:val="clear"/>
            <w:vAlign w:val="center"/>
          </w:tcPr>
          <w:p>
            <w:pPr>
              <w:pStyle w:val="TableContents"/>
              <w:spacing w:before="0" w:after="0"/>
              <w:ind w:left="0" w:right="0" w:hanging="0"/>
              <w:rPr/>
            </w:pPr>
            <w:r>
              <w:rPr/>
              <w:t> </w:t>
            </w:r>
          </w:p>
        </w:tc>
        <w:tc>
          <w:tcPr>
            <w:tcW w:w="124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28"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96" w:type="dxa"/>
            <w:tcBorders/>
            <w:shd w:fill="FFFFFF" w:val="clear"/>
            <w:vAlign w:val="center"/>
          </w:tcPr>
          <w:p>
            <w:pPr>
              <w:pStyle w:val="TableContents"/>
              <w:spacing w:before="0" w:after="0"/>
              <w:ind w:left="0" w:right="0" w:hanging="0"/>
              <w:rPr/>
            </w:pPr>
            <w:r>
              <w:rPr/>
              <w:t> </w:t>
            </w:r>
          </w:p>
        </w:tc>
        <w:tc>
          <w:tcPr>
            <w:tcW w:w="124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80" w:type="dxa"/>
            <w:tcBorders>
              <w:bottom w:val="single" w:sz="2" w:space="0" w:color="000000"/>
            </w:tcBorders>
            <w:shd w:fill="FFFFFF" w:val="clear"/>
            <w:tcMar>
              <w:bottom w:w="28" w:type="dxa"/>
            </w:tcMar>
            <w:vAlign w:val="center"/>
          </w:tcPr>
          <w:p>
            <w:pPr>
              <w:pStyle w:val="TableContents"/>
              <w:spacing w:before="0" w:after="0"/>
              <w:rPr/>
            </w:pPr>
            <w:r>
              <w:rPr/>
              <w:t> </w:t>
            </w:r>
          </w:p>
        </w:tc>
      </w:tr>
      <w:tr>
        <w:trPr/>
        <w:tc>
          <w:tcPr>
            <w:tcW w:w="435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 operating activities</w:t>
            </w:r>
          </w:p>
        </w:tc>
        <w:tc>
          <w:tcPr>
            <w:tcW w:w="60" w:type="dxa"/>
            <w:tcBorders/>
            <w:shd w:fill="CCEEFF" w:val="clear"/>
            <w:vAlign w:val="center"/>
          </w:tcPr>
          <w:p>
            <w:pPr>
              <w:pStyle w:val="TableContents"/>
              <w:spacing w:before="0" w:after="283"/>
              <w:ind w:left="0" w:right="0" w:hanging="0"/>
              <w:rPr/>
            </w:pPr>
            <w:r>
              <w:rPr/>
              <w:t> </w:t>
            </w:r>
          </w:p>
        </w:tc>
        <w:tc>
          <w:tcPr>
            <w:tcW w:w="200"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22,578</w:t>
            </w:r>
          </w:p>
        </w:tc>
        <w:tc>
          <w:tcPr>
            <w:tcW w:w="128" w:type="dxa"/>
            <w:tcBorders/>
            <w:shd w:fill="CCEEFF" w:val="clear"/>
            <w:vAlign w:val="center"/>
          </w:tcPr>
          <w:p>
            <w:pPr>
              <w:pStyle w:val="TableContents"/>
              <w:spacing w:before="0" w:after="283"/>
              <w:rPr/>
            </w:pPr>
            <w:r>
              <w:rPr/>
              <w:t> </w:t>
            </w:r>
          </w:p>
        </w:tc>
        <w:tc>
          <w:tcPr>
            <w:tcW w:w="96" w:type="dxa"/>
            <w:tcBorders/>
            <w:shd w:fill="CCEEFF" w:val="clear"/>
            <w:vAlign w:val="center"/>
          </w:tcPr>
          <w:p>
            <w:pPr>
              <w:pStyle w:val="TableContents"/>
              <w:spacing w:before="0" w:after="283"/>
              <w:ind w:left="0" w:right="0" w:hanging="0"/>
              <w:rPr/>
            </w:pPr>
            <w:r>
              <w:rPr/>
              <w:t> </w:t>
            </w:r>
          </w:p>
        </w:tc>
        <w:tc>
          <w:tcPr>
            <w:tcW w:w="200"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17,783</w:t>
            </w:r>
          </w:p>
        </w:tc>
        <w:tc>
          <w:tcPr>
            <w:tcW w:w="80" w:type="dxa"/>
            <w:tcBorders/>
            <w:shd w:fill="CCEEFF" w:val="clear"/>
            <w:vAlign w:val="center"/>
          </w:tcPr>
          <w:p>
            <w:pPr>
              <w:pStyle w:val="TableContents"/>
              <w:spacing w:before="0" w:after="283"/>
              <w:rPr/>
            </w:pPr>
            <w:r>
              <w:rPr/>
              <w:t> </w:t>
            </w:r>
          </w:p>
        </w:tc>
      </w:tr>
      <w:tr>
        <w:trPr/>
        <w:tc>
          <w:tcPr>
            <w:tcW w:w="4355"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 (used in) investing activities</w:t>
            </w:r>
          </w:p>
        </w:tc>
        <w:tc>
          <w:tcPr>
            <w:tcW w:w="60"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ind w:left="0" w:right="0" w:hanging="0"/>
              <w:rPr/>
            </w:pPr>
            <w:r>
              <w:rPr/>
              <w:t> </w:t>
            </w:r>
          </w:p>
        </w:tc>
        <w:tc>
          <w:tcPr>
            <w:tcW w:w="1040"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4,383</w:t>
            </w:r>
          </w:p>
        </w:tc>
        <w:tc>
          <w:tcPr>
            <w:tcW w:w="128" w:type="dxa"/>
            <w:tcBorders/>
            <w:shd w:fill="FFFFFF" w:val="clear"/>
            <w:vAlign w:val="center"/>
          </w:tcPr>
          <w:p>
            <w:pPr>
              <w:pStyle w:val="TableContents"/>
              <w:spacing w:before="0" w:after="283"/>
              <w:rPr/>
            </w:pPr>
            <w:r>
              <w:rPr/>
              <w:t> </w:t>
            </w:r>
          </w:p>
        </w:tc>
        <w:tc>
          <w:tcPr>
            <w:tcW w:w="96"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ind w:left="0" w:right="0" w:hanging="0"/>
              <w:rPr/>
            </w:pPr>
            <w:r>
              <w:rPr/>
              <w:t> </w:t>
            </w:r>
          </w:p>
        </w:tc>
        <w:tc>
          <w:tcPr>
            <w:tcW w:w="1040"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(25,835</w:t>
            </w:r>
          </w:p>
        </w:tc>
        <w:tc>
          <w:tcPr>
            <w:tcW w:w="8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435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financing activities</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ind w:left="0" w:right="0" w:hanging="0"/>
              <w:rPr/>
            </w:pPr>
            <w:r>
              <w:rPr/>
              <w:t> </w:t>
            </w:r>
          </w:p>
        </w:tc>
        <w:tc>
          <w:tcPr>
            <w:tcW w:w="104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(21,602</w:t>
            </w:r>
          </w:p>
        </w:tc>
        <w:tc>
          <w:tcPr>
            <w:tcW w:w="128"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96"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ind w:left="0" w:right="0" w:hanging="0"/>
              <w:rPr/>
            </w:pPr>
            <w:r>
              <w:rPr/>
              <w:t> </w:t>
            </w:r>
          </w:p>
        </w:tc>
        <w:tc>
          <w:tcPr>
            <w:tcW w:w="104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(601</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4355"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Effect of exchange rates on cash and cash equivalents</w:t>
            </w:r>
          </w:p>
        </w:tc>
        <w:tc>
          <w:tcPr>
            <w:tcW w:w="60"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ind w:left="0" w:right="0" w:hanging="0"/>
              <w:rPr>
                <w:color w:val="000000"/>
              </w:rPr>
            </w:pPr>
            <w:r>
              <w:rPr>
                <w:color w:val="000000"/>
              </w:rPr>
              <w:t> </w:t>
            </w:r>
          </w:p>
        </w:tc>
        <w:tc>
          <w:tcPr>
            <w:tcW w:w="104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128" w:type="dxa"/>
            <w:tcBorders/>
            <w:shd w:fill="FFFFFF" w:val="clear"/>
            <w:vAlign w:val="center"/>
          </w:tcPr>
          <w:p>
            <w:pPr>
              <w:pStyle w:val="TableContents"/>
              <w:spacing w:before="0" w:after="283"/>
              <w:rPr>
                <w:color w:val="000000"/>
              </w:rPr>
            </w:pPr>
            <w:r>
              <w:rPr>
                <w:color w:val="000000"/>
              </w:rPr>
              <w:t> </w:t>
            </w:r>
          </w:p>
        </w:tc>
        <w:tc>
          <w:tcPr>
            <w:tcW w:w="96"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ind w:left="0" w:right="0" w:hanging="0"/>
              <w:rPr>
                <w:color w:val="000000"/>
              </w:rPr>
            </w:pPr>
            <w:r>
              <w:rPr>
                <w:color w:val="000000"/>
              </w:rPr>
              <w:t> </w:t>
            </w:r>
          </w:p>
        </w:tc>
        <w:tc>
          <w:tcPr>
            <w:tcW w:w="104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80" w:type="dxa"/>
            <w:tcBorders/>
            <w:shd w:fill="FFFFFF" w:val="clear"/>
            <w:vAlign w:val="center"/>
          </w:tcPr>
          <w:p>
            <w:pPr>
              <w:pStyle w:val="TableContents"/>
              <w:spacing w:before="0" w:after="283"/>
              <w:rPr>
                <w:rFonts w:ascii="Times New Roman;Times;serif" w:hAnsi="Times New Roman;Times;serif"/>
                <w:color w:val="000000"/>
                <w:sz w:val="20"/>
              </w:rPr>
            </w:pPr>
            <w:r>
              <w:rPr>
                <w:rFonts w:ascii="Times New Roman;Times;serif" w:hAnsi="Times New Roman;Times;serif"/>
                <w:color w:val="000000"/>
                <w:sz w:val="20"/>
              </w:rPr>
              <w:t>)</w:t>
            </w:r>
          </w:p>
        </w:tc>
      </w:tr>
      <w:tr>
        <w:trPr/>
        <w:tc>
          <w:tcPr>
            <w:tcW w:w="435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increase (decrease) in cash and cash equivalents</w:t>
            </w:r>
          </w:p>
        </w:tc>
        <w:tc>
          <w:tcPr>
            <w:tcW w:w="60" w:type="dxa"/>
            <w:tcBorders/>
            <w:shd w:fill="CCEEFF" w:val="clear"/>
            <w:vAlign w:val="center"/>
          </w:tcPr>
          <w:p>
            <w:pPr>
              <w:pStyle w:val="TableContents"/>
              <w:spacing w:before="0" w:after="283"/>
              <w:ind w:left="0" w:right="0" w:hanging="0"/>
              <w:rPr/>
            </w:pPr>
            <w:r>
              <w:rPr/>
              <w:t> </w:t>
            </w:r>
          </w:p>
        </w:tc>
        <w:tc>
          <w:tcPr>
            <w:tcW w:w="200" w:type="dxa"/>
            <w:tcBorders/>
            <w:shd w:fill="CCEEFF" w:val="clear"/>
            <w:vAlign w:val="center"/>
          </w:tcPr>
          <w:p>
            <w:pPr>
              <w:pStyle w:val="TableContents"/>
              <w:spacing w:before="0" w:after="283"/>
              <w:ind w:left="0" w:right="0" w:hanging="0"/>
              <w:rPr>
                <w:rFonts w:ascii="Times New Roman;Times;serif" w:hAnsi="Times New Roman;Times;serif"/>
                <w:color w:val="000000"/>
                <w:sz w:val="20"/>
              </w:rPr>
            </w:pPr>
            <w:r>
              <w:rPr>
                <w:rFonts w:ascii="Times New Roman;Times;serif" w:hAnsi="Times New Roman;Times;serif"/>
                <w:color w:val="000000"/>
                <w:sz w:val="20"/>
              </w:rPr>
              <w:t>$</w:t>
            </w:r>
          </w:p>
        </w:tc>
        <w:tc>
          <w:tcPr>
            <w:tcW w:w="104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5,493</w:t>
            </w:r>
          </w:p>
        </w:tc>
        <w:tc>
          <w:tcPr>
            <w:tcW w:w="128" w:type="dxa"/>
            <w:tcBorders/>
            <w:shd w:fill="CCEEFF" w:val="clear"/>
            <w:vAlign w:val="center"/>
          </w:tcPr>
          <w:p>
            <w:pPr>
              <w:pStyle w:val="TableContents"/>
              <w:spacing w:before="0" w:after="283"/>
              <w:rPr>
                <w:color w:val="000000"/>
              </w:rPr>
            </w:pPr>
            <w:r>
              <w:rPr>
                <w:color w:val="000000"/>
              </w:rPr>
              <w:t> </w:t>
            </w:r>
          </w:p>
        </w:tc>
        <w:tc>
          <w:tcPr>
            <w:tcW w:w="96" w:type="dxa"/>
            <w:tcBorders/>
            <w:shd w:fill="CCEEFF" w:val="clear"/>
            <w:vAlign w:val="center"/>
          </w:tcPr>
          <w:p>
            <w:pPr>
              <w:pStyle w:val="TableContents"/>
              <w:spacing w:before="0" w:after="283"/>
              <w:ind w:left="0" w:right="0" w:hanging="0"/>
              <w:rPr/>
            </w:pPr>
            <w:r>
              <w:rPr/>
              <w:t> </w:t>
            </w:r>
          </w:p>
        </w:tc>
        <w:tc>
          <w:tcPr>
            <w:tcW w:w="200" w:type="dxa"/>
            <w:tcBorders/>
            <w:shd w:fill="CCEEFF" w:val="clear"/>
            <w:vAlign w:val="center"/>
          </w:tcPr>
          <w:p>
            <w:pPr>
              <w:pStyle w:val="TableContents"/>
              <w:spacing w:before="0" w:after="283"/>
              <w:ind w:left="0" w:right="0" w:hanging="0"/>
              <w:rPr>
                <w:rFonts w:ascii="Times New Roman;Times;serif" w:hAnsi="Times New Roman;Times;serif"/>
                <w:color w:val="000000"/>
                <w:sz w:val="20"/>
              </w:rPr>
            </w:pPr>
            <w:r>
              <w:rPr>
                <w:rFonts w:ascii="Times New Roman;Times;serif" w:hAnsi="Times New Roman;Times;serif"/>
                <w:color w:val="000000"/>
                <w:sz w:val="20"/>
              </w:rPr>
              <w:t>$</w:t>
            </w:r>
          </w:p>
        </w:tc>
        <w:tc>
          <w:tcPr>
            <w:tcW w:w="104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(8,690</w:t>
            </w:r>
          </w:p>
        </w:tc>
        <w:tc>
          <w:tcPr>
            <w:tcW w:w="80" w:type="dxa"/>
            <w:tcBorders/>
            <w:shd w:fill="CCEEFF" w:val="clear"/>
            <w:vAlign w:val="center"/>
          </w:tcPr>
          <w:p>
            <w:pPr>
              <w:pStyle w:val="TableContents"/>
              <w:spacing w:before="0" w:after="283"/>
              <w:rPr>
                <w:rFonts w:ascii="Times New Roman;Times;serif" w:hAnsi="Times New Roman;Times;serif"/>
                <w:color w:val="000000"/>
                <w:sz w:val="20"/>
              </w:rPr>
            </w:pPr>
            <w:r>
              <w:rPr>
                <w:rFonts w:ascii="Times New Roman;Times;serif" w:hAnsi="Times New Roman;Times;serif"/>
                <w:color w:val="000000"/>
                <w:sz w:val="20"/>
              </w:rPr>
              <w:t>)</w:t>
            </w:r>
          </w:p>
        </w:tc>
      </w:tr>
    </w:tbl>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i/>
          <w:sz w:val="20"/>
        </w:rPr>
      </w:pPr>
      <w:r>
        <w:rPr>
          <w:rFonts w:ascii="Times New Roman;Times;serif" w:hAnsi="Times New Roman;Times;serif"/>
          <w:i/>
          <w:sz w:val="20"/>
        </w:rPr>
        <w:t>Sources of Liquidity</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Historically, we have primarily financed our operations and capital expenditures through cash flow from operations. We had cash and cash equivalents of $62.1 million as of March 31, 2023, an increase of $5.5 million from December 31, 2022. The increase in our cash was primarily due to cash provided by operating activities of $22.6 million and proceeds from call redemptions and maturities of marketable securities of $7.7 million, which were partially offset by $3.4 million for purchases of property, equipment and other capital assets, and $21.1 million in repurchases of common stock.</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We believe that our existing cash and cash equivalents together with cash generated from operations will be sufficient to meet our working capital and capital expenditure requirements for at least the next 12 months.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i/>
          <w:sz w:val="20"/>
        </w:rPr>
      </w:pPr>
      <w:r>
        <w:rPr>
          <w:rFonts w:ascii="Times New Roman;Times;serif" w:hAnsi="Times New Roman;Times;serif"/>
          <w:i/>
          <w:sz w:val="20"/>
        </w:rPr>
        <w:t>Cash Flows from Operating Activities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 were $22.6 million during the three months ended March 31, 2023 and primarily consisted of net income of $2.7 million, adjusted for certain non-cash items, including depreciation and amortization of $9.4 million, stock-based compensation expense of $3.7 million, interest on finance lease obligations of $0.3 million and changes in operating assets and liabilities and other items totaling $9.6 million, which were partially offset by deferred taxes of $3.1 million. Cash flows from operating activities were $17.8 million during the three months ended March 31, 2022 and primarily consisted of net income of $5.1 million, adjusted for certain non-cash items, including depreciation and amortization of $10.2 million and stock-based compensation expense of $4.4 million, which were partially offset by changes in operating assets and liabilities and other items totaling $1.9 million.</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 increased $4.8 million during the three months ended March 31, 2023 compared to the same period in 2022, primarily due to increases in interest on finance lease obligations of $0.3 million and changes in operating assets and liabilities totaling $8.4 million, which were partially offset by decreases in net income of $2.4 million, stock-based compensation of $0.7 million, and depreciation and amortization of $0.8 million.</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i/>
          <w:sz w:val="20"/>
        </w:rPr>
      </w:pPr>
      <w:r>
        <w:rPr>
          <w:rFonts w:ascii="Times New Roman;Times;serif" w:hAnsi="Times New Roman;Times;serif"/>
          <w:i/>
          <w:sz w:val="20"/>
        </w:rPr>
        <w:t>Cash Flows from Investing Activities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Cash provided by investing activities was $4.4 million during the three months ended March 31, 2023, consisting of $7.7 million in proceeds from call redemptions and maturities of marketable securities, which were partially offset by $3.3 million for net purchases of property, equipment and other capital assets.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Cash used in investing activities was $25.8 million during the three months ended March 31, 2022, consisting of $22.7 million for net purchases of marketable securities and $3.1 million for the purchases of property, equipment and other capital assets.</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i/>
          <w:sz w:val="20"/>
        </w:rPr>
      </w:pPr>
      <w:r>
        <w:rPr>
          <w:rFonts w:ascii="Times New Roman;Times;serif" w:hAnsi="Times New Roman;Times;serif"/>
          <w:i/>
          <w:sz w:val="20"/>
        </w:rPr>
        <w:t>Cash Flows from Financing Activities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Cash used in financing activities was $21.6 million during the three months ended March 31, 2023, consisting of $21.1 million in repurchases of common stock, $0.4 million in purchases of shares withheld for tax obligations associated with equity transactions, and $0.1 million for repayments of finance lease obligations.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Cash used in financing activities was $0.6 million during the three months ended March 31, 2022, consisting of $0.5 million in purchases of shares withheld for tax obligations associated with equity transactions, and $0.1 million for repayments of finance lease obligations.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We have adopted various accounting policies to prepare the Consolidated Financial Statements in accordance with accounting principles generally accepted in the United States of America (U.S. GAAP). The preparation of these financial statements requires us to make estimates, judgements and assumptions. Our significant accounting policies and estimates are disclosed in Note 2 to the Consolidated Financial Statements included Pat II, Item 8 in our Annual Report on Form 10-K for the year ended December 31, 2022. There were no material changes to our critical accounting policies and estimates during the three months ended March 31, 2023.</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For information on recent accounting pronouncements, see Note 2 to the Consolidated Financial Statements appearing in Part I, Item 1 in this Quarterly Report on Form 10-Q.</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bookmarkStart w:id="5" w:name="i3"/>
      <w:bookmarkEnd w:id="5"/>
      <w:r>
        <w:rPr>
          <w:rFonts w:ascii="Times New Roman;Times;serif" w:hAnsi="Times New Roman;Times;serif"/>
          <w:b/>
          <w:sz w:val="20"/>
        </w:rPr>
        <w:t>Item 3. Quantitative and Qualitative Disclosures about Market Risk</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Foreign Currency Risk</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As a result of our foreign operations, we have revenue, expenses, assets and liabilities that are denominated in foreign currencies. We generate revenue and incur production costs and operating expenses in British Pounds, Euros and Japanese Yen.</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Our operating results and cash flows are adversely impacted when the United States Dollar appreciates relative to foreign currencies. Additionally, our operating results and cash flows are adversely impacted when the British Pound appreciates relative to the Euro. As we expand internationally, our results of operations and cash flows will become increasingly subject to changes in foreign currency exchange rates.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We have not used forward contracts or currency borrowings to hedge our exposure to foreign currency risk. Foreign currency risk can be assessed by estimating the change in results of operations or financial position resulting from a hypothetical 10% adverse change in foreign exchange rates. We believe such a change would generally not have a material impact on our financial position, but could have a material impact on our results of operations. We recognized foreign currency gains of $0.1 million and foreign currency losses of $0.3 million during the three months ended March 31, 2023 and 2022, respectively.  The changes in foreign exchange rates had a negative impact on consolidated revenue of $2.5 million for the three months ended March 31, 2023 as compared to the same period in 2022.</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bookmarkStart w:id="6" w:name="i4"/>
      <w:bookmarkEnd w:id="6"/>
      <w:r>
        <w:rPr>
          <w:rFonts w:ascii="Times New Roman;Times;serif" w:hAnsi="Times New Roman;Times;serif"/>
          <w:b/>
          <w:sz w:val="20"/>
        </w:rPr>
        <w:t>Item 4. Controls and Procedures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has evaluated the effectiveness of the design and operation of our disclosure controls and procedures (as defined in Rule 13a-15(e) under the Securities Exchange Act of 1934 (Exchange Act)) as of the end of the period covered by this report. Based upon that evaluation, the Chief Executive Officer and Chief Financial Officer have concluded that, as of the end of the period covered by this quarterly report, our disclosure controls and procedures are effective and provide reasonable assurance that information required to be disclosed by us in the reports that we file or submit under the Exchange Act is recorded, processed, summarized and reported accurately and within the time frames specified in the SEC’s rules and forms and accumulated and communicated to our management, including our Chief Executive Officer and Chief Financial Officer, as appropriate to allow timely decisions regarding required disclosure.</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There have been no changes in our internal control over financial reporting (as such term is defined in Rule 13a-15(f) under the Exchange Act) during the period covered by this report that have materially affected, or are reasonably likely to materially affect, our internal control over financial reporting.</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rPr/>
      </w:pPr>
      <w:r>
        <w:rPr/>
      </w:r>
    </w:p>
    <w:p>
      <w:pPr>
        <w:pStyle w:val="TextBody"/>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bookmarkStart w:id="7" w:name="p2"/>
      <w:bookmarkEnd w:id="7"/>
      <w:r>
        <w:rPr>
          <w:rFonts w:ascii="Times New Roman;Times;serif" w:hAnsi="Times New Roman;Times;serif"/>
          <w:b/>
          <w:sz w:val="20"/>
        </w:rPr>
        <w:t>PART II. OTHER INFORMATION</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bookmarkStart w:id="8" w:name="p2i1"/>
      <w:bookmarkEnd w:id="8"/>
      <w:r>
        <w:rPr>
          <w:rFonts w:ascii="Times New Roman;Times;serif" w:hAnsi="Times New Roman;Times;serif"/>
          <w:b/>
          <w:sz w:val="20"/>
        </w:rPr>
        <w:t>Item 1. Legal Proceedings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From time to time, we are subject to various legal proceedings and claims that arise in the ordinary course of our business activities. Although the results of litigation and claims cannot be predicted with certainty, as of the date of these financial statements, we do not believe we are party to any litigation the outcome of which, if determined adversely to us, would individually or in the aggregate be reasonably expected to have a material adverse effect on our business.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bookmarkStart w:id="9" w:name="p2i1a"/>
      <w:bookmarkEnd w:id="9"/>
      <w:r>
        <w:rPr>
          <w:rFonts w:ascii="Times New Roman;Times;serif" w:hAnsi="Times New Roman;Times;serif"/>
          <w:b/>
          <w:sz w:val="20"/>
        </w:rPr>
        <w:t>Item 1A. Risk Factors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Part I, Item 1A. “Risk Factors” in our Annual Report on Form 10-K for the year ended December 31, 2022 includes a discussion of our risk factors. There have been no material changes from the risk factors described in our Form 10-K.</w:t>
      </w:r>
    </w:p>
    <w:p>
      <w:pPr>
        <w:pStyle w:val="TextBody"/>
        <w:spacing w:before="0" w:after="0"/>
        <w:ind w:left="0" w:right="0" w:hanging="0"/>
        <w:rPr/>
      </w:pPr>
      <w:r>
        <w:rPr/>
        <w:t> </w:t>
      </w:r>
    </w:p>
    <w:p>
      <w:pPr>
        <w:pStyle w:val="TextBody"/>
        <w:spacing w:before="0" w:after="0"/>
        <w:ind w:left="0" w:right="0" w:hanging="0"/>
        <w:jc w:val="left"/>
        <w:rPr>
          <w:rFonts w:ascii="Times New Roman;Times;serif" w:hAnsi="Times New Roman;Times;serif"/>
          <w:b/>
          <w:sz w:val="20"/>
        </w:rPr>
      </w:pPr>
      <w:bookmarkStart w:id="10" w:name="p2i2"/>
      <w:bookmarkEnd w:id="10"/>
      <w:r>
        <w:rPr>
          <w:rFonts w:ascii="Times New Roman;Times;serif" w:hAnsi="Times New Roman;Times;serif"/>
          <w:b/>
          <w:sz w:val="20"/>
        </w:rPr>
        <w:t>Item 2. Unregistered Sales of Equity Securities and Use of Proceeds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9, 2017, our board of directors authorized the repurchase of shares of our common stock from time to time on the open market or in privately negotiated purchases, at an aggregate purchase price of up to $50 million. On May 16, 2019, we announced that our board of directors approved a $50 million increase in our authorized stock repurchase program and extended the term of the program through December 31, 2023, which increased the stock repurchase program to $100 million. On December 8, 2021, our board of directors approved another $50 million increase in our authorized stock repurchase program, which increased the total repurchases authorized to $150 million. On November 17, 2022, our board of directors approved a $50 million increase in our authorized stock repurchase program, which increased the total repurchases authorized to $200 million and extended the term of the program through December 31, 2024. On February 7, 2023 our board of directors approved a $50 million increase in our authorized stock repurchase program, which increased the stock repurchase authorized to $250 million. We have $111.2 million remaining under this authorization. The timing and amount of any share repurchases will be determined by our management based on market conditions and other factors.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During the three months ended March 31, 2023, we repurchased 672,500 shares of our common stock at a total purchase price of $21.1 million under this program.  Common stock repurchase activity through March 31, 2023 was as follows:</w:t>
      </w:r>
    </w:p>
    <w:p>
      <w:pPr>
        <w:pStyle w:val="TextBody"/>
        <w:spacing w:before="0" w:after="0"/>
        <w:ind w:left="0" w:right="0" w:hanging="0"/>
        <w:jc w:val="left"/>
        <w:rPr/>
      </w:pPr>
      <w:r>
        <w:rPr/>
        <w:t> </w:t>
      </w:r>
    </w:p>
    <w:tbl>
      <w:tblPr>
        <w:tblW w:w="10205" w:type="dxa"/>
        <w:jc w:val="left"/>
        <w:tblInd w:w="0" w:type="dxa"/>
        <w:tblCellMar>
          <w:top w:w="0" w:type="dxa"/>
          <w:left w:w="0" w:type="dxa"/>
          <w:bottom w:w="28" w:type="dxa"/>
          <w:right w:w="0" w:type="dxa"/>
        </w:tblCellMar>
      </w:tblPr>
      <w:tblGrid>
        <w:gridCol w:w="1477"/>
        <w:gridCol w:w="60"/>
        <w:gridCol w:w="112"/>
        <w:gridCol w:w="1322"/>
        <w:gridCol w:w="60"/>
        <w:gridCol w:w="60"/>
        <w:gridCol w:w="245"/>
        <w:gridCol w:w="955"/>
        <w:gridCol w:w="60"/>
        <w:gridCol w:w="60"/>
        <w:gridCol w:w="202"/>
        <w:gridCol w:w="2364"/>
        <w:gridCol w:w="60"/>
        <w:gridCol w:w="60"/>
        <w:gridCol w:w="463"/>
        <w:gridCol w:w="2581"/>
        <w:gridCol w:w="64"/>
      </w:tblGrid>
      <w:tr>
        <w:trPr/>
        <w:tc>
          <w:tcPr>
            <w:tcW w:w="1477" w:type="dxa"/>
            <w:tcBorders>
              <w:bottom w:val="single" w:sz="2" w:space="0" w:color="000000"/>
            </w:tcBorders>
            <w:shd w:fill="FFFF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Period</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1434" w:type="dxa"/>
            <w:gridSpan w:val="2"/>
            <w:tcBorders>
              <w:bottom w:val="single" w:sz="2" w:space="0" w:color="000000"/>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 Number of Shares Purchased</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1200" w:type="dxa"/>
            <w:gridSpan w:val="2"/>
            <w:tcBorders>
              <w:bottom w:val="single" w:sz="2" w:space="0" w:color="000000"/>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 Price Paid per Share</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2566" w:type="dxa"/>
            <w:gridSpan w:val="2"/>
            <w:tcBorders>
              <w:bottom w:val="single" w:sz="2" w:space="0" w:color="000000"/>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 Number of Shares Purchased as Part of Publicly Announced Plans or Programs</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3044" w:type="dxa"/>
            <w:gridSpan w:val="2"/>
            <w:tcBorders>
              <w:bottom w:val="single" w:sz="2" w:space="0" w:color="000000"/>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Maximum Dollar Value of Shares that May Yet Be Purchased Under the Plans or Programs (in thousands) (1)</w:t>
            </w:r>
          </w:p>
        </w:tc>
        <w:tc>
          <w:tcPr>
            <w:tcW w:w="64" w:type="dxa"/>
            <w:tcBorders/>
            <w:shd w:fill="FFFFFF" w:val="clear"/>
            <w:tcMar>
              <w:bottom w:w="0" w:type="dxa"/>
            </w:tcMar>
            <w:vAlign w:val="center"/>
          </w:tcPr>
          <w:p>
            <w:pPr>
              <w:pStyle w:val="TableContents"/>
              <w:spacing w:before="0" w:after="283"/>
              <w:rPr/>
            </w:pPr>
            <w:r>
              <w:rPr/>
              <w:t> </w:t>
            </w:r>
          </w:p>
        </w:tc>
      </w:tr>
      <w:tr>
        <w:trPr/>
        <w:tc>
          <w:tcPr>
            <w:tcW w:w="1477"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January 1, 2023 through January 31, 2023</w:t>
            </w:r>
          </w:p>
        </w:tc>
        <w:tc>
          <w:tcPr>
            <w:tcW w:w="60" w:type="dxa"/>
            <w:tcBorders/>
            <w:shd w:fill="CCEEFF" w:val="clear"/>
            <w:tcMar>
              <w:bottom w:w="0" w:type="dxa"/>
            </w:tcMar>
            <w:vAlign w:val="center"/>
          </w:tcPr>
          <w:p>
            <w:pPr>
              <w:pStyle w:val="TableContents"/>
              <w:spacing w:before="0" w:after="283"/>
              <w:rPr/>
            </w:pPr>
            <w:r>
              <w:rPr/>
              <w:t> </w:t>
            </w:r>
          </w:p>
        </w:tc>
        <w:tc>
          <w:tcPr>
            <w:tcW w:w="112" w:type="dxa"/>
            <w:tcBorders/>
            <w:shd w:fill="CCEEFF" w:val="clear"/>
            <w:tcMar>
              <w:bottom w:w="0" w:type="dxa"/>
            </w:tcMar>
            <w:vAlign w:val="center"/>
          </w:tcPr>
          <w:p>
            <w:pPr>
              <w:pStyle w:val="TableContents"/>
              <w:spacing w:before="0" w:after="283"/>
              <w:ind w:left="0" w:right="0" w:hanging="0"/>
              <w:rPr/>
            </w:pPr>
            <w:r>
              <w:rPr/>
              <w:t> </w:t>
            </w:r>
          </w:p>
        </w:tc>
        <w:tc>
          <w:tcPr>
            <w:tcW w:w="1322"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200,000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24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5"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27.58</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02" w:type="dxa"/>
            <w:tcBorders/>
            <w:shd w:fill="CCEEFF" w:val="clear"/>
            <w:tcMar>
              <w:bottom w:w="0" w:type="dxa"/>
            </w:tcMar>
            <w:vAlign w:val="center"/>
          </w:tcPr>
          <w:p>
            <w:pPr>
              <w:pStyle w:val="TableContents"/>
              <w:spacing w:before="0" w:after="283"/>
              <w:ind w:left="0" w:right="0" w:hanging="0"/>
              <w:rPr/>
            </w:pPr>
            <w:r>
              <w:rPr/>
              <w:t> </w:t>
            </w:r>
          </w:p>
        </w:tc>
        <w:tc>
          <w:tcPr>
            <w:tcW w:w="2364"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200,000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463"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581"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76,757</w:t>
            </w:r>
          </w:p>
        </w:tc>
        <w:tc>
          <w:tcPr>
            <w:tcW w:w="64" w:type="dxa"/>
            <w:tcBorders/>
            <w:shd w:fill="CCEEFF" w:val="clear"/>
            <w:tcMar>
              <w:bottom w:w="0" w:type="dxa"/>
            </w:tcMar>
            <w:vAlign w:val="center"/>
          </w:tcPr>
          <w:p>
            <w:pPr>
              <w:pStyle w:val="TableContents"/>
              <w:spacing w:before="0" w:after="283"/>
              <w:rPr/>
            </w:pPr>
            <w:r>
              <w:rPr/>
              <w:t> </w:t>
            </w:r>
          </w:p>
        </w:tc>
      </w:tr>
      <w:tr>
        <w:trPr/>
        <w:tc>
          <w:tcPr>
            <w:tcW w:w="1477" w:type="dxa"/>
            <w:tcBorders/>
            <w:shd w:fill="FFFF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February 1, 2023 through February 28, 2023</w:t>
            </w:r>
          </w:p>
        </w:tc>
        <w:tc>
          <w:tcPr>
            <w:tcW w:w="60" w:type="dxa"/>
            <w:tcBorders/>
            <w:shd w:fill="FFFFFF" w:val="clear"/>
            <w:tcMar>
              <w:bottom w:w="0" w:type="dxa"/>
            </w:tcMar>
            <w:vAlign w:val="center"/>
          </w:tcPr>
          <w:p>
            <w:pPr>
              <w:pStyle w:val="TableContents"/>
              <w:spacing w:before="0" w:after="283"/>
              <w:rPr/>
            </w:pPr>
            <w:r>
              <w:rPr/>
              <w:t> </w:t>
            </w:r>
          </w:p>
        </w:tc>
        <w:tc>
          <w:tcPr>
            <w:tcW w:w="112" w:type="dxa"/>
            <w:tcBorders/>
            <w:shd w:fill="FFFFFF" w:val="clear"/>
            <w:tcMar>
              <w:bottom w:w="0" w:type="dxa"/>
            </w:tcMar>
            <w:vAlign w:val="center"/>
          </w:tcPr>
          <w:p>
            <w:pPr>
              <w:pStyle w:val="TableContents"/>
              <w:spacing w:before="0" w:after="283"/>
              <w:ind w:left="0" w:right="0" w:hanging="0"/>
              <w:rPr/>
            </w:pPr>
            <w:r>
              <w:rPr/>
              <w:t> </w:t>
            </w:r>
          </w:p>
        </w:tc>
        <w:tc>
          <w:tcPr>
            <w:tcW w:w="1322" w:type="dxa"/>
            <w:tcBorders/>
            <w:shd w:fill="FFFF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292,500</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245" w:type="dxa"/>
            <w:tcBorders/>
            <w:shd w:fill="FFFF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5" w:type="dxa"/>
            <w:tcBorders/>
            <w:shd w:fill="FFFF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32.59</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02" w:type="dxa"/>
            <w:tcBorders/>
            <w:shd w:fill="FFFFFF" w:val="clear"/>
            <w:tcMar>
              <w:bottom w:w="0" w:type="dxa"/>
            </w:tcMar>
            <w:vAlign w:val="center"/>
          </w:tcPr>
          <w:p>
            <w:pPr>
              <w:pStyle w:val="TableContents"/>
              <w:spacing w:before="0" w:after="283"/>
              <w:ind w:left="0" w:right="0" w:hanging="0"/>
              <w:rPr/>
            </w:pPr>
            <w:r>
              <w:rPr/>
              <w:t> </w:t>
            </w:r>
          </w:p>
        </w:tc>
        <w:tc>
          <w:tcPr>
            <w:tcW w:w="2364" w:type="dxa"/>
            <w:tcBorders/>
            <w:shd w:fill="FFFF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292,500</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463" w:type="dxa"/>
            <w:tcBorders/>
            <w:shd w:fill="FFFF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581" w:type="dxa"/>
            <w:tcBorders/>
            <w:shd w:fill="FFFF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117,224</w:t>
            </w:r>
          </w:p>
        </w:tc>
        <w:tc>
          <w:tcPr>
            <w:tcW w:w="64" w:type="dxa"/>
            <w:tcBorders/>
            <w:shd w:fill="FFFFFF" w:val="clear"/>
            <w:tcMar>
              <w:bottom w:w="0" w:type="dxa"/>
            </w:tcMar>
            <w:vAlign w:val="center"/>
          </w:tcPr>
          <w:p>
            <w:pPr>
              <w:pStyle w:val="TableContents"/>
              <w:spacing w:before="0" w:after="283"/>
              <w:rPr/>
            </w:pPr>
            <w:r>
              <w:rPr/>
              <w:t> </w:t>
            </w:r>
          </w:p>
        </w:tc>
      </w:tr>
      <w:tr>
        <w:trPr/>
        <w:tc>
          <w:tcPr>
            <w:tcW w:w="1477"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March 1, 2023 through March 31, 2023</w:t>
            </w:r>
          </w:p>
        </w:tc>
        <w:tc>
          <w:tcPr>
            <w:tcW w:w="60" w:type="dxa"/>
            <w:tcBorders/>
            <w:shd w:fill="CCEEFF" w:val="clear"/>
            <w:tcMar>
              <w:bottom w:w="0" w:type="dxa"/>
            </w:tcMar>
            <w:vAlign w:val="center"/>
          </w:tcPr>
          <w:p>
            <w:pPr>
              <w:pStyle w:val="TableContents"/>
              <w:spacing w:before="0" w:after="283"/>
              <w:rPr/>
            </w:pPr>
            <w:r>
              <w:rPr/>
              <w:t> </w:t>
            </w:r>
          </w:p>
        </w:tc>
        <w:tc>
          <w:tcPr>
            <w:tcW w:w="112" w:type="dxa"/>
            <w:tcBorders>
              <w:bottom w:val="single" w:sz="2" w:space="0" w:color="000000"/>
            </w:tcBorders>
            <w:shd w:fill="CCEEFF" w:val="clear"/>
            <w:vAlign w:val="center"/>
          </w:tcPr>
          <w:p>
            <w:pPr>
              <w:pStyle w:val="TableContents"/>
              <w:spacing w:before="0" w:after="283"/>
              <w:ind w:left="0" w:right="0" w:hanging="0"/>
              <w:rPr/>
            </w:pPr>
            <w:r>
              <w:rPr/>
              <w:t> </w:t>
            </w:r>
          </w:p>
        </w:tc>
        <w:tc>
          <w:tcPr>
            <w:tcW w:w="1322" w:type="dxa"/>
            <w:tcBorders>
              <w:bottom w:val="single" w:sz="2" w:space="0" w:color="000000"/>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180,000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24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5"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33.60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02" w:type="dxa"/>
            <w:tcBorders>
              <w:bottom w:val="single" w:sz="2" w:space="0" w:color="000000"/>
            </w:tcBorders>
            <w:shd w:fill="CCEEFF" w:val="clear"/>
            <w:vAlign w:val="center"/>
          </w:tcPr>
          <w:p>
            <w:pPr>
              <w:pStyle w:val="TableContents"/>
              <w:spacing w:before="0" w:after="283"/>
              <w:ind w:left="0" w:right="0" w:hanging="0"/>
              <w:rPr/>
            </w:pPr>
            <w:r>
              <w:rPr/>
              <w:t> </w:t>
            </w:r>
          </w:p>
        </w:tc>
        <w:tc>
          <w:tcPr>
            <w:tcW w:w="2364" w:type="dxa"/>
            <w:tcBorders>
              <w:bottom w:val="single" w:sz="2" w:space="0" w:color="000000"/>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180,000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463"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581"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111,176</w:t>
            </w:r>
          </w:p>
        </w:tc>
        <w:tc>
          <w:tcPr>
            <w:tcW w:w="64" w:type="dxa"/>
            <w:tcBorders/>
            <w:shd w:fill="CCEEFF" w:val="clear"/>
            <w:tcMar>
              <w:bottom w:w="0" w:type="dxa"/>
            </w:tcMar>
            <w:vAlign w:val="center"/>
          </w:tcPr>
          <w:p>
            <w:pPr>
              <w:pStyle w:val="TableContents"/>
              <w:spacing w:before="0" w:after="283"/>
              <w:rPr/>
            </w:pPr>
            <w:r>
              <w:rPr/>
              <w:t> </w:t>
            </w:r>
          </w:p>
        </w:tc>
      </w:tr>
      <w:tr>
        <w:trPr/>
        <w:tc>
          <w:tcPr>
            <w:tcW w:w="1477"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2" w:type="dxa"/>
            <w:tcBorders>
              <w:bottom w:val="double" w:sz="6" w:space="0" w:color="000000"/>
            </w:tcBorders>
            <w:shd w:fill="FFFFFF" w:val="clear"/>
            <w:vAlign w:val="center"/>
          </w:tcPr>
          <w:p>
            <w:pPr>
              <w:pStyle w:val="TableContents"/>
              <w:spacing w:before="0" w:after="283"/>
              <w:ind w:left="0" w:right="0" w:hanging="0"/>
              <w:rPr/>
            </w:pPr>
            <w:r>
              <w:rPr/>
              <w:t> </w:t>
            </w:r>
          </w:p>
        </w:tc>
        <w:tc>
          <w:tcPr>
            <w:tcW w:w="1322" w:type="dxa"/>
            <w:tcBorders>
              <w:bottom w:val="double" w:sz="6" w:space="0" w:color="000000"/>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672,500</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245" w:type="dxa"/>
            <w:tcBorders/>
            <w:shd w:fill="FFFF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5" w:type="dxa"/>
            <w:tcBorders/>
            <w:shd w:fill="FFFF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31.37</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02" w:type="dxa"/>
            <w:tcBorders>
              <w:bottom w:val="double" w:sz="6" w:space="0" w:color="000000"/>
            </w:tcBorders>
            <w:shd w:fill="FFFFFF" w:val="clear"/>
            <w:vAlign w:val="center"/>
          </w:tcPr>
          <w:p>
            <w:pPr>
              <w:pStyle w:val="TableContents"/>
              <w:spacing w:before="0" w:after="283"/>
              <w:ind w:left="0" w:right="0" w:hanging="0"/>
              <w:rPr/>
            </w:pPr>
            <w:r>
              <w:rPr/>
              <w:t> </w:t>
            </w:r>
          </w:p>
        </w:tc>
        <w:tc>
          <w:tcPr>
            <w:tcW w:w="2364" w:type="dxa"/>
            <w:tcBorders>
              <w:bottom w:val="double" w:sz="6" w:space="0" w:color="000000"/>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672,500</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463" w:type="dxa"/>
            <w:tcBorders/>
            <w:shd w:fill="FFFF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581" w:type="dxa"/>
            <w:tcBorders/>
            <w:shd w:fill="FFFF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111,176</w:t>
            </w:r>
          </w:p>
        </w:tc>
        <w:tc>
          <w:tcPr>
            <w:tcW w:w="64" w:type="dxa"/>
            <w:tcBorders/>
            <w:shd w:fill="FFFFFF" w:val="clear"/>
            <w:tcMar>
              <w:bottom w:w="0" w:type="dxa"/>
            </w:tcMar>
            <w:vAlign w:val="center"/>
          </w:tcPr>
          <w:p>
            <w:pPr>
              <w:pStyle w:val="TableContents"/>
              <w:spacing w:before="0" w:after="283"/>
              <w:rPr/>
            </w:pPr>
            <w:r>
              <w:rPr/>
              <w:t> </w:t>
            </w:r>
          </w:p>
        </w:tc>
      </w:tr>
    </w:tbl>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bookmarkStart w:id="11" w:name="p2i3"/>
      <w:bookmarkEnd w:id="11"/>
      <w:r>
        <w:rPr>
          <w:rFonts w:ascii="Times New Roman;Times;serif" w:hAnsi="Times New Roman;Times;serif"/>
          <w:b/>
          <w:sz w:val="20"/>
        </w:rPr>
        <w:t>Item 3. Defaults Upon Senior Securities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No matters to disclose.</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bookmarkStart w:id="12" w:name="p2i4"/>
      <w:bookmarkEnd w:id="12"/>
      <w:r>
        <w:rPr>
          <w:rFonts w:ascii="Times New Roman;Times;serif" w:hAnsi="Times New Roman;Times;serif"/>
          <w:b/>
          <w:sz w:val="20"/>
        </w:rPr>
        <w:t>Item 4. Mine Safety Disclosures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No matters to disclose.</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bookmarkStart w:id="13" w:name="p2i5"/>
      <w:bookmarkEnd w:id="13"/>
      <w:r>
        <w:rPr>
          <w:rFonts w:ascii="Times New Roman;Times;serif" w:hAnsi="Times New Roman;Times;serif"/>
          <w:b/>
          <w:sz w:val="20"/>
        </w:rPr>
        <w:t>Item 5. Other Information</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No matters to disclose.</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bookmarkStart w:id="14" w:name="p2i6"/>
      <w:bookmarkEnd w:id="14"/>
      <w:r>
        <w:rPr>
          <w:rFonts w:ascii="Times New Roman;Times;serif" w:hAnsi="Times New Roman;Times;serif"/>
          <w:b/>
          <w:sz w:val="20"/>
        </w:rPr>
        <w:t>Item 6. Exhibits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documents are filed as part of this report:</w:t>
      </w:r>
    </w:p>
    <w:p>
      <w:pPr>
        <w:pStyle w:val="TextBody"/>
        <w:spacing w:before="0" w:after="0"/>
        <w:ind w:left="0" w:right="0" w:hanging="0"/>
        <w:jc w:val="left"/>
        <w:rPr/>
      </w:pPr>
      <w:r>
        <w:rPr/>
        <w:t> </w:t>
      </w:r>
    </w:p>
    <w:tbl>
      <w:tblPr>
        <w:tblW w:w="10205" w:type="dxa"/>
        <w:jc w:val="left"/>
        <w:tblInd w:w="0" w:type="dxa"/>
        <w:tblCellMar>
          <w:top w:w="0" w:type="dxa"/>
          <w:left w:w="0" w:type="dxa"/>
          <w:bottom w:w="28" w:type="dxa"/>
          <w:right w:w="0" w:type="dxa"/>
        </w:tblCellMar>
      </w:tblPr>
      <w:tblGrid>
        <w:gridCol w:w="917"/>
        <w:gridCol w:w="60"/>
        <w:gridCol w:w="9228"/>
      </w:tblGrid>
      <w:tr>
        <w:trPr/>
        <w:tc>
          <w:tcPr>
            <w:tcW w:w="917"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Number</w:t>
            </w:r>
          </w:p>
        </w:tc>
        <w:tc>
          <w:tcPr>
            <w:tcW w:w="60" w:type="dxa"/>
            <w:tcBorders/>
            <w:shd w:fill="auto" w:val="clear"/>
            <w:tcMar>
              <w:bottom w:w="0" w:type="dxa"/>
            </w:tcMar>
            <w:vAlign w:val="center"/>
          </w:tcPr>
          <w:p>
            <w:pPr>
              <w:pStyle w:val="TableContents"/>
              <w:spacing w:before="0" w:after="283"/>
              <w:rPr/>
            </w:pPr>
            <w:r>
              <w:rPr/>
              <w:t> </w:t>
            </w:r>
          </w:p>
        </w:tc>
        <w:tc>
          <w:tcPr>
            <w:tcW w:w="9228"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Exhibit</w:t>
            </w:r>
          </w:p>
        </w:tc>
      </w:tr>
      <w:tr>
        <w:trPr/>
        <w:tc>
          <w:tcPr>
            <w:tcW w:w="917"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3.1</w:t>
            </w:r>
          </w:p>
        </w:tc>
        <w:tc>
          <w:tcPr>
            <w:tcW w:w="60" w:type="dxa"/>
            <w:tcBorders/>
            <w:shd w:fill="auto" w:val="clear"/>
            <w:tcMar>
              <w:bottom w:w="0" w:type="dxa"/>
            </w:tcMar>
            <w:vAlign w:val="center"/>
          </w:tcPr>
          <w:p>
            <w:pPr>
              <w:pStyle w:val="TableContents"/>
              <w:spacing w:before="0" w:after="283"/>
              <w:rPr/>
            </w:pPr>
            <w:r>
              <w:rPr/>
              <w:t> </w:t>
            </w:r>
          </w:p>
        </w:tc>
        <w:tc>
          <w:tcPr>
            <w:tcW w:w="9228" w:type="dxa"/>
            <w:tcBorders/>
            <w:shd w:fill="auto" w:val="clear"/>
            <w:tcMar>
              <w:bottom w:w="0" w:type="dxa"/>
            </w:tcMar>
            <w:vAlign w:val="center"/>
          </w:tcPr>
          <w:p>
            <w:pPr>
              <w:pStyle w:val="TableContents"/>
              <w:spacing w:before="0" w:after="0"/>
              <w:ind w:left="0" w:right="0" w:hanging="0"/>
              <w:jc w:val="left"/>
              <w:rPr/>
            </w:pPr>
            <w:hyperlink r:id="rId2">
              <w:r>
                <w:rPr>
                  <w:rStyle w:val="InternetLink"/>
                  <w:rFonts w:ascii="Times New Roman;Times;serif" w:hAnsi="Times New Roman;Times;serif"/>
                  <w:sz w:val="16"/>
                </w:rPr>
                <w:t>Third Amended and Restated Articles of Incorporation of Proto Labs, Inc. (incorporated by reference to Exhibit 3.2 to the Company’s Registration Statement on Form S-1/A, filed on February 13, 2012).</w:t>
              </w:r>
            </w:hyperlink>
          </w:p>
        </w:tc>
      </w:tr>
      <w:tr>
        <w:trPr/>
        <w:tc>
          <w:tcPr>
            <w:tcW w:w="917"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3.2</w:t>
            </w:r>
          </w:p>
        </w:tc>
        <w:tc>
          <w:tcPr>
            <w:tcW w:w="60" w:type="dxa"/>
            <w:tcBorders/>
            <w:shd w:fill="auto" w:val="clear"/>
            <w:tcMar>
              <w:bottom w:w="0" w:type="dxa"/>
            </w:tcMar>
            <w:vAlign w:val="center"/>
          </w:tcPr>
          <w:p>
            <w:pPr>
              <w:pStyle w:val="TableContents"/>
              <w:spacing w:before="0" w:after="283"/>
              <w:rPr/>
            </w:pPr>
            <w:r>
              <w:rPr/>
              <w:t> </w:t>
            </w:r>
          </w:p>
        </w:tc>
        <w:tc>
          <w:tcPr>
            <w:tcW w:w="9228" w:type="dxa"/>
            <w:tcBorders/>
            <w:shd w:fill="auto" w:val="clear"/>
            <w:tcMar>
              <w:bottom w:w="0" w:type="dxa"/>
            </w:tcMar>
            <w:vAlign w:val="center"/>
          </w:tcPr>
          <w:p>
            <w:pPr>
              <w:pStyle w:val="TableContents"/>
              <w:spacing w:before="0" w:after="283"/>
              <w:rPr/>
            </w:pPr>
            <w:hyperlink r:id="rId3">
              <w:r>
                <w:rPr>
                  <w:rStyle w:val="InternetLink"/>
                  <w:rFonts w:ascii="Times New Roman;Times;serif" w:hAnsi="Times New Roman;Times;serif"/>
                  <w:sz w:val="16"/>
                </w:rPr>
                <w:t>Articles of Amendment to Third Amended and Restated Articles of Incorporation of Proto Labs, Inc. dated May 20, 2015 (incorporated by reference to Exhibit 3.1 to the Company's Form 8-K, filed with the Commission on May 21, 2015).</w:t>
              </w:r>
            </w:hyperlink>
          </w:p>
        </w:tc>
      </w:tr>
      <w:tr>
        <w:trPr/>
        <w:tc>
          <w:tcPr>
            <w:tcW w:w="917"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3.3</w:t>
            </w:r>
          </w:p>
        </w:tc>
        <w:tc>
          <w:tcPr>
            <w:tcW w:w="60" w:type="dxa"/>
            <w:tcBorders/>
            <w:shd w:fill="auto" w:val="clear"/>
            <w:tcMar>
              <w:bottom w:w="0" w:type="dxa"/>
            </w:tcMar>
            <w:vAlign w:val="center"/>
          </w:tcPr>
          <w:p>
            <w:pPr>
              <w:pStyle w:val="TableContents"/>
              <w:spacing w:before="0" w:after="283"/>
              <w:rPr/>
            </w:pPr>
            <w:r>
              <w:rPr/>
              <w:t> </w:t>
            </w:r>
          </w:p>
        </w:tc>
        <w:tc>
          <w:tcPr>
            <w:tcW w:w="9228" w:type="dxa"/>
            <w:tcBorders/>
            <w:shd w:fill="auto" w:val="clear"/>
            <w:tcMar>
              <w:bottom w:w="0" w:type="dxa"/>
            </w:tcMar>
            <w:vAlign w:val="center"/>
          </w:tcPr>
          <w:p>
            <w:pPr>
              <w:pStyle w:val="TableContents"/>
              <w:spacing w:before="0" w:after="0"/>
              <w:ind w:left="0" w:right="0" w:hanging="0"/>
              <w:jc w:val="left"/>
              <w:rPr/>
            </w:pPr>
            <w:hyperlink r:id="rId4">
              <w:r>
                <w:rPr>
                  <w:rStyle w:val="InternetLink"/>
                  <w:rFonts w:ascii="Times New Roman;Times;serif" w:hAnsi="Times New Roman;Times;serif"/>
                  <w:sz w:val="16"/>
                </w:rPr>
                <w:t>Third Amended and Restated By-Laws of Proto Labs, Inc., as amended through November 15, 2022 (incorporated by reference to Exhibit 3.2 to the Company's Form 8-K, filed on November 15, 2022).</w:t>
              </w:r>
            </w:hyperlink>
          </w:p>
        </w:tc>
      </w:tr>
      <w:tr>
        <w:trPr/>
        <w:tc>
          <w:tcPr>
            <w:tcW w:w="917"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31.1</w:t>
            </w:r>
          </w:p>
        </w:tc>
        <w:tc>
          <w:tcPr>
            <w:tcW w:w="60" w:type="dxa"/>
            <w:tcBorders/>
            <w:shd w:fill="auto" w:val="clear"/>
            <w:tcMar>
              <w:bottom w:w="0" w:type="dxa"/>
            </w:tcMar>
            <w:vAlign w:val="center"/>
          </w:tcPr>
          <w:p>
            <w:pPr>
              <w:pStyle w:val="TableContents"/>
              <w:spacing w:before="0" w:after="283"/>
              <w:rPr/>
            </w:pPr>
            <w:r>
              <w:rPr/>
              <w:t> </w:t>
            </w:r>
          </w:p>
        </w:tc>
        <w:tc>
          <w:tcPr>
            <w:tcW w:w="9228" w:type="dxa"/>
            <w:tcBorders/>
            <w:shd w:fill="auto" w:val="clear"/>
            <w:tcMar>
              <w:bottom w:w="0" w:type="dxa"/>
            </w:tcMar>
            <w:vAlign w:val="center"/>
          </w:tcPr>
          <w:p>
            <w:pPr>
              <w:pStyle w:val="TableContents"/>
              <w:spacing w:before="0" w:after="0"/>
              <w:ind w:left="0" w:right="0" w:hanging="0"/>
              <w:jc w:val="left"/>
              <w:rPr/>
            </w:pPr>
            <w:hyperlink w:anchor="ex_470548.htm">
              <w:r>
                <w:rPr>
                  <w:rStyle w:val="InternetLink"/>
                  <w:rFonts w:ascii="Times New Roman;Times;serif" w:hAnsi="Times New Roman;Times;serif"/>
                  <w:sz w:val="16"/>
                </w:rPr>
                <w:t>Certification of the Chief Executive Officer pursuant to Section 302 of the Sarbanes-Oxley Act*</w:t>
              </w:r>
            </w:hyperlink>
          </w:p>
        </w:tc>
      </w:tr>
      <w:tr>
        <w:trPr/>
        <w:tc>
          <w:tcPr>
            <w:tcW w:w="917"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31.2</w:t>
            </w:r>
          </w:p>
        </w:tc>
        <w:tc>
          <w:tcPr>
            <w:tcW w:w="60" w:type="dxa"/>
            <w:tcBorders/>
            <w:shd w:fill="auto" w:val="clear"/>
            <w:tcMar>
              <w:bottom w:w="0" w:type="dxa"/>
            </w:tcMar>
            <w:vAlign w:val="center"/>
          </w:tcPr>
          <w:p>
            <w:pPr>
              <w:pStyle w:val="TableContents"/>
              <w:spacing w:before="0" w:after="283"/>
              <w:rPr/>
            </w:pPr>
            <w:r>
              <w:rPr/>
              <w:t> </w:t>
            </w:r>
          </w:p>
        </w:tc>
        <w:tc>
          <w:tcPr>
            <w:tcW w:w="9228" w:type="dxa"/>
            <w:tcBorders/>
            <w:shd w:fill="auto" w:val="clear"/>
            <w:tcMar>
              <w:bottom w:w="0" w:type="dxa"/>
            </w:tcMar>
            <w:vAlign w:val="center"/>
          </w:tcPr>
          <w:p>
            <w:pPr>
              <w:pStyle w:val="TableContents"/>
              <w:spacing w:before="0" w:after="0"/>
              <w:ind w:left="0" w:right="0" w:hanging="0"/>
              <w:jc w:val="left"/>
              <w:rPr/>
            </w:pPr>
            <w:hyperlink w:anchor="ex_470549.htm">
              <w:r>
                <w:rPr>
                  <w:rStyle w:val="InternetLink"/>
                  <w:rFonts w:ascii="Times New Roman;Times;serif" w:hAnsi="Times New Roman;Times;serif"/>
                  <w:sz w:val="16"/>
                </w:rPr>
                <w:t>Certification of the Chief Financial Officer pursuant to Section 302 of the Sarbanes-Oxley Act*</w:t>
              </w:r>
            </w:hyperlink>
          </w:p>
        </w:tc>
      </w:tr>
      <w:tr>
        <w:trPr/>
        <w:tc>
          <w:tcPr>
            <w:tcW w:w="917"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32.1</w:t>
            </w:r>
          </w:p>
        </w:tc>
        <w:tc>
          <w:tcPr>
            <w:tcW w:w="60" w:type="dxa"/>
            <w:tcBorders/>
            <w:shd w:fill="auto" w:val="clear"/>
            <w:tcMar>
              <w:bottom w:w="0" w:type="dxa"/>
            </w:tcMar>
            <w:vAlign w:val="center"/>
          </w:tcPr>
          <w:p>
            <w:pPr>
              <w:pStyle w:val="TableContents"/>
              <w:spacing w:before="0" w:after="283"/>
              <w:rPr/>
            </w:pPr>
            <w:r>
              <w:rPr/>
              <w:t> </w:t>
            </w:r>
          </w:p>
        </w:tc>
        <w:tc>
          <w:tcPr>
            <w:tcW w:w="9228" w:type="dxa"/>
            <w:tcBorders/>
            <w:shd w:fill="auto" w:val="clear"/>
            <w:tcMar>
              <w:bottom w:w="0" w:type="dxa"/>
            </w:tcMar>
            <w:vAlign w:val="center"/>
          </w:tcPr>
          <w:p>
            <w:pPr>
              <w:pStyle w:val="TableContents"/>
              <w:spacing w:before="0" w:after="0"/>
              <w:ind w:left="0" w:right="0" w:hanging="0"/>
              <w:jc w:val="left"/>
              <w:rPr/>
            </w:pPr>
            <w:hyperlink w:anchor="ex_470550.htm">
              <w:r>
                <w:rPr>
                  <w:rStyle w:val="InternetLink"/>
                  <w:rFonts w:ascii="Times New Roman;Times;serif" w:hAnsi="Times New Roman;Times;serif"/>
                  <w:sz w:val="16"/>
                </w:rPr>
                <w:t>Certification of the Chief Executive Officer and the Chief Financial Officer pursuant to Section 906 of the Sarbanes-Oxley Act*</w:t>
              </w:r>
            </w:hyperlink>
          </w:p>
        </w:tc>
      </w:tr>
      <w:tr>
        <w:trPr/>
        <w:tc>
          <w:tcPr>
            <w:tcW w:w="917" w:type="dxa"/>
            <w:tcBorders/>
            <w:shd w:fill="auto" w:val="clear"/>
            <w:tcMar>
              <w:bottom w:w="0" w:type="dxa"/>
            </w:tcMar>
            <w:vAlign w:val="center"/>
          </w:tcPr>
          <w:p>
            <w:pPr>
              <w:pStyle w:val="TableContents"/>
              <w:spacing w:before="0" w:after="283"/>
              <w:jc w:val="center"/>
              <w:rPr>
                <w:rFonts w:ascii="Times New Roman;Times;serif" w:hAnsi="Times New Roman;Times;serif"/>
                <w:sz w:val="16"/>
              </w:rPr>
            </w:pPr>
            <w:r>
              <w:rPr>
                <w:rFonts w:ascii="Times New Roman;Times;serif" w:hAnsi="Times New Roman;Times;serif"/>
                <w:sz w:val="16"/>
              </w:rPr>
              <w:t>101.INS</w:t>
            </w:r>
          </w:p>
        </w:tc>
        <w:tc>
          <w:tcPr>
            <w:tcW w:w="60" w:type="dxa"/>
            <w:tcBorders/>
            <w:shd w:fill="auto" w:val="clear"/>
            <w:tcMar>
              <w:bottom w:w="0" w:type="dxa"/>
            </w:tcMar>
            <w:vAlign w:val="center"/>
          </w:tcPr>
          <w:p>
            <w:pPr>
              <w:pStyle w:val="TableContents"/>
              <w:spacing w:before="0" w:after="283"/>
              <w:rPr/>
            </w:pPr>
            <w:r>
              <w:rPr/>
              <w:t> </w:t>
            </w:r>
          </w:p>
        </w:tc>
        <w:tc>
          <w:tcPr>
            <w:tcW w:w="9228" w:type="dxa"/>
            <w:tcBorders/>
            <w:shd w:fill="auto" w:val="clear"/>
            <w:tcMar>
              <w:bottom w:w="0" w:type="dxa"/>
            </w:tcM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Inline XBRL Instance Document (the Instance Document does not appear in the Interactive Data File because its XBRL tags are embedded within the Inline XBRL document)</w:t>
            </w:r>
          </w:p>
        </w:tc>
      </w:tr>
      <w:tr>
        <w:trPr/>
        <w:tc>
          <w:tcPr>
            <w:tcW w:w="917"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101.SCH</w:t>
            </w:r>
          </w:p>
        </w:tc>
        <w:tc>
          <w:tcPr>
            <w:tcW w:w="60" w:type="dxa"/>
            <w:tcBorders/>
            <w:shd w:fill="auto" w:val="clear"/>
            <w:tcMar>
              <w:bottom w:w="0" w:type="dxa"/>
            </w:tcMar>
            <w:vAlign w:val="center"/>
          </w:tcPr>
          <w:p>
            <w:pPr>
              <w:pStyle w:val="TableContents"/>
              <w:spacing w:before="0" w:after="283"/>
              <w:rPr/>
            </w:pPr>
            <w:r>
              <w:rPr/>
              <w:t> </w:t>
            </w:r>
          </w:p>
        </w:tc>
        <w:tc>
          <w:tcPr>
            <w:tcW w:w="9228"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16"/>
              </w:rPr>
            </w:pPr>
            <w:r>
              <w:rPr>
                <w:rFonts w:ascii="Times New Roman;Times;serif" w:hAnsi="Times New Roman;Times;serif"/>
                <w:sz w:val="16"/>
              </w:rPr>
              <w:t>Inline XBRL Taxonomy Extension Schema Document</w:t>
            </w:r>
          </w:p>
        </w:tc>
      </w:tr>
      <w:tr>
        <w:trPr/>
        <w:tc>
          <w:tcPr>
            <w:tcW w:w="917"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101.CAL</w:t>
            </w:r>
          </w:p>
        </w:tc>
        <w:tc>
          <w:tcPr>
            <w:tcW w:w="60" w:type="dxa"/>
            <w:tcBorders/>
            <w:shd w:fill="auto" w:val="clear"/>
            <w:tcMar>
              <w:bottom w:w="0" w:type="dxa"/>
            </w:tcMar>
            <w:vAlign w:val="center"/>
          </w:tcPr>
          <w:p>
            <w:pPr>
              <w:pStyle w:val="TableContents"/>
              <w:spacing w:before="0" w:after="283"/>
              <w:rPr/>
            </w:pPr>
            <w:r>
              <w:rPr/>
              <w:t> </w:t>
            </w:r>
          </w:p>
        </w:tc>
        <w:tc>
          <w:tcPr>
            <w:tcW w:w="9228"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16"/>
              </w:rPr>
            </w:pPr>
            <w:r>
              <w:rPr>
                <w:rFonts w:ascii="Times New Roman;Times;serif" w:hAnsi="Times New Roman;Times;serif"/>
                <w:sz w:val="16"/>
              </w:rPr>
              <w:t>Inline XBRL Taxonomy Extension Calculation Linkbase Document</w:t>
            </w:r>
          </w:p>
        </w:tc>
      </w:tr>
      <w:tr>
        <w:trPr/>
        <w:tc>
          <w:tcPr>
            <w:tcW w:w="917"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101.DEF</w:t>
            </w:r>
          </w:p>
        </w:tc>
        <w:tc>
          <w:tcPr>
            <w:tcW w:w="60" w:type="dxa"/>
            <w:tcBorders/>
            <w:shd w:fill="auto" w:val="clear"/>
            <w:tcMar>
              <w:bottom w:w="0" w:type="dxa"/>
            </w:tcMar>
            <w:vAlign w:val="center"/>
          </w:tcPr>
          <w:p>
            <w:pPr>
              <w:pStyle w:val="TableContents"/>
              <w:spacing w:before="0" w:after="283"/>
              <w:rPr/>
            </w:pPr>
            <w:r>
              <w:rPr/>
              <w:t> </w:t>
            </w:r>
          </w:p>
        </w:tc>
        <w:tc>
          <w:tcPr>
            <w:tcW w:w="9228"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16"/>
              </w:rPr>
            </w:pPr>
            <w:r>
              <w:rPr>
                <w:rFonts w:ascii="Times New Roman;Times;serif" w:hAnsi="Times New Roman;Times;serif"/>
                <w:sz w:val="16"/>
              </w:rPr>
              <w:t>Inline XBRL Taxonomy Extension Definition Linkbase Document</w:t>
            </w:r>
          </w:p>
        </w:tc>
      </w:tr>
      <w:tr>
        <w:trPr/>
        <w:tc>
          <w:tcPr>
            <w:tcW w:w="917"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101.LAB</w:t>
            </w:r>
          </w:p>
        </w:tc>
        <w:tc>
          <w:tcPr>
            <w:tcW w:w="60" w:type="dxa"/>
            <w:tcBorders/>
            <w:shd w:fill="auto" w:val="clear"/>
            <w:tcMar>
              <w:bottom w:w="0" w:type="dxa"/>
            </w:tcMar>
            <w:vAlign w:val="center"/>
          </w:tcPr>
          <w:p>
            <w:pPr>
              <w:pStyle w:val="TableContents"/>
              <w:spacing w:before="0" w:after="283"/>
              <w:rPr/>
            </w:pPr>
            <w:r>
              <w:rPr/>
              <w:t> </w:t>
            </w:r>
          </w:p>
        </w:tc>
        <w:tc>
          <w:tcPr>
            <w:tcW w:w="9228"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16"/>
              </w:rPr>
            </w:pPr>
            <w:r>
              <w:rPr>
                <w:rFonts w:ascii="Times New Roman;Times;serif" w:hAnsi="Times New Roman;Times;serif"/>
                <w:sz w:val="16"/>
              </w:rPr>
              <w:t>Inline XBRL Taxonomy Extension Label Linkbase Document</w:t>
            </w:r>
          </w:p>
        </w:tc>
      </w:tr>
      <w:tr>
        <w:trPr/>
        <w:tc>
          <w:tcPr>
            <w:tcW w:w="917"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101.PRE</w:t>
            </w:r>
          </w:p>
        </w:tc>
        <w:tc>
          <w:tcPr>
            <w:tcW w:w="60" w:type="dxa"/>
            <w:tcBorders/>
            <w:shd w:fill="auto" w:val="clear"/>
            <w:tcMar>
              <w:bottom w:w="0" w:type="dxa"/>
            </w:tcMar>
            <w:vAlign w:val="center"/>
          </w:tcPr>
          <w:p>
            <w:pPr>
              <w:pStyle w:val="TableContents"/>
              <w:spacing w:before="0" w:after="283"/>
              <w:rPr/>
            </w:pPr>
            <w:r>
              <w:rPr/>
              <w:t> </w:t>
            </w:r>
          </w:p>
        </w:tc>
        <w:tc>
          <w:tcPr>
            <w:tcW w:w="9228"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16"/>
              </w:rPr>
            </w:pPr>
            <w:r>
              <w:rPr>
                <w:rFonts w:ascii="Times New Roman;Times;serif" w:hAnsi="Times New Roman;Times;serif"/>
                <w:sz w:val="16"/>
              </w:rPr>
              <w:t>Inline XBRL Taxonomy Extension Presentation Linkbase Document</w:t>
            </w:r>
          </w:p>
        </w:tc>
      </w:tr>
      <w:tr>
        <w:trPr/>
        <w:tc>
          <w:tcPr>
            <w:tcW w:w="917" w:type="dxa"/>
            <w:tcBorders/>
            <w:shd w:fill="auto" w:val="clear"/>
            <w:tcMar>
              <w:bottom w:w="0" w:type="dxa"/>
            </w:tcMar>
            <w:vAlign w:val="center"/>
          </w:tcPr>
          <w:p>
            <w:pPr>
              <w:pStyle w:val="TableContents"/>
              <w:spacing w:before="0" w:after="283"/>
              <w:jc w:val="center"/>
              <w:rPr>
                <w:rFonts w:ascii="Times New Roman;Times;serif" w:hAnsi="Times New Roman;Times;serif"/>
                <w:sz w:val="16"/>
              </w:rPr>
            </w:pPr>
            <w:r>
              <w:rPr>
                <w:rFonts w:ascii="Times New Roman;Times;serif" w:hAnsi="Times New Roman;Times;serif"/>
                <w:sz w:val="16"/>
              </w:rPr>
              <w:t>104</w:t>
            </w:r>
          </w:p>
        </w:tc>
        <w:tc>
          <w:tcPr>
            <w:tcW w:w="60" w:type="dxa"/>
            <w:tcBorders/>
            <w:shd w:fill="auto" w:val="clear"/>
            <w:tcMar>
              <w:bottom w:w="0" w:type="dxa"/>
            </w:tcMar>
            <w:vAlign w:val="center"/>
          </w:tcPr>
          <w:p>
            <w:pPr>
              <w:pStyle w:val="TableContents"/>
              <w:spacing w:before="0" w:after="283"/>
              <w:rPr/>
            </w:pPr>
            <w:r>
              <w:rPr/>
              <w:t> </w:t>
            </w:r>
          </w:p>
        </w:tc>
        <w:tc>
          <w:tcPr>
            <w:tcW w:w="9228" w:type="dxa"/>
            <w:tcBorders/>
            <w:shd w:fill="auto" w:val="clear"/>
            <w:tcMar>
              <w:bottom w:w="0" w:type="dxa"/>
            </w:tcM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Cover Page Interactive Data File (formatted as Inline XBRL and contained in Exhibit 101)</w:t>
            </w:r>
          </w:p>
        </w:tc>
      </w:tr>
    </w:tbl>
    <w:p>
      <w:pPr>
        <w:pStyle w:val="TextBody"/>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spacing w:before="0" w:after="0"/>
        <w:ind w:left="294" w:right="294" w:hanging="0"/>
        <w:jc w:val="left"/>
        <w:rPr/>
      </w:pPr>
      <w:r>
        <w:rPr/>
        <w:t> </w:t>
      </w:r>
    </w:p>
    <w:tbl>
      <w:tblPr>
        <w:tblW w:w="4735" w:type="dxa"/>
        <w:jc w:val="left"/>
        <w:tblInd w:w="0" w:type="dxa"/>
        <w:tblCellMar>
          <w:top w:w="0" w:type="dxa"/>
          <w:left w:w="0" w:type="dxa"/>
          <w:bottom w:w="0" w:type="dxa"/>
          <w:right w:w="0" w:type="dxa"/>
        </w:tblCellMar>
      </w:tblPr>
      <w:tblGrid>
        <w:gridCol w:w="1535"/>
        <w:gridCol w:w="60"/>
        <w:gridCol w:w="3080"/>
        <w:gridCol w:w="60"/>
      </w:tblGrid>
      <w:tr>
        <w:trPr/>
        <w:tc>
          <w:tcPr>
            <w:tcW w:w="1535"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308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Proto Labs, Inc.</w:t>
            </w:r>
          </w:p>
        </w:tc>
        <w:tc>
          <w:tcPr>
            <w:tcW w:w="60" w:type="dxa"/>
            <w:tcBorders/>
            <w:shd w:fill="auto" w:val="clear"/>
            <w:vAlign w:val="center"/>
          </w:tcPr>
          <w:p>
            <w:pPr>
              <w:pStyle w:val="TableContents"/>
              <w:spacing w:before="0" w:after="0"/>
              <w:ind w:left="0" w:right="0" w:hanging="0"/>
              <w:jc w:val="left"/>
              <w:rPr/>
            </w:pPr>
            <w:r>
              <w:rPr/>
              <w:t> </w:t>
            </w:r>
          </w:p>
        </w:tc>
      </w:tr>
      <w:tr>
        <w:trPr/>
        <w:tc>
          <w:tcPr>
            <w:tcW w:w="1535"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3080"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r>
      <w:tr>
        <w:trPr/>
        <w:tc>
          <w:tcPr>
            <w:tcW w:w="153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Date: May 5, 2023</w:t>
            </w:r>
          </w:p>
        </w:tc>
        <w:tc>
          <w:tcPr>
            <w:tcW w:w="60" w:type="dxa"/>
            <w:tcBorders/>
            <w:shd w:fill="auto" w:val="clear"/>
            <w:vAlign w:val="center"/>
          </w:tcPr>
          <w:p>
            <w:pPr>
              <w:pStyle w:val="TableContents"/>
              <w:spacing w:before="0" w:after="0"/>
              <w:ind w:left="0" w:right="0" w:hanging="0"/>
              <w:jc w:val="left"/>
              <w:rPr/>
            </w:pPr>
            <w:r>
              <w:rPr/>
              <w:t> </w:t>
            </w:r>
          </w:p>
        </w:tc>
        <w:tc>
          <w:tcPr>
            <w:tcW w:w="308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/s/ Robert Bodor</w:t>
            </w:r>
          </w:p>
        </w:tc>
        <w:tc>
          <w:tcPr>
            <w:tcW w:w="60" w:type="dxa"/>
            <w:tcBorders/>
            <w:shd w:fill="auto" w:val="clear"/>
            <w:vAlign w:val="center"/>
          </w:tcPr>
          <w:p>
            <w:pPr>
              <w:pStyle w:val="TableContents"/>
              <w:spacing w:before="0" w:after="0"/>
              <w:ind w:left="0" w:right="0" w:hanging="0"/>
              <w:jc w:val="left"/>
              <w:rPr/>
            </w:pPr>
            <w:r>
              <w:rPr/>
              <w:t> </w:t>
            </w:r>
          </w:p>
        </w:tc>
      </w:tr>
      <w:tr>
        <w:trPr/>
        <w:tc>
          <w:tcPr>
            <w:tcW w:w="1535"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308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Robert Bodor</w:t>
            </w:r>
          </w:p>
        </w:tc>
        <w:tc>
          <w:tcPr>
            <w:tcW w:w="60" w:type="dxa"/>
            <w:tcBorders/>
            <w:shd w:fill="auto" w:val="clear"/>
            <w:vAlign w:val="center"/>
          </w:tcPr>
          <w:p>
            <w:pPr>
              <w:pStyle w:val="TableContents"/>
              <w:spacing w:before="0" w:after="0"/>
              <w:ind w:left="0" w:right="0" w:hanging="0"/>
              <w:jc w:val="left"/>
              <w:rPr/>
            </w:pPr>
            <w:r>
              <w:rPr/>
              <w:t> </w:t>
            </w:r>
          </w:p>
        </w:tc>
      </w:tr>
      <w:tr>
        <w:trPr/>
        <w:tc>
          <w:tcPr>
            <w:tcW w:w="1535"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308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60" w:type="dxa"/>
            <w:tcBorders/>
            <w:shd w:fill="auto" w:val="clear"/>
            <w:vAlign w:val="center"/>
          </w:tcPr>
          <w:p>
            <w:pPr>
              <w:pStyle w:val="TableContents"/>
              <w:spacing w:before="0" w:after="0"/>
              <w:ind w:left="0" w:right="0" w:hanging="0"/>
              <w:jc w:val="left"/>
              <w:rPr/>
            </w:pPr>
            <w:r>
              <w:rPr/>
              <w:t> </w:t>
            </w:r>
          </w:p>
        </w:tc>
      </w:tr>
    </w:tbl>
    <w:p>
      <w:pPr>
        <w:pStyle w:val="TextBody"/>
        <w:spacing w:before="0" w:after="0"/>
        <w:ind w:left="294" w:right="294" w:hanging="0"/>
        <w:jc w:val="left"/>
        <w:rPr/>
      </w:pPr>
      <w:r>
        <w:rPr/>
        <w:t> </w:t>
      </w:r>
    </w:p>
    <w:tbl>
      <w:tblPr>
        <w:tblW w:w="3940" w:type="dxa"/>
        <w:jc w:val="left"/>
        <w:tblInd w:w="0" w:type="dxa"/>
        <w:tblCellMar>
          <w:top w:w="0" w:type="dxa"/>
          <w:left w:w="0" w:type="dxa"/>
          <w:bottom w:w="0" w:type="dxa"/>
          <w:right w:w="0" w:type="dxa"/>
        </w:tblCellMar>
      </w:tblPr>
      <w:tblGrid>
        <w:gridCol w:w="1535"/>
        <w:gridCol w:w="60"/>
        <w:gridCol w:w="2285"/>
        <w:gridCol w:w="60"/>
      </w:tblGrid>
      <w:tr>
        <w:trPr/>
        <w:tc>
          <w:tcPr>
            <w:tcW w:w="153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Date: May 5, 2023</w:t>
            </w:r>
          </w:p>
        </w:tc>
        <w:tc>
          <w:tcPr>
            <w:tcW w:w="60" w:type="dxa"/>
            <w:tcBorders/>
            <w:shd w:fill="auto" w:val="clear"/>
            <w:vAlign w:val="center"/>
          </w:tcPr>
          <w:p>
            <w:pPr>
              <w:pStyle w:val="TableContents"/>
              <w:spacing w:before="0" w:after="0"/>
              <w:ind w:left="0" w:right="0" w:hanging="0"/>
              <w:jc w:val="left"/>
              <w:rPr/>
            </w:pPr>
            <w:r>
              <w:rPr/>
              <w:t> </w:t>
            </w:r>
          </w:p>
        </w:tc>
        <w:tc>
          <w:tcPr>
            <w:tcW w:w="228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/s/ Daniel Schumacher</w:t>
            </w:r>
          </w:p>
        </w:tc>
        <w:tc>
          <w:tcPr>
            <w:tcW w:w="60" w:type="dxa"/>
            <w:tcBorders/>
            <w:shd w:fill="auto" w:val="clear"/>
            <w:vAlign w:val="center"/>
          </w:tcPr>
          <w:p>
            <w:pPr>
              <w:pStyle w:val="TableContents"/>
              <w:spacing w:before="0" w:after="0"/>
              <w:ind w:left="0" w:right="0" w:hanging="0"/>
              <w:jc w:val="left"/>
              <w:rPr/>
            </w:pPr>
            <w:r>
              <w:rPr/>
              <w:t> </w:t>
            </w:r>
          </w:p>
        </w:tc>
      </w:tr>
      <w:tr>
        <w:trPr/>
        <w:tc>
          <w:tcPr>
            <w:tcW w:w="1535"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2285" w:type="dxa"/>
            <w:tcBorders/>
            <w:shd w:fill="auto" w:val="clear"/>
            <w:vAlign w:val="center"/>
          </w:tcPr>
          <w:p>
            <w:pPr>
              <w:pStyle w:val="TableContents"/>
              <w:spacing w:before="0" w:after="283"/>
              <w:rPr/>
            </w:pPr>
            <w:r>
              <w:rPr/>
              <w:t>Daniel Schumacher</w:t>
            </w:r>
          </w:p>
        </w:tc>
        <w:tc>
          <w:tcPr>
            <w:tcW w:w="60" w:type="dxa"/>
            <w:tcBorders/>
            <w:shd w:fill="auto" w:val="clear"/>
            <w:vAlign w:val="center"/>
          </w:tcPr>
          <w:p>
            <w:pPr>
              <w:pStyle w:val="TableContents"/>
              <w:spacing w:before="0" w:after="0"/>
              <w:ind w:left="0" w:right="0" w:hanging="0"/>
              <w:jc w:val="left"/>
              <w:rPr/>
            </w:pPr>
            <w:r>
              <w:rPr/>
              <w:t> </w:t>
            </w:r>
          </w:p>
        </w:tc>
      </w:tr>
      <w:tr>
        <w:trPr/>
        <w:tc>
          <w:tcPr>
            <w:tcW w:w="1535"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228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c>
          <w:tcPr>
            <w:tcW w:w="60" w:type="dxa"/>
            <w:tcBorders/>
            <w:shd w:fill="auto" w:val="clear"/>
            <w:vAlign w:val="center"/>
          </w:tcPr>
          <w:p>
            <w:pPr>
              <w:pStyle w:val="TableContents"/>
              <w:spacing w:before="0" w:after="0"/>
              <w:ind w:left="0" w:right="0" w:hanging="0"/>
              <w:jc w:val="left"/>
              <w:rPr/>
            </w:pPr>
            <w:r>
              <w:rPr/>
              <w:t> </w:t>
            </w:r>
          </w:p>
        </w:tc>
      </w:tr>
    </w:tbl>
    <w:p>
      <w:pPr>
        <w:pStyle w:val="TextBody"/>
        <w:rPr/>
      </w:pPr>
      <w:r>
        <w:rPr/>
        <w:t> </w:t>
      </w:r>
    </w:p>
    <w:p>
      <w:pPr>
        <w:pStyle w:val="TextBody"/>
        <w:rPr/>
      </w:pPr>
      <w:r>
        <w:rPr/>
        <w:t> </w:t>
      </w:r>
    </w:p>
    <w:p>
      <w:pPr>
        <w:pStyle w:val="TextBody"/>
        <w:jc w:val="center"/>
        <w:rPr>
          <w:rFonts w:ascii="Times New Roman" w:hAnsi="Times New Roman"/>
          <w:sz w:val="20"/>
        </w:rPr>
      </w:pPr>
      <w:r>
        <w:rPr>
          <w:rFonts w:ascii="Times New Roman" w:hAnsi="Times New Roman"/>
          <w:sz w:val="20"/>
        </w:rPr>
        <w:t xml:space="preserve">27 </w:t>
      </w:r>
      <w:r>
        <w:br w:type="page"/>
      </w:r>
    </w:p>
    <w:p>
      <w:pPr>
        <w:pStyle w:val="TextBody"/>
        <w:spacing w:before="0" w:after="0"/>
        <w:ind w:left="144" w:right="144" w:hanging="0"/>
        <w:jc w:val="left"/>
        <w:rPr/>
      </w:pPr>
      <w:bookmarkStart w:id="15" w:name="ex_470548.htm"/>
      <w:bookmarkStart w:id="16" w:name="ksex_470548"/>
      <w:bookmarkEnd w:id="15"/>
      <w:bookmarkEnd w:id="16"/>
      <w:r>
        <w:rPr/>
        <w:t> </w:t>
      </w:r>
    </w:p>
    <w:p>
      <w:pPr>
        <w:pStyle w:val="TextBody"/>
        <w:spacing w:before="0" w:after="0"/>
        <w:ind w:left="144" w:right="144" w:hanging="0"/>
        <w:jc w:val="right"/>
        <w:rPr>
          <w:rFonts w:ascii="Times New Roman;Times;serif" w:hAnsi="Times New Roman;Times;serif"/>
          <w:b/>
          <w:sz w:val="20"/>
        </w:rPr>
      </w:pPr>
      <w:r>
        <w:rPr>
          <w:rFonts w:ascii="Times New Roman;Times;serif" w:hAnsi="Times New Roman;Times;serif"/>
          <w:b/>
          <w:sz w:val="20"/>
        </w:rPr>
        <w:t>Exhibit 31.1</w:t>
      </w:r>
    </w:p>
    <w:p>
      <w:pPr>
        <w:pStyle w:val="TextBody"/>
        <w:spacing w:before="0" w:after="0"/>
        <w:ind w:left="894" w:right="894" w:hanging="0"/>
        <w:jc w:val="left"/>
        <w:rPr/>
      </w:pPr>
      <w:r>
        <w:rPr/>
        <w:t> </w:t>
      </w:r>
    </w:p>
    <w:p>
      <w:pPr>
        <w:pStyle w:val="TextBody"/>
        <w:spacing w:before="0" w:after="0"/>
        <w:ind w:left="444" w:right="444" w:hanging="0"/>
        <w:jc w:val="center"/>
        <w:rPr>
          <w:rFonts w:ascii="Times New Roman;Times;serif" w:hAnsi="Times New Roman;Times;serif"/>
          <w:b/>
          <w:sz w:val="20"/>
        </w:rPr>
      </w:pPr>
      <w:r>
        <w:rPr>
          <w:rFonts w:ascii="Times New Roman;Times;serif" w:hAnsi="Times New Roman;Times;serif"/>
          <w:b/>
          <w:sz w:val="20"/>
        </w:rPr>
        <w:t xml:space="preserve">CERTIFICATION PURSUANT TO RULE 13a-14(a) OR 15d-14(a) OF </w:t>
      </w:r>
    </w:p>
    <w:p>
      <w:pPr>
        <w:pStyle w:val="TextBody"/>
        <w:spacing w:before="0" w:after="0"/>
        <w:ind w:left="444" w:right="444" w:hanging="0"/>
        <w:jc w:val="center"/>
        <w:rPr>
          <w:rFonts w:ascii="Times New Roman;Times;serif" w:hAnsi="Times New Roman;Times;serif"/>
          <w:b/>
          <w:sz w:val="20"/>
        </w:rPr>
      </w:pPr>
      <w:r>
        <w:rPr>
          <w:rFonts w:ascii="Times New Roman;Times;serif" w:hAnsi="Times New Roman;Times;serif"/>
          <w:b/>
          <w:sz w:val="20"/>
        </w:rPr>
        <w:t xml:space="preserve">THE SECURITIES EXCHANGE ACT OF 1934, </w:t>
      </w:r>
    </w:p>
    <w:p>
      <w:pPr>
        <w:pStyle w:val="TextBody"/>
        <w:spacing w:before="0" w:after="0"/>
        <w:ind w:left="444" w:right="444" w:hanging="0"/>
        <w:jc w:val="center"/>
        <w:rPr>
          <w:rFonts w:ascii="Times New Roman;Times;serif" w:hAnsi="Times New Roman;Times;serif"/>
          <w:b/>
          <w:sz w:val="20"/>
        </w:rPr>
      </w:pPr>
      <w:r>
        <w:rPr>
          <w:rFonts w:ascii="Times New Roman;Times;serif" w:hAnsi="Times New Roman;Times;serif"/>
          <w:b/>
          <w:sz w:val="20"/>
        </w:rPr>
        <w:t xml:space="preserve">AS ADOPTED PURSUANT TO SECTION 302 OF </w:t>
      </w:r>
    </w:p>
    <w:p>
      <w:pPr>
        <w:pStyle w:val="TextBody"/>
        <w:spacing w:before="0" w:after="0"/>
        <w:ind w:left="444" w:right="444" w:hanging="0"/>
        <w:jc w:val="center"/>
        <w:rPr>
          <w:rFonts w:ascii="Times New Roman;Times;serif" w:hAnsi="Times New Roman;Times;serif"/>
          <w:b/>
          <w:sz w:val="20"/>
        </w:rPr>
      </w:pPr>
      <w:r>
        <w:rPr>
          <w:rFonts w:ascii="Times New Roman;Times;serif" w:hAnsi="Times New Roman;Times;serif"/>
          <w:b/>
          <w:sz w:val="20"/>
        </w:rPr>
        <w:t>THE SARBANES-OXLEY ACT OF 2002</w:t>
      </w:r>
    </w:p>
    <w:p>
      <w:pPr>
        <w:pStyle w:val="TextBody"/>
        <w:spacing w:before="0" w:after="0"/>
        <w:ind w:left="894" w:right="894"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I, Robert Bodor, certify that:</w:t>
      </w:r>
    </w:p>
    <w:p>
      <w:pPr>
        <w:pStyle w:val="TextBody"/>
        <w:spacing w:before="0" w:after="0"/>
        <w:ind w:left="894" w:right="894" w:hanging="0"/>
        <w:jc w:val="left"/>
        <w:rPr/>
      </w:pPr>
      <w:r>
        <w:rPr/>
        <w:t> </w:t>
      </w:r>
    </w:p>
    <w:p>
      <w:pPr>
        <w:pStyle w:val="TextBody"/>
        <w:spacing w:before="0" w:after="0"/>
        <w:ind w:left="0" w:right="0" w:firstLine="540"/>
        <w:jc w:val="left"/>
        <w:rPr>
          <w:rFonts w:ascii="Times New Roman;Times;serif" w:hAnsi="Times New Roman;Times;serif"/>
          <w:sz w:val="20"/>
        </w:rPr>
      </w:pPr>
      <w:r>
        <w:rPr>
          <w:rFonts w:ascii="Times New Roman;Times;serif" w:hAnsi="Times New Roman;Times;serif"/>
          <w:sz w:val="20"/>
        </w:rPr>
        <w:t>1. I have reviewed this Quarterly Report on Form 10-Q of Proto Labs, Inc.;</w:t>
      </w:r>
    </w:p>
    <w:p>
      <w:pPr>
        <w:pStyle w:val="TextBody"/>
        <w:spacing w:before="0" w:after="0"/>
        <w:ind w:left="0" w:right="0" w:firstLine="540"/>
        <w:jc w:val="left"/>
        <w:rPr/>
      </w:pPr>
      <w:r>
        <w:rPr/>
        <w:t> </w:t>
      </w:r>
    </w:p>
    <w:p>
      <w:pPr>
        <w:pStyle w:val="TextBody"/>
        <w:spacing w:before="0" w:after="0"/>
        <w:ind w:left="0" w:right="0" w:firstLine="54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firstLine="540"/>
        <w:jc w:val="left"/>
        <w:rPr/>
      </w:pPr>
      <w:r>
        <w:rPr/>
        <w:t> </w:t>
      </w:r>
    </w:p>
    <w:p>
      <w:pPr>
        <w:pStyle w:val="TextBody"/>
        <w:spacing w:before="0" w:after="0"/>
        <w:ind w:left="0" w:right="0" w:firstLine="54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firstLine="540"/>
        <w:jc w:val="left"/>
        <w:rPr/>
      </w:pPr>
      <w:r>
        <w:rPr/>
        <w:t> </w:t>
      </w:r>
    </w:p>
    <w:p>
      <w:pPr>
        <w:pStyle w:val="TextBody"/>
        <w:spacing w:before="0" w:after="0"/>
        <w:ind w:left="0" w:right="0" w:firstLine="54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894" w:right="894" w:hanging="0"/>
        <w:jc w:val="left"/>
        <w:rPr/>
      </w:pPr>
      <w:r>
        <w:rPr/>
        <w:t> </w:t>
      </w:r>
    </w:p>
    <w:tbl>
      <w:tblPr>
        <w:tblW w:w="10205" w:type="dxa"/>
        <w:jc w:val="left"/>
        <w:tblInd w:w="0" w:type="dxa"/>
        <w:tblCellMar>
          <w:top w:w="0" w:type="dxa"/>
          <w:left w:w="0" w:type="dxa"/>
          <w:bottom w:w="0" w:type="dxa"/>
          <w:right w:w="0" w:type="dxa"/>
        </w:tblCellMar>
      </w:tblPr>
      <w:tblGrid>
        <w:gridCol w:w="60"/>
        <w:gridCol w:w="129"/>
        <w:gridCol w:w="10016"/>
      </w:tblGrid>
      <w:tr>
        <w:trPr/>
        <w:tc>
          <w:tcPr>
            <w:tcW w:w="60" w:type="dxa"/>
            <w:tcBorders/>
            <w:shd w:fill="auto" w:val="clear"/>
            <w:vAlign w:val="center"/>
          </w:tcPr>
          <w:p>
            <w:pPr>
              <w:pStyle w:val="TableContents"/>
              <w:spacing w:before="0" w:after="0"/>
              <w:ind w:left="0" w:right="0" w:hanging="0"/>
              <w:jc w:val="left"/>
              <w:rPr/>
            </w:pPr>
            <w:r>
              <w:rPr/>
              <w:t> </w:t>
            </w:r>
          </w:p>
        </w:tc>
        <w:tc>
          <w:tcPr>
            <w:tcW w:w="129"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16"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744" w:right="744" w:hanging="0"/>
        <w:jc w:val="left"/>
        <w:rPr/>
      </w:pPr>
      <w:r>
        <w:rPr/>
        <w:t> </w:t>
      </w:r>
    </w:p>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vAlign w:val="center"/>
          </w:tcPr>
          <w:p>
            <w:pPr>
              <w:pStyle w:val="TableContents"/>
              <w:spacing w:before="0" w:after="0"/>
              <w:ind w:left="0" w:right="0" w:hanging="0"/>
              <w:jc w:val="left"/>
              <w:rPr/>
            </w:pPr>
            <w:r>
              <w:rPr/>
              <w:t> </w:t>
            </w:r>
          </w:p>
        </w:tc>
        <w:tc>
          <w:tcPr>
            <w:tcW w:w="144"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001"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744" w:right="744" w:hanging="0"/>
        <w:jc w:val="left"/>
        <w:rPr/>
      </w:pPr>
      <w:r>
        <w:rPr/>
        <w:t> </w:t>
      </w:r>
    </w:p>
    <w:tbl>
      <w:tblPr>
        <w:tblW w:w="10205" w:type="dxa"/>
        <w:jc w:val="left"/>
        <w:tblInd w:w="0" w:type="dxa"/>
        <w:tblCellMar>
          <w:top w:w="0" w:type="dxa"/>
          <w:left w:w="0" w:type="dxa"/>
          <w:bottom w:w="0" w:type="dxa"/>
          <w:right w:w="0" w:type="dxa"/>
        </w:tblCellMar>
      </w:tblPr>
      <w:tblGrid>
        <w:gridCol w:w="60"/>
        <w:gridCol w:w="135"/>
        <w:gridCol w:w="10010"/>
      </w:tblGrid>
      <w:tr>
        <w:trPr/>
        <w:tc>
          <w:tcPr>
            <w:tcW w:w="60" w:type="dxa"/>
            <w:tcBorders/>
            <w:shd w:fill="auto" w:val="clear"/>
            <w:vAlign w:val="center"/>
          </w:tcPr>
          <w:p>
            <w:pPr>
              <w:pStyle w:val="TableContents"/>
              <w:spacing w:before="0" w:after="0"/>
              <w:ind w:left="0" w:right="0" w:hanging="0"/>
              <w:jc w:val="left"/>
              <w:rPr/>
            </w:pPr>
            <w:r>
              <w:rPr/>
              <w:t> </w:t>
            </w:r>
          </w:p>
        </w:tc>
        <w:tc>
          <w:tcPr>
            <w:tcW w:w="13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1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744" w:right="744" w:hanging="0"/>
        <w:jc w:val="left"/>
        <w:rPr/>
      </w:pPr>
      <w:r>
        <w:rPr/>
        <w:t> </w:t>
      </w:r>
    </w:p>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vAlign w:val="center"/>
          </w:tcPr>
          <w:p>
            <w:pPr>
              <w:pStyle w:val="TableContents"/>
              <w:spacing w:before="0" w:after="0"/>
              <w:ind w:left="0" w:right="0" w:hanging="0"/>
              <w:jc w:val="left"/>
              <w:rPr/>
            </w:pPr>
            <w:r>
              <w:rPr/>
              <w:t> </w:t>
            </w:r>
          </w:p>
        </w:tc>
        <w:tc>
          <w:tcPr>
            <w:tcW w:w="144"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10001"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spacing w:before="0" w:after="0"/>
        <w:ind w:left="894" w:right="894" w:hanging="0"/>
        <w:jc w:val="left"/>
        <w:rPr/>
      </w:pPr>
      <w:r>
        <w:rPr/>
        <w:t> </w:t>
      </w:r>
    </w:p>
    <w:p>
      <w:pPr>
        <w:pStyle w:val="TextBody"/>
        <w:spacing w:before="0" w:after="0"/>
        <w:ind w:left="0" w:right="0" w:firstLine="54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894" w:right="894" w:hanging="0"/>
        <w:jc w:val="left"/>
        <w:rPr/>
      </w:pPr>
      <w:r>
        <w:rPr/>
        <w:t> </w:t>
      </w:r>
    </w:p>
    <w:tbl>
      <w:tblPr>
        <w:tblW w:w="10205" w:type="dxa"/>
        <w:jc w:val="left"/>
        <w:tblInd w:w="0" w:type="dxa"/>
        <w:tblCellMar>
          <w:top w:w="0" w:type="dxa"/>
          <w:left w:w="0" w:type="dxa"/>
          <w:bottom w:w="0" w:type="dxa"/>
          <w:right w:w="0" w:type="dxa"/>
        </w:tblCellMar>
      </w:tblPr>
      <w:tblGrid>
        <w:gridCol w:w="60"/>
        <w:gridCol w:w="137"/>
        <w:gridCol w:w="10008"/>
      </w:tblGrid>
      <w:tr>
        <w:trPr/>
        <w:tc>
          <w:tcPr>
            <w:tcW w:w="60" w:type="dxa"/>
            <w:tcBorders/>
            <w:shd w:fill="auto" w:val="clear"/>
            <w:vAlign w:val="center"/>
          </w:tcPr>
          <w:p>
            <w:pPr>
              <w:pStyle w:val="TableContents"/>
              <w:spacing w:before="0" w:after="0"/>
              <w:ind w:left="0" w:right="0" w:hanging="0"/>
              <w:jc w:val="left"/>
              <w:rPr/>
            </w:pPr>
            <w:r>
              <w:rPr/>
              <w:t> </w:t>
            </w:r>
          </w:p>
        </w:tc>
        <w:tc>
          <w:tcPr>
            <w:tcW w:w="137"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08"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744" w:right="744" w:hanging="0"/>
        <w:jc w:val="left"/>
        <w:rPr/>
      </w:pPr>
      <w:r>
        <w:rPr/>
        <w:t> </w:t>
      </w:r>
    </w:p>
    <w:tbl>
      <w:tblPr>
        <w:tblW w:w="10205" w:type="dxa"/>
        <w:jc w:val="left"/>
        <w:tblInd w:w="0" w:type="dxa"/>
        <w:tblCellMar>
          <w:top w:w="0" w:type="dxa"/>
          <w:left w:w="0" w:type="dxa"/>
          <w:bottom w:w="0" w:type="dxa"/>
          <w:right w:w="0" w:type="dxa"/>
        </w:tblCellMar>
      </w:tblPr>
      <w:tblGrid>
        <w:gridCol w:w="60"/>
        <w:gridCol w:w="167"/>
        <w:gridCol w:w="9978"/>
      </w:tblGrid>
      <w:tr>
        <w:trPr/>
        <w:tc>
          <w:tcPr>
            <w:tcW w:w="60" w:type="dxa"/>
            <w:tcBorders/>
            <w:shd w:fill="auto" w:val="clear"/>
            <w:vAlign w:val="center"/>
          </w:tcPr>
          <w:p>
            <w:pPr>
              <w:pStyle w:val="TableContents"/>
              <w:spacing w:before="0" w:after="0"/>
              <w:ind w:left="0" w:right="0" w:hanging="0"/>
              <w:jc w:val="left"/>
              <w:rPr/>
            </w:pPr>
            <w:r>
              <w:rPr/>
              <w:t> </w:t>
            </w:r>
          </w:p>
        </w:tc>
        <w:tc>
          <w:tcPr>
            <w:tcW w:w="167"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8"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spacing w:before="0" w:after="0"/>
        <w:ind w:left="894" w:right="894" w:hanging="0"/>
        <w:jc w:val="left"/>
        <w:rPr/>
      </w:pPr>
      <w:r>
        <w:rPr/>
        <w:t> </w:t>
      </w:r>
    </w:p>
    <w:tbl>
      <w:tblPr>
        <w:tblW w:w="5175" w:type="dxa"/>
        <w:jc w:val="left"/>
        <w:tblInd w:w="0" w:type="dxa"/>
        <w:tblCellMar>
          <w:top w:w="0" w:type="dxa"/>
          <w:left w:w="0" w:type="dxa"/>
          <w:bottom w:w="0" w:type="dxa"/>
          <w:right w:w="0" w:type="dxa"/>
        </w:tblCellMar>
      </w:tblPr>
      <w:tblGrid>
        <w:gridCol w:w="1535"/>
        <w:gridCol w:w="60"/>
        <w:gridCol w:w="60"/>
        <w:gridCol w:w="60"/>
        <w:gridCol w:w="320"/>
        <w:gridCol w:w="60"/>
        <w:gridCol w:w="3080"/>
      </w:tblGrid>
      <w:tr>
        <w:trPr/>
        <w:tc>
          <w:tcPr>
            <w:tcW w:w="153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Date: May 5, 2023</w:t>
            </w:r>
          </w:p>
        </w:tc>
        <w:tc>
          <w:tcPr>
            <w:tcW w:w="60"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By:</w:t>
            </w:r>
          </w:p>
        </w:tc>
        <w:tc>
          <w:tcPr>
            <w:tcW w:w="60" w:type="dxa"/>
            <w:tcBorders/>
            <w:shd w:fill="auto" w:val="clear"/>
            <w:vAlign w:val="center"/>
          </w:tcPr>
          <w:p>
            <w:pPr>
              <w:pStyle w:val="TableContents"/>
              <w:spacing w:before="0" w:after="0"/>
              <w:ind w:left="0" w:right="0" w:hanging="0"/>
              <w:jc w:val="left"/>
              <w:rPr/>
            </w:pPr>
            <w:r>
              <w:rPr/>
              <w:t> </w:t>
            </w:r>
          </w:p>
        </w:tc>
        <w:tc>
          <w:tcPr>
            <w:tcW w:w="3080" w:type="dxa"/>
            <w:tcBorders>
              <w:bottom w:val="single" w:sz="2" w:space="0" w:color="000000"/>
            </w:tcBorders>
            <w:shd w:fill="auto" w:val="clear"/>
            <w:tcMar>
              <w:bottom w:w="28"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/s/ Robert Bodor</w:t>
            </w:r>
          </w:p>
        </w:tc>
      </w:tr>
      <w:tr>
        <w:trPr/>
        <w:tc>
          <w:tcPr>
            <w:tcW w:w="1535"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308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Robert Bodor</w:t>
            </w:r>
          </w:p>
        </w:tc>
      </w:tr>
      <w:tr>
        <w:trPr/>
        <w:tc>
          <w:tcPr>
            <w:tcW w:w="1535"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308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535"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308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spacing w:before="0" w:after="0"/>
        <w:ind w:left="894" w:right="894" w:hanging="0"/>
        <w:jc w:val="left"/>
        <w:rPr/>
      </w:pPr>
      <w:r>
        <w:rPr/>
        <w:t> </w:t>
      </w:r>
    </w:p>
    <w:p>
      <w:pPr>
        <w:pStyle w:val="TextBody"/>
        <w:spacing w:before="0" w:after="0"/>
        <w:ind w:left="444" w:right="444" w:hanging="0"/>
        <w:jc w:val="center"/>
        <w:rPr/>
      </w:pPr>
      <w:r>
        <w:rPr/>
        <w:t> </w:t>
      </w:r>
    </w:p>
    <w:p>
      <w:pPr>
        <w:pStyle w:val="TextBody"/>
        <w:rPr/>
      </w:pPr>
      <w:r>
        <w:rPr/>
        <w:t> </w:t>
      </w:r>
      <w:r>
        <w:br w:type="page"/>
      </w:r>
    </w:p>
    <w:p>
      <w:pPr>
        <w:pStyle w:val="TextBody"/>
        <w:spacing w:before="0" w:after="0"/>
        <w:ind w:left="144" w:right="144" w:hanging="0"/>
        <w:jc w:val="left"/>
        <w:rPr/>
      </w:pPr>
      <w:bookmarkStart w:id="17" w:name="ex_470549.htm"/>
      <w:bookmarkStart w:id="18" w:name="ksex_470549"/>
      <w:bookmarkEnd w:id="17"/>
      <w:bookmarkEnd w:id="18"/>
      <w:r>
        <w:rPr/>
        <w:t> </w:t>
      </w:r>
    </w:p>
    <w:p>
      <w:pPr>
        <w:pStyle w:val="TextBody"/>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31.2</w:t>
      </w:r>
    </w:p>
    <w:p>
      <w:pPr>
        <w:pStyle w:val="TextBody"/>
        <w:spacing w:before="0" w:after="0"/>
        <w:ind w:left="894" w:right="894" w:hanging="0"/>
        <w:jc w:val="left"/>
        <w:rPr/>
      </w:pPr>
      <w:r>
        <w:rPr/>
        <w:t>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 PURSUANT TO RULE 13a-14(a) OR 15d-14(a) OF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THE SECURITIES EXCHANGE ACT OF 1934,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AS ADOPTED PURSUANT TO SECTION 302 OF </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20"/>
        </w:rPr>
        <w:t>THE SARBANES-OXLEY ACT OF 2002</w:t>
      </w:r>
      <w:r>
        <w:rPr>
          <w:rFonts w:ascii="Times New Roman;Times;serif" w:hAnsi="Times New Roman;Times;serif"/>
          <w:sz w:val="20"/>
        </w:rPr>
        <w:t> </w:t>
      </w:r>
    </w:p>
    <w:p>
      <w:pPr>
        <w:pStyle w:val="TextBody"/>
        <w:spacing w:before="0" w:after="0"/>
        <w:ind w:left="894" w:right="894"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I, Daniel Schumacher, certify that:</w:t>
      </w:r>
    </w:p>
    <w:p>
      <w:pPr>
        <w:pStyle w:val="TextBody"/>
        <w:spacing w:before="0" w:after="0"/>
        <w:ind w:left="894" w:right="894" w:hanging="0"/>
        <w:jc w:val="left"/>
        <w:rPr/>
      </w:pPr>
      <w:r>
        <w:rPr/>
        <w:t> </w:t>
      </w:r>
    </w:p>
    <w:p>
      <w:pPr>
        <w:pStyle w:val="TextBody"/>
        <w:spacing w:before="0" w:after="0"/>
        <w:ind w:left="0" w:right="0" w:firstLine="540"/>
        <w:jc w:val="left"/>
        <w:rPr>
          <w:rFonts w:ascii="Times New Roman;Times;serif" w:hAnsi="Times New Roman;Times;serif"/>
          <w:sz w:val="20"/>
        </w:rPr>
      </w:pPr>
      <w:r>
        <w:rPr>
          <w:rFonts w:ascii="Times New Roman;Times;serif" w:hAnsi="Times New Roman;Times;serif"/>
          <w:sz w:val="20"/>
        </w:rPr>
        <w:t>1. I have reviewed this Quarterly Report on Form 10-Q of Proto Labs, Inc.;</w:t>
      </w:r>
    </w:p>
    <w:p>
      <w:pPr>
        <w:pStyle w:val="TextBody"/>
        <w:spacing w:before="0" w:after="0"/>
        <w:ind w:left="0" w:right="0" w:firstLine="540"/>
        <w:jc w:val="left"/>
        <w:rPr/>
      </w:pPr>
      <w:r>
        <w:rPr/>
        <w:t> </w:t>
      </w:r>
    </w:p>
    <w:p>
      <w:pPr>
        <w:pStyle w:val="TextBody"/>
        <w:spacing w:before="0" w:after="0"/>
        <w:ind w:left="0" w:right="0" w:firstLine="54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firstLine="540"/>
        <w:jc w:val="left"/>
        <w:rPr/>
      </w:pPr>
      <w:r>
        <w:rPr/>
        <w:t> </w:t>
      </w:r>
    </w:p>
    <w:p>
      <w:pPr>
        <w:pStyle w:val="TextBody"/>
        <w:spacing w:before="0" w:after="0"/>
        <w:ind w:left="0" w:right="0" w:firstLine="54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firstLine="540"/>
        <w:jc w:val="left"/>
        <w:rPr/>
      </w:pPr>
      <w:r>
        <w:rPr/>
        <w:t> </w:t>
      </w:r>
    </w:p>
    <w:p>
      <w:pPr>
        <w:pStyle w:val="TextBody"/>
        <w:spacing w:before="0" w:after="0"/>
        <w:ind w:left="0" w:right="0" w:firstLine="54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894" w:right="894" w:hanging="0"/>
        <w:jc w:val="left"/>
        <w:rPr/>
      </w:pPr>
      <w:r>
        <w:rPr/>
        <w:t> </w:t>
      </w:r>
    </w:p>
    <w:tbl>
      <w:tblPr>
        <w:tblW w:w="10205" w:type="dxa"/>
        <w:jc w:val="left"/>
        <w:tblInd w:w="0" w:type="dxa"/>
        <w:tblCellMar>
          <w:top w:w="0" w:type="dxa"/>
          <w:left w:w="0" w:type="dxa"/>
          <w:bottom w:w="0" w:type="dxa"/>
          <w:right w:w="0" w:type="dxa"/>
        </w:tblCellMar>
      </w:tblPr>
      <w:tblGrid>
        <w:gridCol w:w="60"/>
        <w:gridCol w:w="129"/>
        <w:gridCol w:w="10016"/>
      </w:tblGrid>
      <w:tr>
        <w:trPr/>
        <w:tc>
          <w:tcPr>
            <w:tcW w:w="60" w:type="dxa"/>
            <w:tcBorders/>
            <w:shd w:fill="auto" w:val="clear"/>
            <w:vAlign w:val="center"/>
          </w:tcPr>
          <w:p>
            <w:pPr>
              <w:pStyle w:val="TableContents"/>
              <w:spacing w:before="0" w:after="0"/>
              <w:ind w:left="0" w:right="0" w:hanging="0"/>
              <w:jc w:val="left"/>
              <w:rPr/>
            </w:pPr>
            <w:r>
              <w:rPr/>
              <w:t> </w:t>
            </w:r>
          </w:p>
        </w:tc>
        <w:tc>
          <w:tcPr>
            <w:tcW w:w="129"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16"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744" w:right="744" w:hanging="0"/>
        <w:jc w:val="left"/>
        <w:rPr/>
      </w:pPr>
      <w:r>
        <w:rPr/>
        <w:t> </w:t>
      </w:r>
    </w:p>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vAlign w:val="center"/>
          </w:tcPr>
          <w:p>
            <w:pPr>
              <w:pStyle w:val="TableContents"/>
              <w:spacing w:before="0" w:after="0"/>
              <w:ind w:left="0" w:right="0" w:hanging="0"/>
              <w:jc w:val="left"/>
              <w:rPr/>
            </w:pPr>
            <w:r>
              <w:rPr/>
              <w:t> </w:t>
            </w:r>
          </w:p>
        </w:tc>
        <w:tc>
          <w:tcPr>
            <w:tcW w:w="144"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001"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744" w:right="744" w:hanging="0"/>
        <w:jc w:val="left"/>
        <w:rPr/>
      </w:pPr>
      <w:r>
        <w:rPr/>
        <w:t> </w:t>
      </w:r>
    </w:p>
    <w:tbl>
      <w:tblPr>
        <w:tblW w:w="10205" w:type="dxa"/>
        <w:jc w:val="left"/>
        <w:tblInd w:w="0" w:type="dxa"/>
        <w:tblCellMar>
          <w:top w:w="0" w:type="dxa"/>
          <w:left w:w="0" w:type="dxa"/>
          <w:bottom w:w="0" w:type="dxa"/>
          <w:right w:w="0" w:type="dxa"/>
        </w:tblCellMar>
      </w:tblPr>
      <w:tblGrid>
        <w:gridCol w:w="60"/>
        <w:gridCol w:w="135"/>
        <w:gridCol w:w="10010"/>
      </w:tblGrid>
      <w:tr>
        <w:trPr/>
        <w:tc>
          <w:tcPr>
            <w:tcW w:w="60" w:type="dxa"/>
            <w:tcBorders/>
            <w:shd w:fill="auto" w:val="clear"/>
            <w:vAlign w:val="center"/>
          </w:tcPr>
          <w:p>
            <w:pPr>
              <w:pStyle w:val="TableContents"/>
              <w:spacing w:before="0" w:after="0"/>
              <w:ind w:left="0" w:right="0" w:hanging="0"/>
              <w:jc w:val="left"/>
              <w:rPr/>
            </w:pPr>
            <w:r>
              <w:rPr/>
              <w:t> </w:t>
            </w:r>
          </w:p>
        </w:tc>
        <w:tc>
          <w:tcPr>
            <w:tcW w:w="13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1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744" w:right="744" w:hanging="0"/>
        <w:jc w:val="left"/>
        <w:rPr/>
      </w:pPr>
      <w:r>
        <w:rPr/>
        <w:t> </w:t>
      </w:r>
    </w:p>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vAlign w:val="center"/>
          </w:tcPr>
          <w:p>
            <w:pPr>
              <w:pStyle w:val="TableContents"/>
              <w:spacing w:before="0" w:after="0"/>
              <w:ind w:left="0" w:right="0" w:hanging="0"/>
              <w:jc w:val="left"/>
              <w:rPr/>
            </w:pPr>
            <w:r>
              <w:rPr/>
              <w:t> </w:t>
            </w:r>
          </w:p>
        </w:tc>
        <w:tc>
          <w:tcPr>
            <w:tcW w:w="144"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10001"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spacing w:before="0" w:after="0"/>
        <w:ind w:left="894" w:right="894" w:hanging="0"/>
        <w:jc w:val="left"/>
        <w:rPr/>
      </w:pPr>
      <w:r>
        <w:rPr/>
        <w:t> </w:t>
      </w:r>
    </w:p>
    <w:p>
      <w:pPr>
        <w:pStyle w:val="TextBody"/>
        <w:spacing w:before="0" w:after="0"/>
        <w:ind w:left="0" w:right="0" w:firstLine="54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894" w:right="894" w:hanging="0"/>
        <w:jc w:val="left"/>
        <w:rPr/>
      </w:pPr>
      <w:r>
        <w:rPr/>
        <w:t> </w:t>
      </w:r>
    </w:p>
    <w:tbl>
      <w:tblPr>
        <w:tblW w:w="10205" w:type="dxa"/>
        <w:jc w:val="left"/>
        <w:tblInd w:w="0" w:type="dxa"/>
        <w:tblCellMar>
          <w:top w:w="0" w:type="dxa"/>
          <w:left w:w="0" w:type="dxa"/>
          <w:bottom w:w="0" w:type="dxa"/>
          <w:right w:w="0" w:type="dxa"/>
        </w:tblCellMar>
      </w:tblPr>
      <w:tblGrid>
        <w:gridCol w:w="60"/>
        <w:gridCol w:w="137"/>
        <w:gridCol w:w="10008"/>
      </w:tblGrid>
      <w:tr>
        <w:trPr/>
        <w:tc>
          <w:tcPr>
            <w:tcW w:w="60" w:type="dxa"/>
            <w:tcBorders/>
            <w:shd w:fill="auto" w:val="clear"/>
            <w:vAlign w:val="center"/>
          </w:tcPr>
          <w:p>
            <w:pPr>
              <w:pStyle w:val="TableContents"/>
              <w:spacing w:before="0" w:after="0"/>
              <w:ind w:left="0" w:right="0" w:hanging="0"/>
              <w:jc w:val="left"/>
              <w:rPr/>
            </w:pPr>
            <w:r>
              <w:rPr/>
              <w:t> </w:t>
            </w:r>
          </w:p>
        </w:tc>
        <w:tc>
          <w:tcPr>
            <w:tcW w:w="137"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08"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744" w:right="744" w:hanging="0"/>
        <w:jc w:val="left"/>
        <w:rPr/>
      </w:pPr>
      <w:r>
        <w:rPr/>
        <w:t> </w:t>
      </w:r>
    </w:p>
    <w:tbl>
      <w:tblPr>
        <w:tblW w:w="10205" w:type="dxa"/>
        <w:jc w:val="left"/>
        <w:tblInd w:w="0" w:type="dxa"/>
        <w:tblCellMar>
          <w:top w:w="0" w:type="dxa"/>
          <w:left w:w="0" w:type="dxa"/>
          <w:bottom w:w="0" w:type="dxa"/>
          <w:right w:w="0" w:type="dxa"/>
        </w:tblCellMar>
      </w:tblPr>
      <w:tblGrid>
        <w:gridCol w:w="60"/>
        <w:gridCol w:w="167"/>
        <w:gridCol w:w="9978"/>
      </w:tblGrid>
      <w:tr>
        <w:trPr/>
        <w:tc>
          <w:tcPr>
            <w:tcW w:w="60" w:type="dxa"/>
            <w:tcBorders/>
            <w:shd w:fill="auto" w:val="clear"/>
            <w:vAlign w:val="center"/>
          </w:tcPr>
          <w:p>
            <w:pPr>
              <w:pStyle w:val="TableContents"/>
              <w:spacing w:before="0" w:after="0"/>
              <w:ind w:left="0" w:right="0" w:hanging="0"/>
              <w:jc w:val="left"/>
              <w:rPr/>
            </w:pPr>
            <w:r>
              <w:rPr/>
              <w:t> </w:t>
            </w:r>
          </w:p>
        </w:tc>
        <w:tc>
          <w:tcPr>
            <w:tcW w:w="167"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8"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spacing w:before="0" w:after="0"/>
        <w:ind w:left="894" w:right="894" w:hanging="0"/>
        <w:jc w:val="left"/>
        <w:rPr/>
      </w:pPr>
      <w:r>
        <w:rPr/>
        <w:t> </w:t>
      </w:r>
    </w:p>
    <w:tbl>
      <w:tblPr>
        <w:tblW w:w="4380" w:type="dxa"/>
        <w:jc w:val="left"/>
        <w:tblInd w:w="0" w:type="dxa"/>
        <w:tblCellMar>
          <w:top w:w="0" w:type="dxa"/>
          <w:left w:w="0" w:type="dxa"/>
          <w:bottom w:w="0" w:type="dxa"/>
          <w:right w:w="0" w:type="dxa"/>
        </w:tblCellMar>
      </w:tblPr>
      <w:tblGrid>
        <w:gridCol w:w="1535"/>
        <w:gridCol w:w="60"/>
        <w:gridCol w:w="60"/>
        <w:gridCol w:w="60"/>
        <w:gridCol w:w="320"/>
        <w:gridCol w:w="60"/>
        <w:gridCol w:w="2285"/>
      </w:tblGrid>
      <w:tr>
        <w:trPr/>
        <w:tc>
          <w:tcPr>
            <w:tcW w:w="153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Date: May 5, 2023</w:t>
            </w:r>
          </w:p>
        </w:tc>
        <w:tc>
          <w:tcPr>
            <w:tcW w:w="60"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By:</w:t>
            </w:r>
          </w:p>
        </w:tc>
        <w:tc>
          <w:tcPr>
            <w:tcW w:w="60" w:type="dxa"/>
            <w:tcBorders/>
            <w:shd w:fill="auto" w:val="clear"/>
            <w:vAlign w:val="center"/>
          </w:tcPr>
          <w:p>
            <w:pPr>
              <w:pStyle w:val="TableContents"/>
              <w:spacing w:before="0" w:after="0"/>
              <w:ind w:left="0" w:right="0" w:hanging="0"/>
              <w:jc w:val="left"/>
              <w:rPr/>
            </w:pPr>
            <w:r>
              <w:rPr/>
              <w:t> </w:t>
            </w:r>
          </w:p>
        </w:tc>
        <w:tc>
          <w:tcPr>
            <w:tcW w:w="2285" w:type="dxa"/>
            <w:tcBorders>
              <w:bottom w:val="single" w:sz="2" w:space="0" w:color="000000"/>
            </w:tcBorders>
            <w:shd w:fill="auto" w:val="clear"/>
            <w:tcMar>
              <w:bottom w:w="28"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/s/ Daniel Schumacher</w:t>
            </w:r>
          </w:p>
        </w:tc>
      </w:tr>
      <w:tr>
        <w:trPr/>
        <w:tc>
          <w:tcPr>
            <w:tcW w:w="1535"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228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Daniel Schumacher</w:t>
            </w:r>
          </w:p>
        </w:tc>
      </w:tr>
      <w:tr>
        <w:trPr/>
        <w:tc>
          <w:tcPr>
            <w:tcW w:w="1535"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228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535"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228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spacing w:before="0" w:after="0"/>
        <w:ind w:left="894" w:right="894" w:hanging="0"/>
        <w:jc w:val="left"/>
        <w:rPr/>
      </w:pPr>
      <w:r>
        <w:rPr/>
        <w:t> </w:t>
      </w:r>
    </w:p>
    <w:p>
      <w:pPr>
        <w:pStyle w:val="TextBody"/>
        <w:rPr/>
      </w:pPr>
      <w:r>
        <w:rPr/>
        <w:t> </w:t>
      </w:r>
      <w:r>
        <w:br w:type="page"/>
      </w:r>
    </w:p>
    <w:p>
      <w:pPr>
        <w:pStyle w:val="TextBody"/>
        <w:spacing w:before="0" w:after="0"/>
        <w:ind w:left="144" w:right="144" w:hanging="0"/>
        <w:jc w:val="left"/>
        <w:rPr/>
      </w:pPr>
      <w:bookmarkStart w:id="19" w:name="ex_470550.htm"/>
      <w:bookmarkStart w:id="20" w:name="ksex_470550"/>
      <w:bookmarkEnd w:id="19"/>
      <w:bookmarkEnd w:id="20"/>
      <w:r>
        <w:rPr/>
        <w:t> </w:t>
      </w:r>
    </w:p>
    <w:p>
      <w:pPr>
        <w:pStyle w:val="TextBody"/>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32.1</w:t>
      </w:r>
    </w:p>
    <w:p>
      <w:pPr>
        <w:pStyle w:val="TextBody"/>
        <w:spacing w:before="0" w:after="0"/>
        <w:ind w:left="894" w:right="894" w:hanging="0"/>
        <w:jc w:val="left"/>
        <w:rPr/>
      </w:pPr>
      <w:r>
        <w:rPr/>
        <w:t> </w:t>
      </w:r>
    </w:p>
    <w:p>
      <w:pPr>
        <w:pStyle w:val="TextBody"/>
        <w:spacing w:before="0" w:after="0"/>
        <w:ind w:left="894" w:right="894" w:hanging="0"/>
        <w:jc w:val="left"/>
        <w:rPr/>
      </w:pPr>
      <w:r>
        <w:rPr/>
        <w:t>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 OF CHIEF EXECUTIVE OFFICER AND CHIEF FINANCIAL OFFICER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PURSUANT TO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18 U.S.C. SECTION 1350,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AS ADOPTED PURSUANT TO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SECTION 906 OF THE SARBANES-OXLEY ACT OF 2002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I, Robert Bodor, certify, pursuant to 18 U.S.C. Section 1350, as adopted pursuant to Section 906 of the Sarbanes-Oxley Act of 2002, that the Quarterly Report of Proto Labs, Inc. on Form 10-Q for the fiscal quarter ended </w:t>
      </w:r>
      <w:bookmarkStart w:id="21" w:name="led53341F20211271614466143920"/>
      <w:bookmarkEnd w:id="21"/>
      <w:r>
        <w:rPr>
          <w:rFonts w:ascii="Times New Roman;Times;serif" w:hAnsi="Times New Roman;Times;serif"/>
          <w:sz w:val="20"/>
        </w:rPr>
        <w:t>March 31, 2023 fully complies with the requirements of Section 13(a) or 15(d) of the Securities Exchange Act of 1934 and that information contained in such Quarterly Report on Form 10-Q fairly presents in all material respects the financial condition and results of operations of Proto Labs, Inc.</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Date: May 5, 2023</w:t>
      </w:r>
    </w:p>
    <w:p>
      <w:pPr>
        <w:pStyle w:val="TextBody"/>
        <w:spacing w:before="0" w:after="0"/>
        <w:ind w:left="894" w:right="894" w:hanging="0"/>
        <w:jc w:val="left"/>
        <w:rPr/>
      </w:pPr>
      <w:r>
        <w:rPr/>
        <w:t> </w:t>
      </w:r>
    </w:p>
    <w:tbl>
      <w:tblPr>
        <w:tblW w:w="3684" w:type="dxa"/>
        <w:jc w:val="left"/>
        <w:tblInd w:w="0" w:type="dxa"/>
        <w:tblCellMar>
          <w:top w:w="0" w:type="dxa"/>
          <w:left w:w="0" w:type="dxa"/>
          <w:bottom w:w="0" w:type="dxa"/>
          <w:right w:w="0" w:type="dxa"/>
        </w:tblCellMar>
      </w:tblPr>
      <w:tblGrid>
        <w:gridCol w:w="60"/>
        <w:gridCol w:w="483"/>
        <w:gridCol w:w="61"/>
        <w:gridCol w:w="3080"/>
      </w:tblGrid>
      <w:tr>
        <w:trPr/>
        <w:tc>
          <w:tcPr>
            <w:tcW w:w="60" w:type="dxa"/>
            <w:tcBorders/>
            <w:shd w:fill="auto" w:val="clear"/>
            <w:vAlign w:val="center"/>
          </w:tcPr>
          <w:p>
            <w:pPr>
              <w:pStyle w:val="TableContents"/>
              <w:spacing w:before="0" w:after="0"/>
              <w:ind w:left="0" w:right="0" w:hanging="0"/>
              <w:jc w:val="left"/>
              <w:rPr/>
            </w:pPr>
            <w:r>
              <w:rPr/>
              <w:t> </w:t>
            </w:r>
          </w:p>
        </w:tc>
        <w:tc>
          <w:tcPr>
            <w:tcW w:w="483"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1" w:type="dxa"/>
            <w:tcBorders>
              <w:bottom w:val="single" w:sz="2" w:space="0" w:color="000000"/>
            </w:tcBorders>
            <w:shd w:fill="auto" w:val="clear"/>
            <w:tcMar>
              <w:bottom w:w="28" w:type="dxa"/>
            </w:tcMar>
            <w:vAlign w:val="center"/>
          </w:tcPr>
          <w:p>
            <w:pPr>
              <w:pStyle w:val="TableContents"/>
              <w:spacing w:before="0" w:after="0"/>
              <w:ind w:left="0" w:right="0" w:hanging="0"/>
              <w:jc w:val="left"/>
              <w:rPr/>
            </w:pPr>
            <w:r>
              <w:rPr/>
              <w:t> </w:t>
            </w:r>
          </w:p>
        </w:tc>
        <w:tc>
          <w:tcPr>
            <w:tcW w:w="3080" w:type="dxa"/>
            <w:tcBorders>
              <w:bottom w:val="single" w:sz="2" w:space="0" w:color="000000"/>
            </w:tcBorders>
            <w:shd w:fill="auto" w:val="clear"/>
            <w:tcMar>
              <w:bottom w:w="28"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/s/ Robert Bodor</w:t>
            </w:r>
          </w:p>
        </w:tc>
      </w:tr>
      <w:tr>
        <w:trPr/>
        <w:tc>
          <w:tcPr>
            <w:tcW w:w="60" w:type="dxa"/>
            <w:tcBorders/>
            <w:shd w:fill="auto" w:val="clear"/>
            <w:vAlign w:val="center"/>
          </w:tcPr>
          <w:p>
            <w:pPr>
              <w:pStyle w:val="TableContents"/>
              <w:spacing w:before="0" w:after="0"/>
              <w:ind w:left="0" w:right="0" w:hanging="0"/>
              <w:jc w:val="left"/>
              <w:rPr/>
            </w:pPr>
            <w:r>
              <w:rPr/>
              <w:t> </w:t>
            </w:r>
          </w:p>
        </w:tc>
        <w:tc>
          <w:tcPr>
            <w:tcW w:w="544" w:type="dxa"/>
            <w:gridSpan w:val="2"/>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08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Robert Bodor</w:t>
            </w:r>
          </w:p>
        </w:tc>
      </w:tr>
      <w:tr>
        <w:trPr/>
        <w:tc>
          <w:tcPr>
            <w:tcW w:w="60" w:type="dxa"/>
            <w:tcBorders/>
            <w:shd w:fill="auto" w:val="clear"/>
            <w:vAlign w:val="center"/>
          </w:tcPr>
          <w:p>
            <w:pPr>
              <w:pStyle w:val="TableContents"/>
              <w:spacing w:before="0" w:after="0"/>
              <w:ind w:left="0" w:right="0" w:hanging="0"/>
              <w:jc w:val="left"/>
              <w:rPr/>
            </w:pPr>
            <w:r>
              <w:rPr/>
              <w:t> </w:t>
            </w:r>
          </w:p>
        </w:tc>
        <w:tc>
          <w:tcPr>
            <w:tcW w:w="483"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61" w:type="dxa"/>
            <w:tcBorders/>
            <w:shd w:fill="auto" w:val="clear"/>
            <w:vAlign w:val="center"/>
          </w:tcPr>
          <w:p>
            <w:pPr>
              <w:pStyle w:val="TableContents"/>
              <w:spacing w:before="0" w:after="0"/>
              <w:ind w:left="0" w:right="0" w:hanging="0"/>
              <w:jc w:val="left"/>
              <w:rPr/>
            </w:pPr>
            <w:r>
              <w:rPr/>
              <w:t> </w:t>
            </w:r>
          </w:p>
        </w:tc>
        <w:tc>
          <w:tcPr>
            <w:tcW w:w="308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spacing w:before="0" w:after="0"/>
        <w:ind w:left="894" w:right="894" w:hanging="0"/>
        <w:jc w:val="left"/>
        <w:rPr/>
      </w:pPr>
      <w:r>
        <w:rPr/>
        <w:t> </w:t>
      </w:r>
    </w:p>
    <w:p>
      <w:pPr>
        <w:pStyle w:val="TextBody"/>
        <w:spacing w:before="0" w:after="0"/>
        <w:ind w:left="894" w:right="894" w:hanging="0"/>
        <w:jc w:val="left"/>
        <w:rPr/>
      </w:pPr>
      <w:r>
        <w:rPr/>
        <w:t> </w:t>
      </w:r>
    </w:p>
    <w:p>
      <w:pPr>
        <w:pStyle w:val="TextBody"/>
        <w:spacing w:before="0" w:after="0"/>
        <w:ind w:left="894" w:right="894"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 Daniel Schumacher, certify, pursuant to 18 U.S.C. Section 1350, as adopted pursuant to Section 906 of the Sarbanes-Oxley Act of 2002, that the Quarterly Report of Proto Labs, Inc. on Form 10-Q for the fiscal quarter ended </w:t>
      </w:r>
      <w:bookmarkStart w:id="22" w:name="led53341F202112716144661439201"/>
      <w:bookmarkEnd w:id="22"/>
      <w:r>
        <w:rPr>
          <w:rFonts w:ascii="Times New Roman;Times;serif" w:hAnsi="Times New Roman;Times;serif"/>
          <w:sz w:val="20"/>
        </w:rPr>
        <w:t>March 31, 2023 fully complies with the requirements of Section 13(a) or 15(d) of the Securities Exchange Act of 1934 and that information contained in such Quarterly Report on Form 10-Q fairly presents in all material respects the financial condition and results of operations of Proto Labs, Inc.</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Date: May 5, 2023</w:t>
      </w:r>
    </w:p>
    <w:p>
      <w:pPr>
        <w:pStyle w:val="TextBody"/>
        <w:spacing w:before="0" w:after="0"/>
        <w:ind w:left="894" w:right="894" w:hanging="0"/>
        <w:jc w:val="left"/>
        <w:rPr/>
      </w:pPr>
      <w:r>
        <w:rPr/>
        <w:t> </w:t>
      </w:r>
    </w:p>
    <w:tbl>
      <w:tblPr>
        <w:tblW w:w="2484" w:type="dxa"/>
        <w:jc w:val="left"/>
        <w:tblInd w:w="0" w:type="dxa"/>
        <w:tblCellMar>
          <w:top w:w="0" w:type="dxa"/>
          <w:left w:w="0" w:type="dxa"/>
          <w:bottom w:w="0" w:type="dxa"/>
          <w:right w:w="0" w:type="dxa"/>
        </w:tblCellMar>
      </w:tblPr>
      <w:tblGrid>
        <w:gridCol w:w="60"/>
        <w:gridCol w:w="483"/>
        <w:gridCol w:w="61"/>
        <w:gridCol w:w="1880"/>
      </w:tblGrid>
      <w:tr>
        <w:trPr/>
        <w:tc>
          <w:tcPr>
            <w:tcW w:w="60" w:type="dxa"/>
            <w:tcBorders/>
            <w:shd w:fill="auto" w:val="clear"/>
            <w:vAlign w:val="center"/>
          </w:tcPr>
          <w:p>
            <w:pPr>
              <w:pStyle w:val="TableContents"/>
              <w:spacing w:before="0" w:after="0"/>
              <w:ind w:left="0" w:right="0" w:hanging="0"/>
              <w:jc w:val="left"/>
              <w:rPr/>
            </w:pPr>
            <w:r>
              <w:rPr/>
              <w:t> </w:t>
            </w:r>
          </w:p>
        </w:tc>
        <w:tc>
          <w:tcPr>
            <w:tcW w:w="483"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1" w:type="dxa"/>
            <w:tcBorders>
              <w:bottom w:val="single" w:sz="2" w:space="0" w:color="000000"/>
            </w:tcBorders>
            <w:shd w:fill="auto" w:val="clear"/>
            <w:tcMar>
              <w:bottom w:w="28" w:type="dxa"/>
            </w:tcMar>
            <w:vAlign w:val="center"/>
          </w:tcPr>
          <w:p>
            <w:pPr>
              <w:pStyle w:val="TableContents"/>
              <w:spacing w:before="0" w:after="0"/>
              <w:ind w:left="0" w:right="0" w:hanging="0"/>
              <w:jc w:val="left"/>
              <w:rPr/>
            </w:pPr>
            <w:r>
              <w:rPr/>
              <w:t> </w:t>
            </w:r>
          </w:p>
        </w:tc>
        <w:tc>
          <w:tcPr>
            <w:tcW w:w="1880" w:type="dxa"/>
            <w:tcBorders>
              <w:bottom w:val="single" w:sz="2" w:space="0" w:color="000000"/>
            </w:tcBorders>
            <w:shd w:fill="auto" w:val="clear"/>
            <w:tcMar>
              <w:bottom w:w="28"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/s/ Daniel Schumacher</w:t>
            </w:r>
          </w:p>
        </w:tc>
      </w:tr>
      <w:tr>
        <w:trPr/>
        <w:tc>
          <w:tcPr>
            <w:tcW w:w="60" w:type="dxa"/>
            <w:tcBorders/>
            <w:shd w:fill="auto" w:val="clear"/>
            <w:vAlign w:val="center"/>
          </w:tcPr>
          <w:p>
            <w:pPr>
              <w:pStyle w:val="TableContents"/>
              <w:spacing w:before="0" w:after="0"/>
              <w:ind w:left="0" w:right="0" w:hanging="0"/>
              <w:jc w:val="left"/>
              <w:rPr/>
            </w:pPr>
            <w:r>
              <w:rPr/>
              <w:t> </w:t>
            </w:r>
          </w:p>
        </w:tc>
        <w:tc>
          <w:tcPr>
            <w:tcW w:w="544" w:type="dxa"/>
            <w:gridSpan w:val="2"/>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88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Daniel Schumacher</w:t>
            </w:r>
          </w:p>
        </w:tc>
      </w:tr>
      <w:tr>
        <w:trPr/>
        <w:tc>
          <w:tcPr>
            <w:tcW w:w="60" w:type="dxa"/>
            <w:tcBorders/>
            <w:shd w:fill="auto" w:val="clear"/>
            <w:vAlign w:val="center"/>
          </w:tcPr>
          <w:p>
            <w:pPr>
              <w:pStyle w:val="TableContents"/>
              <w:spacing w:before="0" w:after="0"/>
              <w:ind w:left="0" w:right="0" w:hanging="0"/>
              <w:jc w:val="left"/>
              <w:rPr/>
            </w:pPr>
            <w:r>
              <w:rPr/>
              <w:t> </w:t>
            </w:r>
          </w:p>
        </w:tc>
        <w:tc>
          <w:tcPr>
            <w:tcW w:w="483"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61" w:type="dxa"/>
            <w:tcBorders/>
            <w:shd w:fill="auto" w:val="clear"/>
            <w:vAlign w:val="center"/>
          </w:tcPr>
          <w:p>
            <w:pPr>
              <w:pStyle w:val="TableContents"/>
              <w:spacing w:before="0" w:after="0"/>
              <w:ind w:left="0" w:right="0" w:hanging="0"/>
              <w:jc w:val="left"/>
              <w:rPr/>
            </w:pPr>
            <w:r>
              <w:rPr/>
              <w:t> </w:t>
            </w:r>
          </w:p>
        </w:tc>
        <w:tc>
          <w:tcPr>
            <w:tcW w:w="188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spacing w:before="0" w:after="0"/>
        <w:ind w:left="0" w:right="0" w:hanging="0"/>
        <w:jc w:val="left"/>
        <w:rPr/>
      </w:pPr>
      <w:r>
        <w:rPr/>
        <w:t> </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43669/000119312512054357/d199869dex32.htm" TargetMode="External"/><Relationship Id="rId3" Type="http://schemas.openxmlformats.org/officeDocument/2006/relationships/hyperlink" Target="http://www.sec.gov/Archives/edgar/data/1443669/000143774915010824/ex3-1.htm" TargetMode="External"/><Relationship Id="rId4" Type="http://schemas.openxmlformats.org/officeDocument/2006/relationships/hyperlink" Target="http://www.sec.gov/Archives/edgar/data/1443669/000143774922027471/ex_445136.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12032</Words>
  <CharactersWithSpaces>78945</CharactersWithSpaces>
  <Paragraphs>5213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