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auto"/>
        </w:rPr>
        <w:t>(Mark One)</w:t>
      </w:r>
    </w:p>
    <w:p>
      <w:pPr>
        <w:spacing w:after="0" w:line="155" w:lineRule="exact"/>
        <w:rPr>
          <w:sz w:val="24"/>
          <w:szCs w:val="24"/>
          <w:color w:val="auto"/>
        </w:rPr>
      </w:pPr>
    </w:p>
    <w:p>
      <w:pPr>
        <w:ind w:left="480" w:right="1920" w:hanging="458"/>
        <w:spacing w:after="0" w:line="346" w:lineRule="auto"/>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2024</w:t>
      </w:r>
    </w:p>
    <w:p>
      <w:pPr>
        <w:spacing w:after="0" w:line="10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70" w:lineRule="exact"/>
        <w:rPr>
          <w:sz w:val="24"/>
          <w:szCs w:val="24"/>
          <w:color w:val="auto"/>
        </w:rPr>
      </w:pPr>
    </w:p>
    <w:p>
      <w:pPr>
        <w:ind w:left="480" w:right="1920" w:hanging="458"/>
        <w:spacing w:after="0" w:line="336" w:lineRule="auto"/>
        <w:tabs>
          <w:tab w:leader="none" w:pos="48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001-35435</w:t>
      </w:r>
    </w:p>
    <w:p>
      <w:pPr>
        <w:spacing w:after="0" w:line="1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Proto Labs,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229"/>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Minnesota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41-1939628</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57"/>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5540 Pioneer Creek Drive</w:t>
            </w:r>
          </w:p>
        </w:tc>
        <w:tc>
          <w:tcPr>
            <w:tcW w:w="3660" w:type="dxa"/>
            <w:vAlign w:val="bottom"/>
          </w:tcPr>
          <w:p>
            <w:pPr>
              <w:spacing w:after="0"/>
              <w:rPr>
                <w:sz w:val="24"/>
                <w:szCs w:val="24"/>
                <w:color w:val="auto"/>
              </w:rPr>
            </w:pPr>
          </w:p>
        </w:tc>
      </w:tr>
      <w:tr>
        <w:trPr>
          <w:trHeight w:val="248"/>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Maple Plain, Minnesota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55359</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(763) 479-3680</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55"/>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1"/>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5" w:lineRule="exact"/>
        <w:rPr>
          <w:sz w:val="24"/>
          <w:szCs w:val="24"/>
          <w:color w:val="auto"/>
        </w:rPr>
      </w:pPr>
    </w:p>
    <w:p>
      <w:pPr>
        <w:ind w:right="200" w:firstLine="47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60" w:lineRule="exact"/>
        <w:rPr>
          <w:sz w:val="24"/>
          <w:szCs w:val="24"/>
          <w:color w:val="auto"/>
        </w:rPr>
      </w:pPr>
    </w:p>
    <w:p>
      <w:pPr>
        <w:ind w:right="260" w:firstLine="47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58" w:lineRule="exact"/>
        <w:rPr>
          <w:sz w:val="24"/>
          <w:szCs w:val="24"/>
          <w:color w:val="auto"/>
        </w:rPr>
      </w:pPr>
    </w:p>
    <w:p>
      <w:pPr>
        <w:jc w:val="both"/>
        <w:ind w:right="120" w:firstLine="47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80" w:type="dxa"/>
            <w:vAlign w:val="bottom"/>
          </w:tcPr>
          <w:p>
            <w:pPr>
              <w:ind w:left="7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bl>
    <w:p>
      <w:pPr>
        <w:spacing w:after="0" w:line="191" w:lineRule="exact"/>
        <w:rPr>
          <w:sz w:val="24"/>
          <w:szCs w:val="24"/>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57" w:lineRule="exact"/>
        <w:rPr>
          <w:sz w:val="24"/>
          <w:szCs w:val="24"/>
          <w:color w:val="auto"/>
        </w:rPr>
      </w:pPr>
    </w:p>
    <w:p>
      <w:pPr>
        <w:ind w:right="60" w:firstLine="470"/>
        <w:spacing w:after="0" w:line="29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24,510,076 shares of Common Stock, par value $0.001 per share, were outstanding at October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38735</wp:posOffset>
            </wp:positionV>
            <wp:extent cx="6899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63500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1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953"/>
        </w:trPr>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20" w:type="dxa"/>
            <w:vAlign w:val="bottom"/>
            <w:gridSpan w:val="9"/>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Proto Labs, Inc.</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1"/>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Item</w:t>
            </w:r>
          </w:p>
        </w:tc>
        <w:tc>
          <w:tcPr>
            <w:tcW w:w="120" w:type="dxa"/>
            <w:vAlign w:val="bottom"/>
          </w:tcPr>
          <w:p>
            <w:pPr>
              <w:spacing w:after="0"/>
              <w:rPr>
                <w:sz w:val="24"/>
                <w:szCs w:val="24"/>
                <w:color w:val="auto"/>
              </w:rPr>
            </w:pPr>
          </w:p>
        </w:tc>
        <w:tc>
          <w:tcPr>
            <w:tcW w:w="87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80" w:type="dxa"/>
            <w:vAlign w:val="bottom"/>
          </w:tcPr>
          <w:p>
            <w:pPr>
              <w:spacing w:after="0"/>
              <w:rPr>
                <w:sz w:val="24"/>
                <w:szCs w:val="24"/>
                <w:color w:val="auto"/>
              </w:rPr>
            </w:pPr>
          </w:p>
        </w:tc>
        <w:tc>
          <w:tcPr>
            <w:tcW w:w="1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4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4220"/>
              <w:spacing w:after="0"/>
              <w:rPr>
                <w:sz w:val="20"/>
                <w:szCs w:val="20"/>
                <w:color w:val="auto"/>
              </w:rPr>
            </w:pPr>
            <w:r>
              <w:rPr>
                <w:rFonts w:ascii="Times New Roman" w:cs="Times New Roman" w:eastAsia="Times New Roman" w:hAnsi="Times New Roman"/>
                <w:sz w:val="17"/>
                <w:szCs w:val="17"/>
                <w:color w:val="0000EE"/>
                <w:w w:val="97"/>
              </w:rPr>
              <w:t>PART I</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2660" w:type="dxa"/>
            <w:vAlign w:val="bottom"/>
            <w:gridSpan w:val="4"/>
          </w:tcPr>
          <w:p>
            <w:pPr>
              <w:spacing w:after="0"/>
              <w:rPr>
                <w:sz w:val="19"/>
                <w:szCs w:val="19"/>
                <w:color w:val="auto"/>
              </w:rPr>
            </w:pPr>
          </w:p>
        </w:tc>
        <w:tc>
          <w:tcPr>
            <w:tcW w:w="520" w:type="dxa"/>
            <w:vAlign w:val="bottom"/>
            <w:tcBorders>
              <w:top w:val="single" w:sz="8" w:color="0000EE"/>
            </w:tcBorders>
            <w:gridSpan w:val="3"/>
          </w:tcPr>
          <w:p>
            <w:pPr>
              <w:spacing w:after="0"/>
              <w:rPr>
                <w:sz w:val="19"/>
                <w:szCs w:val="19"/>
                <w:color w:val="auto"/>
              </w:rPr>
            </w:pPr>
          </w:p>
        </w:tc>
        <w:tc>
          <w:tcPr>
            <w:tcW w:w="4220" w:type="dxa"/>
            <w:vAlign w:val="bottom"/>
            <w:gridSpan w:val="4"/>
          </w:tcPr>
          <w:p>
            <w:pPr>
              <w:spacing w:after="0"/>
              <w:rPr>
                <w:sz w:val="19"/>
                <w:szCs w:val="19"/>
                <w:color w:val="auto"/>
              </w:rPr>
            </w:pPr>
          </w:p>
        </w:tc>
        <w:tc>
          <w:tcPr>
            <w:tcW w:w="660" w:type="dxa"/>
            <w:vAlign w:val="bottom"/>
            <w:gridSpan w:val="4"/>
          </w:tcPr>
          <w:p>
            <w:pPr>
              <w:jc w:val="center"/>
              <w:ind w:left="413"/>
              <w:spacing w:after="0"/>
              <w:rPr>
                <w:sz w:val="20"/>
                <w:szCs w:val="20"/>
                <w:color w:val="auto"/>
              </w:rPr>
            </w:pPr>
            <w:r>
              <w:rPr>
                <w:rFonts w:ascii="Times New Roman" w:cs="Times New Roman" w:eastAsia="Times New Roman" w:hAnsi="Times New Roman"/>
                <w:sz w:val="17"/>
                <w:szCs w:val="17"/>
                <w:color w:val="0000EE"/>
                <w:w w:val="93"/>
              </w:rPr>
              <w:t>2</w:t>
            </w:r>
          </w:p>
        </w:tc>
        <w:tc>
          <w:tcPr>
            <w:tcW w:w="4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26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17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26</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41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470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26</w:t>
            </w:r>
          </w:p>
        </w:tc>
      </w:tr>
      <w:tr>
        <w:trPr>
          <w:trHeight w:val="228"/>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color w:val="0000EE"/>
                <w:w w:val="98"/>
              </w:rPr>
              <w:t>PART II</w:t>
            </w:r>
          </w:p>
        </w:tc>
        <w:tc>
          <w:tcPr>
            <w:tcW w:w="4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80" w:type="dxa"/>
            <w:vAlign w:val="bottom"/>
            <w:tcBorders>
              <w:top w:val="single" w:sz="8" w:color="0000EE"/>
            </w:tcBorders>
            <w:gridSpan w:val="5"/>
          </w:tcPr>
          <w:p>
            <w:pPr>
              <w:spacing w:after="0"/>
              <w:rPr>
                <w:sz w:val="19"/>
                <w:szCs w:val="19"/>
                <w:color w:val="auto"/>
              </w:rPr>
            </w:pPr>
          </w:p>
        </w:tc>
        <w:tc>
          <w:tcPr>
            <w:tcW w:w="4180" w:type="dxa"/>
            <w:vAlign w:val="bottom"/>
            <w:gridSpan w:val="3"/>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380" w:type="dxa"/>
            <w:vAlign w:val="bottom"/>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420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46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6620" w:type="dxa"/>
            <w:vAlign w:val="bottom"/>
            <w:gridSpan w:val="9"/>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160" w:type="dxa"/>
            <w:vAlign w:val="bottom"/>
            <w:gridSpan w:val="10"/>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Exhibits</w:t>
            </w:r>
          </w:p>
        </w:tc>
        <w:tc>
          <w:tcPr>
            <w:tcW w:w="680" w:type="dxa"/>
            <w:vAlign w:val="bottom"/>
            <w:gridSpan w:val="2"/>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28</w:t>
            </w:r>
          </w:p>
        </w:tc>
      </w:tr>
      <w:tr>
        <w:trPr>
          <w:trHeight w:val="90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60" w:type="dxa"/>
            <w:vAlign w:val="bottom"/>
            <w:gridSpan w:val="10"/>
          </w:tcPr>
          <w:p>
            <w:pPr>
              <w:jc w:val="center"/>
              <w:ind w:left="3453"/>
              <w:spacing w:after="0"/>
              <w:rPr>
                <w:sz w:val="20"/>
                <w:szCs w:val="20"/>
                <w:color w:val="auto"/>
              </w:rPr>
            </w:pPr>
            <w:r>
              <w:rPr>
                <w:rFonts w:ascii="Times New Roman" w:cs="Times New Roman" w:eastAsia="Times New Roman" w:hAnsi="Times New Roman"/>
                <w:sz w:val="17"/>
                <w:szCs w:val="17"/>
                <w:color w:val="auto"/>
                <w:w w:val="93"/>
              </w:rPr>
              <w:t>1</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4"/>
                <w:szCs w:val="1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8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9"/>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87,873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83,790</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19,013</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$2,261 and $2,499 as of September 30, 2024, and December 31, 2023,</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72,848</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13,657</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9,124</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193,074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200,660</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253,655</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25,584</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753,786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772,353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15,292</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16,872</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18,742</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73,793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77,058</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91"/>
        </w:trPr>
        <w:tc>
          <w:tcPr>
            <w:tcW w:w="8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$0.001 par value, authorized 10,000,000 shares; issued and outstanding 0 shares as of each of September 30, 2024, and</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Common stock, $0.001 par value, authorized 150,000,000 shares; issued and outstanding 24,510,076 and 25,721,957 shares as of</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September 30, 2024, and December 31, 2023, respectively</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454,025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256,398</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679,993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695,295</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753,786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772,353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130,705</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379,140</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378,829</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68,389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207,897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212,648</w:t>
            </w: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57,230</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59,282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171,243</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166,181</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69,070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65,863</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31,600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30,647</w:t>
            </w: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49,713</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Closure of Japan business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28"/>
        </w:trPr>
        <w:tc>
          <w:tcPr>
            <w:tcW w:w="5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48,650</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48,867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149,837</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146,409</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19,772</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(1,758)</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18,014</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7,784</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16,997</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9"/>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used to compute 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24,980,536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26,023,830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25,304,985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26,296,304</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25,022,485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26,028,456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25,382,280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26,327,606</w:t>
            </w:r>
          </w:p>
        </w:tc>
      </w:t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(net of tax)</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9,769</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6,887</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18,158</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14,297</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(435,861)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25,316,070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462,715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687,310</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shd w:val="clear" w:color="auto" w:fill="CCEEFF"/>
          </w:tcPr>
          <w:p>
            <w:pPr>
              <w:ind w:left="180"/>
              <w:spacing w:after="0" w:line="13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176,780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(345,234)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25,147,616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685,236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80"/>
              <w:spacing w:after="0" w:line="15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8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(637,540)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9,769</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24,510,076</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454,025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679,993</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860" w:type="dxa"/>
            <w:vAlign w:val="bottom"/>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26,888,425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697,648</w:t>
            </w:r>
          </w:p>
        </w:tc>
        <w:tc>
          <w:tcPr>
            <w:tcW w:w="0" w:type="dxa"/>
            <w:vAlign w:val="bottom"/>
          </w:tcPr>
          <w:p>
            <w:pPr>
              <w:spacing w:after="0"/>
              <w:rPr>
                <w:sz w:val="1"/>
                <w:szCs w:val="1"/>
                <w:color w:val="auto"/>
              </w:rPr>
            </w:pPr>
          </w:p>
        </w:tc>
      </w:tr>
      <w:tr>
        <w:trPr>
          <w:trHeight w:val="174"/>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26,202,723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683,137</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8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169,229</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(276,518)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26,095,434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682,685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8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(310,568)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25,785,903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463,908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(30,288)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684,922</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16,997</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26,984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28,213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11,811</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(9,197)</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 on finance lease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Loss on impairment of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Loss on foreign currency translation</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3,906</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Gain on disposal of property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4,242</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60,535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56,046</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property, equipment and other capital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sales of property, equipment and other capital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call redemptions and maturities of marketable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19,115</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9,873</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exercises of stock options and employee stock purchases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shares withheld for tax obligations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(39,053)</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repayments of finance lease obligations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(38,737)</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26,938</w:t>
            </w: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83,790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56,558</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87,873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83,496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8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Basis of Presentation</w:t>
      </w:r>
    </w:p>
    <w:p>
      <w:pPr>
        <w:spacing w:after="0" w:line="18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2023, as filed with the Securities and Exchange Commission (SEC) on February 16, 2024</w:t>
      </w:r>
      <w:r>
        <w:rPr>
          <w:rFonts w:ascii="Times New Roman" w:cs="Times New Roman" w:eastAsia="Times New Roman" w:hAnsi="Times New Roman"/>
          <w:sz w:val="17"/>
          <w:szCs w:val="17"/>
          <w:i w:val="1"/>
          <w:iCs w:val="1"/>
          <w:color w:val="auto"/>
        </w:rPr>
        <w:t>.</w:t>
      </w:r>
    </w:p>
    <w:p>
      <w:pPr>
        <w:spacing w:after="0" w:line="34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accompanying Consolidated Balance Sheet as of December 31, 2023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16, 2024 as referenced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Recent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recently adopt any accounting pronouncements that had a material impact on the Company's Consolidated Financial Statements.</w:t>
      </w:r>
    </w:p>
    <w:p>
      <w:pPr>
        <w:spacing w:after="0" w:line="18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No.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that enhances the transparency of income tax disclosures by expanding annual disclosure requirements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reconciliation and income taxes paid. The Company is required to adopt this guidance for its annual year ending December 31, 2025. Early adoption is permitted. The Company is currently evaluating the impact of this guidance on its disclosures.</w:t>
      </w:r>
    </w:p>
    <w:p>
      <w:pPr>
        <w:spacing w:after="0" w:line="140"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that updates reportable segment disclosure requirements primarily through enhanced disclosures about significant expenses and information used to assess segment performance on an annual and interim basis. The Company is required to adopt this guidance for its annual year ending December 31, 2024 and all interim periods thereafter. Early adoption is permitted. The Company is currently evaluating the impact of this guidance on its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Net Income per Common Share</w:t>
      </w:r>
    </w:p>
    <w:p>
      <w:pPr>
        <w:spacing w:after="0" w:line="19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466,127 and 393,592 for the three months ended September 30, 2024 and 2023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respectively, and 450,275 and 372,353 for the nine months ended September 30, 2024 and 2023, respectively.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7"/>
                <w:szCs w:val="17"/>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6"/>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41"/>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16,997</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10,230</w:t>
            </w:r>
          </w:p>
        </w:tc>
      </w:tr>
      <w:tr>
        <w:trPr>
          <w:trHeight w:val="261"/>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 weighted-average shares outstanding: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24,980,536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26,023,830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25,304,985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26,296,304</w:t>
            </w:r>
          </w:p>
        </w:tc>
      </w:tr>
      <w:tr>
        <w:trPr>
          <w:trHeight w:val="24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8"/>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 stock options and other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41,949</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77,295</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31,302</w:t>
            </w:r>
          </w:p>
        </w:tc>
      </w:tr>
      <w:tr>
        <w:trPr>
          <w:trHeight w:val="248"/>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 weighted-average shares outstanding:</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25,022,485</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26,028,456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25,382,280</w:t>
            </w:r>
          </w:p>
        </w:tc>
        <w:tc>
          <w:tcPr>
            <w:tcW w:w="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26,327,606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6"/>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Goodwill and Other Intangible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changes in the carrying amount of goodwill during the three and nine months ended September 30,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other than goodwill at September 30, 2024 and December 31,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6"/>
                <w:szCs w:val="16"/>
                <w:b w:val="1"/>
                <w:bCs w:val="1"/>
                <w:color w:val="auto"/>
              </w:rPr>
              <w:t>Useful</w:t>
            </w:r>
          </w:p>
        </w:tc>
        <w:tc>
          <w:tcPr>
            <w:tcW w:w="122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3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20"/>
                <w:szCs w:val="20"/>
                <w:color w:val="auto"/>
              </w:rPr>
            </w:pPr>
          </w:p>
        </w:tc>
        <w:tc>
          <w:tcPr>
            <w:tcW w:w="6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Life (in years)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Intangible assets with finite</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lives: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assets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0.0</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 agreement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7"/>
              </w:rPr>
              <w:t>2.0 - 5.0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0.9</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technology</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3.3</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platform</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19,798</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8.3</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0.0</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7"/>
              </w:rPr>
              <w:t>3.0 - 9.0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0.0</w:t>
            </w: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Intangible assets allocated to the Protolabs Network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unrealized losses related to intangible assets were $1.2 million and $1.3 million as of September 30, 2024 and December 31, 2023, respectively. Amortization expense for intangible assets was $0.9 million and $1.5 million for each of the three months ended September 30, 2024 and 2023, respectively, and $2.8 million and $4.5 million for each of the nine months ended September 30, 2024 and 2023,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4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Expense</w:t>
            </w:r>
          </w:p>
        </w:tc>
      </w:tr>
      <w:tr>
        <w:trPr>
          <w:trHeight w:val="24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3,676</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3,574</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3,564</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w:t>
            </w: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8,962</w:t>
            </w:r>
          </w:p>
        </w:tc>
      </w:tr>
      <w:tr>
        <w:trPr>
          <w:trHeight w:val="27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9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Fair Value Measurements</w:t>
      </w:r>
    </w:p>
    <w:p>
      <w:pPr>
        <w:spacing w:after="0" w:line="18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Accounting Standards Codification, </w:t>
      </w:r>
      <w:r>
        <w:rPr>
          <w:rFonts w:ascii="Times New Roman" w:cs="Times New Roman" w:eastAsia="Times New Roman" w:hAnsi="Times New Roman"/>
          <w:sz w:val="17"/>
          <w:szCs w:val="17"/>
          <w:i w:val="1"/>
          <w:iCs w:val="1"/>
          <w:color w:val="auto"/>
        </w:rPr>
        <w:t>Fair Value Measuremen</w:t>
      </w:r>
      <w:r>
        <w:rPr>
          <w:rFonts w:ascii="Times New Roman" w:cs="Times New Roman" w:eastAsia="Times New Roman" w:hAnsi="Times New Roman"/>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Quoted prices in active markets for identical assets or liabilities.</w:t>
      </w:r>
    </w:p>
    <w:p>
      <w:pPr>
        <w:spacing w:after="0" w:line="18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w:t>
      </w:r>
      <w:r>
        <w:rPr>
          <w:rFonts w:ascii="Times New Roman" w:cs="Times New Roman" w:eastAsia="Times New Roman" w:hAnsi="Times New Roman"/>
          <w:sz w:val="17"/>
          <w:szCs w:val="17"/>
          <w:i w:val="1"/>
          <w:iCs w:val="1"/>
          <w:color w:val="auto"/>
        </w:rPr>
        <w:t xml:space="preserve"> not </w:t>
      </w:r>
      <w:r>
        <w:rPr>
          <w:rFonts w:ascii="Times New Roman" w:cs="Times New Roman" w:eastAsia="Times New Roman" w:hAnsi="Times New Roman"/>
          <w:sz w:val="17"/>
          <w:szCs w:val="17"/>
          <w:color w:val="auto"/>
        </w:rPr>
        <w:t>active;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inputs that are observable or can be corroborated by observable market data for substantially the full term of the assets or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19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financial assets as of September 30, 2024 and December 31, 2023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6"/>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96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83,643</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mutual fund</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108,163</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88,272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Marketable Securities</w:t>
      </w:r>
    </w:p>
    <w:p>
      <w:pPr>
        <w:spacing w:after="0" w:line="18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September 30,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9,745</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14,263</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w:t>
            </w: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29,826</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29,758</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16,520</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Certificates of deposit/time deposits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184"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The September 30, 2024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70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9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4"/>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12,638</w:t>
            </w:r>
          </w:p>
        </w:tc>
      </w:tr>
      <w:tr>
        <w:trPr>
          <w:trHeight w:val="235"/>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17,120</w:t>
            </w:r>
          </w:p>
        </w:tc>
      </w:tr>
      <w:tr>
        <w:trPr>
          <w:trHeight w:val="26"/>
        </w:trPr>
        <w:tc>
          <w:tcPr>
            <w:tcW w:w="9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7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Inventory</w:t>
      </w:r>
    </w:p>
    <w:p>
      <w:pPr>
        <w:spacing w:after="0" w:line="18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158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inventory</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14,319</w:t>
            </w:r>
          </w:p>
        </w:tc>
      </w:tr>
      <w:tr>
        <w:trPr>
          <w:trHeight w:val="235"/>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obsolescence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r>
      <w:tr>
        <w:trPr>
          <w:trHeight w:val="26"/>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 of allowance</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Stock-Based Compensation</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Under the Amended and Restated Proto Labs Inc. 2022 Long-Term Incentive Plan, the Company has the ability to grant stock options, stock appreciation rights (SARs), restricted stock, restricted stock units, other stock-based awards and cash incentive awards, which was approved by the Company's shareholders at a Special Meeting of Shareholders on August 29, 2022 and was amended and restated by the Company's shareholders at its Annual Meeting of Shareholders on May 23, 2024 (as amended and restated,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Awards under the 2022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5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86"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was $4.2 million and $4.4 million for the three months ended September 30, 2024 and 2023, respectively, and $12.7 million and $11.8 million for the nine months ended September 30, 2024 and 2023,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during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371,313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64.43</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September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463,214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51.46</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5"/>
        </w:trPr>
        <w:tc>
          <w:tcPr>
            <w:tcW w:w="8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September 30,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189,816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70.28</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grant date fair value of options that were granted during the nine months ended September 30, 2024 was $18.15.</w:t>
      </w:r>
    </w:p>
    <w:p>
      <w:pPr>
        <w:spacing w:after="0" w:line="197"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Black-Scholes pricing model valuation of options during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gridSpan w:val="2"/>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- 4.30%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- 4.55%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- 6.25</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- 50.72%</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- 55.92%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right"/>
              <w:ind w:right="533"/>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jc w:val="both"/>
        <w:ind w:right="120"/>
        <w:spacing w:after="0" w:line="295" w:lineRule="auto"/>
        <w:rPr>
          <w:sz w:val="20"/>
          <w:szCs w:val="20"/>
          <w:color w:val="auto"/>
        </w:rPr>
      </w:pPr>
      <w:r>
        <w:rPr>
          <w:rFonts w:ascii="Times New Roman" w:cs="Times New Roman" w:eastAsia="Times New Roman" w:hAnsi="Times New Roman"/>
          <w:sz w:val="17"/>
          <w:szCs w:val="17"/>
          <w:color w:val="auto"/>
        </w:rPr>
        <w:t>As of September 30, 2024, there was $4.3 million of unrecognized compensation expense related to unvested stock options, which is expected to be recognized over a weighted-average period of 2.7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199"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Restricted stock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stock activity during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653,465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33.02</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39.06</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746,825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560"/>
        <w:spacing w:after="0" w:line="295" w:lineRule="auto"/>
        <w:rPr>
          <w:sz w:val="20"/>
          <w:szCs w:val="20"/>
          <w:color w:val="auto"/>
        </w:rPr>
      </w:pPr>
      <w:r>
        <w:rPr>
          <w:rFonts w:ascii="Times New Roman" w:cs="Times New Roman" w:eastAsia="Times New Roman" w:hAnsi="Times New Roman"/>
          <w:sz w:val="17"/>
          <w:szCs w:val="17"/>
          <w:color w:val="auto"/>
        </w:rPr>
        <w:t>As of September 30, 2024, there was $20.0 million of unrecognized compensation expense related to non-vested restricted stock, which is expected to be recognized over a weighted-average period of 2.7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Certain PSUs granted by the Company in 2021 are based on performance conditions and the related compensation cost is based on the probability that the performance conditions will be achieved. The Company’s PSUs granted in 2022, 2023, 2024 and certain PSUs granted in 2021 are based on market conditions and the related compensation cost is based on the fair value at grant date calculated using a Monte Carlo pricing model.</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performance stock activity during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107,097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227.14</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stock at September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183,761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60.58</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Monte Carlo pricing model valuation of PSUs during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51.40%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58.00%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7"/>
          <w:szCs w:val="17"/>
          <w:color w:val="auto"/>
        </w:rPr>
        <w:t>As of September 30, 2024, there was $5.3 million of unrecognized compensation expense related to non-vested performance stock, which is expected to be recognized over a weighted-average period of 1.9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assumptions used to estimate the fair value of the ESPP during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- 5.16%</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- 4.82%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(months)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6.00</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- 47.92%</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47.38%</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- 67.84%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Accumulated Other Comprehensive Income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is comprised of foreign currency translation adjustments and net unrealized gains (losses) on investments in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accumulated other comprehensive income (loss) balances during the three and nine months ended September 30,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8"/>
                <w:szCs w:val="18"/>
                <w:color w:val="auto"/>
              </w:rPr>
            </w:pPr>
          </w:p>
        </w:tc>
        <w:tc>
          <w:tcPr>
            <w:tcW w:w="3100" w:type="dxa"/>
            <w:vAlign w:val="bottom"/>
            <w:gridSpan w:val="4"/>
          </w:tcPr>
          <w:p>
            <w:pPr>
              <w:jc w:val="right"/>
              <w:ind w:right="9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(29,432)</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(28,013)</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(34,355)</w:t>
            </w:r>
          </w:p>
        </w:tc>
      </w:tr>
      <w:tr>
        <w:trPr>
          <w:trHeight w:val="235"/>
        </w:trPr>
        <w:tc>
          <w:tcPr>
            <w:tcW w:w="46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Foreign currency translation adjustments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1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3,906</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3,474</w:t>
            </w:r>
          </w:p>
        </w:tc>
      </w:tr>
      <w:tr>
        <w:trPr>
          <w:trHeight w:val="215"/>
        </w:trPr>
        <w:tc>
          <w:tcPr>
            <w:tcW w:w="46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unrealized gains (loss) on investments in securities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1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(26,852)</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(30,288)</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(26,852)</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(30,288)</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3"/>
        </w:trPr>
        <w:tc>
          <w:tcPr>
            <w:tcW w:w="4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Income Taxes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Company is subject to income tax in multiple jurisdictions and the use of estimates is required to determine the provision for income taxes. For the three months ended September 30, 2024 and 2023, the Company recorded an income tax provision of $2.7 million and $2.8 million, respectively. For the nine months ended September 30, 2024 and 2023, the Company recorded an income tax provision of $8.0 million and $7.8 million, respectively. The income tax provision is based on the estimated annual effective tax rate for the year applied to pre-tax income. The effective income tax rate for the three months ended September 30, 2024 was 27.1 percent compared to 25.9 percent in the same period of the prior year. The effective tax rate increased by 1.2 percent for the three months ended September 30, 2024 when compared to the same period in 2023, primarily due to a reduction in expenditures that qualify for the research and development credit. The effective income tax rate for the nine months ended September 30, 2024 was 31.9 percent compared to 43.2 percent in the same period of the prior year. The effective tax rate decreased by 11.3 percent for the nine months ended September 30, 2024 when compared to the same period in 2023, primarily due to the prior year one-time tax impact of the foreign currency translation loss from the closure of our Japan business.</w:t>
      </w:r>
    </w:p>
    <w:p>
      <w:pPr>
        <w:spacing w:after="0" w:line="152"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The effective income tax rate for the three and nine months ended September 30, 2024 differs from the U.S. federal statutory rate of 21.0 percent due to various factors, including operating in multiple state and foreign jurisdictions partially offset by tax credits for which the Company qualifies.</w:t>
      </w:r>
    </w:p>
    <w:p>
      <w:pPr>
        <w:spacing w:after="0" w:line="108"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7"/>
          <w:szCs w:val="17"/>
          <w:color w:val="auto"/>
        </w:rPr>
        <w:t>The Company had unrecognized tax benefits totaling $3.7 million as of September 30, 2024 and $3.6 million as of December 31, 2023,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 Reporting</w:t>
      </w:r>
    </w:p>
    <w:p>
      <w:pPr>
        <w:spacing w:after="0" w:line="18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30"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and income from operations by reportable segment for the three and nine months ended September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99,571</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103,940</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299,593</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298,007</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80,822</w:t>
            </w:r>
          </w:p>
        </w:tc>
      </w:tr>
      <w:tr>
        <w:trPr>
          <w:trHeight w:val="254"/>
        </w:trPr>
        <w:tc>
          <w:tcPr>
            <w:tcW w:w="50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379,140</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378,829</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4"/>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25,687</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27,178</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76,260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69,713</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(8,870)</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Unallocated and Japan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(41,071)</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4"/>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Income from Operations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19,772</w:t>
            </w:r>
          </w:p>
        </w:tc>
      </w:tr>
      <w:tr>
        <w:trPr>
          <w:trHeight w:val="20"/>
        </w:trPr>
        <w:tc>
          <w:tcPr>
            <w:tcW w:w="6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128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463"/>
        </w:trPr>
        <w:tc>
          <w:tcPr>
            <w:tcW w:w="6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long-lived assets at September 30, 2024 and December 31, 2023 were as follows: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5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352"/>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187,130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201,388</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50,812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52,267</w:t>
            </w:r>
          </w:p>
        </w:tc>
      </w:tr>
      <w:tr>
        <w:trPr>
          <w:trHeight w:val="254"/>
        </w:trPr>
        <w:tc>
          <w:tcPr>
            <w:tcW w:w="50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Long-lived Assets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237,942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253,655</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for the three and nine months ended September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46,831</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51,688</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148,574</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152,455</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154,498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149,317</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64,300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63,952</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12,478</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379,140</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378,829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Subsequent Event</w:t>
      </w:r>
    </w:p>
    <w:p>
      <w:pPr>
        <w:spacing w:after="0" w:line="133"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7"/>
          <w:szCs w:val="17"/>
          <w:color w:val="auto"/>
        </w:rPr>
        <w:t>On October 21, 2024, the Board of Directors of Proto Labs, Inc.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Putzbrunn, Germany, 3D printing facility. Affected employees in Germany will receive severance and other transition assistance that meet or exceed local requirements. The Company expects to substantially complete the plan within the next year.</w:t>
      </w:r>
    </w:p>
    <w:p>
      <w:pPr>
        <w:spacing w:after="0" w:line="9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The Company will continue offering all its manufacturing services to customers across Europe, including injection molding and metal 3D printing. These services will be fulfilled through internal manufacturing facilities and a network of manufacturing partners, consistent with the Company's recently announced global operations organization.</w:t>
      </w:r>
    </w:p>
    <w:p>
      <w:pPr>
        <w:spacing w:after="0" w:line="188"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7"/>
          <w:szCs w:val="17"/>
          <w:color w:val="auto"/>
        </w:rPr>
        <w:t>The approved plan is expected to lead to total restructuring charges in the range of $4.5 million to $6.0 million consisting of approximately $2.5 million to $3.5 million in severance and other employee-related costs, and $2.0 million to $2.5 million in fixed asset and facility related write-down expenses. The company expects to incur approximately $4.0 million of the total restructuring charge in the fourth quarter of 2024, with the remaining charge to be incurred throughout the remainder of the restructuring process.</w:t>
      </w:r>
    </w:p>
    <w:p>
      <w:pPr>
        <w:spacing w:after="0" w:line="18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auto"/>
        </w:rPr>
        <w:t>The total cash expenditures associated with the plan are expected to be in the range of $3.0 million to $4.0 million, consisting primarily of severance and other employee related costs.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are one of the world’s largest, fastest and most comprehensive digital manufacturers of custom parts. Our vision is accelerating innovation by revolutionizing manufacturing. Our mission is to empower companies to bring new ideas to market by offering the fastest and most comprehensive digital manufacturing service in the world.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Our technology-enabled digital engineering and manufacturing applications enable us to produce commercial-grade plastic, metal, and liquid silicone rubber parts in as fast as one day. We utilize injection molding, computer numerical control (CNC) machining, 3D printing and sheet metal fabrication to manufacture custom parts for our customers.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Our customers conduct nearly all of their business with us over the Internet.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and to a wide variety of customers seeking to purchase custom made parts. We believe our use of advanced technology enables us to offer significant advantages at competitive prices to many customers and is the primary reason we have become a leading supplier of custom parts.</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have established our operations in the United States and Europe. 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manufacturing partners significantly expands the breadth and depth of our manufacturing capabilities, enabling us to offer customers a wider variety of lead times and pricing options, and an expanded envelope of parts (complexity, size, etc.).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Measures and Trends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0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Our operations are comprised of two geographic operating segments in the United States and Europe. On May 27, 2022, the Company's board of directors approved a plan for the closure of our manufacturing facility in Japan and announced an intention to cease operations in the region. The Company dissolved its Japan operations in December 2023.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sales of fabricated sheet metal custom parts. 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21" w:lineRule="exact"/>
        <w:rPr>
          <w:sz w:val="20"/>
          <w:szCs w:val="20"/>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breadth and scope of our products by adding more sizes and materials to our offerings;</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3D Printing product line through our acquisition of FineLine in 2014;</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3D Printing to Europe through our acquisition of Alphaform in 2015;</w:t>
      </w:r>
    </w:p>
    <w:p>
      <w:pPr>
        <w:spacing w:after="0" w:line="196"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Sheet Metal product line through our acquisition of Rapid Manufacturing Group, LLC in 2017;</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improving the usability of our product lines such as our web-centric applications; and</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customers with on-demand access to a global network of premium manufacturing partners through our acquisition of Hubs in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Gross Profit and Gross Margin</w:t>
      </w:r>
    </w:p>
    <w:p>
      <w:pPr>
        <w:spacing w:after="0" w:line="18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Cost of revenue consists primarily of raw materials, costs to procure parts through our network of premium manufacturing partners, equipment depreciation, employee compensation including benefits and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spacing w:after="0" w:line="13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currency exchange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8"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color w:val="auto"/>
        </w:rPr>
        <w:t>Operating expenses consist of marketing and sales, research and development and general and administrative expenses. Personnel-related costs are the most significant component in each of these categories.</w:t>
      </w:r>
    </w:p>
    <w:p>
      <w:pPr>
        <w:spacing w:after="0" w:line="10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Our business strategy is to continue to be a leading online and technology-enabled manufacturer of quick-turn, on-demand injection-molded, CNC-machined, 3D-printed and fabricated sheet metal custom parts for prototyping and low-volume production. In order to achieve our goals, we anticipate continued substantial investments in technology and personnel, resulting in increased operating expenses in the future.</w:t>
      </w:r>
    </w:p>
    <w:p>
      <w:pPr>
        <w:spacing w:after="0" w:line="13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 consists primarily of employee compensation, benefits, commissions, stock-based compensation,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demand generation costs such as electronic, print and pay-per-click advertising, trade shows and other related overhead. We expect sales and marketing expense to increase in the future as we increase the number of marketing and sales professionals and marketing demand generation costs targeted to increase our customer base and grow revenue.</w:t>
      </w:r>
    </w:p>
    <w:p>
      <w:pPr>
        <w:spacing w:after="0" w:line="12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 consists primarily of personnel and outside service costs related to the development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7"/>
          <w:szCs w:val="17"/>
          <w:i w:val="1"/>
          <w:iCs w:val="1"/>
          <w:color w:val="auto"/>
        </w:rPr>
        <w:t>Intangibles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Other, Internal-Use Software</w:t>
      </w:r>
      <w:r>
        <w:rPr>
          <w:rFonts w:ascii="Times New Roman" w:cs="Times New Roman" w:eastAsia="Times New Roman" w:hAnsi="Times New Roman"/>
          <w:sz w:val="17"/>
          <w:szCs w:val="17"/>
          <w:color w:val="auto"/>
        </w:rPr>
        <w:t>. We expect research and development expense to increase in the future as we seek to enhance our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interface technology, internal software and supporting business systems, and continue to expand our product lines.</w:t>
      </w:r>
    </w:p>
    <w:p>
      <w:pPr>
        <w:spacing w:after="0" w:line="12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employee compensation, benefits, stock-based compensation,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fees related to accounting, tax and legal, and other related overhead. We expect general and administrative expense to increase in the future as we continue to grow and expand as a global organization.</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Closure of Japan business. </w:t>
      </w:r>
      <w:r>
        <w:rPr>
          <w:rFonts w:ascii="Times New Roman" w:cs="Times New Roman" w:eastAsia="Times New Roman" w:hAnsi="Times New Roman"/>
          <w:sz w:val="17"/>
          <w:szCs w:val="17"/>
          <w:color w:val="auto"/>
        </w:rPr>
        <w:t>Closure of Japan business expense is driven by our decision to close the Japan manufacturing facility and exit the Japan market.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consist primarily of professional service costs.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Other income,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01"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Provision for income taxes is comprised of federal, state, local and foreign taxes based on pre-tax income. Overall, our effective tax rate for 2024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086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9"/>
          </w:tcPr>
          <w:p>
            <w:pPr>
              <w:ind w:left="1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700" w:type="dxa"/>
            <w:vAlign w:val="bottom"/>
            <w:gridSpan w:val="4"/>
          </w:tcPr>
          <w:p>
            <w:pPr>
              <w:ind w:left="5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240" w:type="dxa"/>
            <w:vAlign w:val="bottom"/>
            <w:gridSpan w:val="9"/>
          </w:tcPr>
          <w:p>
            <w:pPr>
              <w:ind w:left="3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52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6"/>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(dollars in</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7"/>
                <w:szCs w:val="17"/>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84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1560" w:type="dxa"/>
            <w:vAlign w:val="bottom"/>
            <w:gridSpan w:val="3"/>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7"/>
                <w:szCs w:val="17"/>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78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thousands)</w:t>
            </w:r>
          </w:p>
        </w:tc>
        <w:tc>
          <w:tcPr>
            <w:tcW w:w="120" w:type="dxa"/>
            <w:vAlign w:val="bottom"/>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130,705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(5,086)</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$ 379,140</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378,829</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311</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35"/>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68,389</w:t>
            </w:r>
          </w:p>
        </w:tc>
        <w:tc>
          <w:tcPr>
            <w:tcW w:w="80" w:type="dxa"/>
            <w:vAlign w:val="bottom"/>
          </w:tcPr>
          <w:p>
            <w:pPr>
              <w:spacing w:after="0"/>
              <w:rPr>
                <w:sz w:val="20"/>
                <w:szCs w:val="20"/>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54.4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71,423</w:t>
            </w:r>
          </w:p>
        </w:tc>
        <w:tc>
          <w:tcPr>
            <w:tcW w:w="80" w:type="dxa"/>
            <w:vAlign w:val="bottom"/>
          </w:tcPr>
          <w:p>
            <w:pPr>
              <w:spacing w:after="0"/>
              <w:rPr>
                <w:sz w:val="20"/>
                <w:szCs w:val="20"/>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54.6</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(3,034)</w:t>
            </w:r>
          </w:p>
        </w:tc>
        <w:tc>
          <w:tcPr>
            <w:tcW w:w="8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207,897</w:t>
            </w:r>
          </w:p>
        </w:tc>
        <w:tc>
          <w:tcPr>
            <w:tcW w:w="80" w:type="dxa"/>
            <w:vAlign w:val="bottom"/>
          </w:tcPr>
          <w:p>
            <w:pPr>
              <w:spacing w:after="0"/>
              <w:rPr>
                <w:sz w:val="20"/>
                <w:szCs w:val="20"/>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54.8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212,648</w:t>
            </w:r>
          </w:p>
        </w:tc>
        <w:tc>
          <w:tcPr>
            <w:tcW w:w="80" w:type="dxa"/>
            <w:vAlign w:val="bottom"/>
          </w:tcPr>
          <w:p>
            <w:pPr>
              <w:spacing w:after="0"/>
              <w:rPr>
                <w:sz w:val="20"/>
                <w:szCs w:val="20"/>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56.1</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(4,751)</w:t>
            </w:r>
          </w:p>
        </w:tc>
        <w:tc>
          <w:tcPr>
            <w:tcW w:w="80" w:type="dxa"/>
            <w:vAlign w:val="bottom"/>
          </w:tcPr>
          <w:p>
            <w:pPr>
              <w:spacing w:after="0"/>
              <w:rPr>
                <w:sz w:val="20"/>
                <w:szCs w:val="2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6"/>
        </w:trPr>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45.6</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59,282</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45.4</w:t>
            </w: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171,243</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45.2</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166,181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43.9</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5"/>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Marketing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18.0</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21,682</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16.6</w:t>
            </w: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69,070</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18.2</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65,863</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17.4</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7"/>
        </w:trPr>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development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9,772</w:t>
            </w:r>
          </w:p>
        </w:tc>
        <w:tc>
          <w:tcPr>
            <w:tcW w:w="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10,105</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7.7</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31,600</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30,647</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8.1</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administrative</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12.9</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17,058</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13.1</w:t>
            </w: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49,167</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13.0</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49,713</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13.1</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7"/>
        </w:trPr>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Closure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Japan business</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6"/>
        </w:trPr>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expenses</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48,650</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38.7</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48,867</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37.4</w:t>
            </w: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149,837</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39.5</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146,409</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38.6</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9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8,580</w:t>
            </w:r>
          </w:p>
        </w:tc>
        <w:tc>
          <w:tcPr>
            <w:tcW w:w="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10,415</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8.0</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8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21,406</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19,772</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5.2</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302.5</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0.9</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(0.5)</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5,306</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301.8</w:t>
            </w:r>
          </w:p>
        </w:tc>
        <w:tc>
          <w:tcPr>
            <w:tcW w:w="0" w:type="dxa"/>
            <w:vAlign w:val="bottom"/>
          </w:tcPr>
          <w:p>
            <w:pPr>
              <w:spacing w:after="0"/>
              <w:rPr>
                <w:sz w:val="1"/>
                <w:szCs w:val="1"/>
                <w:color w:val="auto"/>
              </w:rPr>
            </w:pPr>
          </w:p>
        </w:tc>
      </w:tr>
      <w:tr>
        <w:trPr>
          <w:trHeight w:val="19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9,868</w:t>
            </w:r>
          </w:p>
        </w:tc>
        <w:tc>
          <w:tcPr>
            <w:tcW w:w="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10,735</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8.2</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8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18,014</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4.8</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6,940</w:t>
            </w:r>
          </w:p>
        </w:tc>
        <w:tc>
          <w:tcPr>
            <w:tcW w:w="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7,957</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7,784</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54"/>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7,954</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6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(765)</w:t>
            </w:r>
          </w:p>
        </w:tc>
        <w:tc>
          <w:tcPr>
            <w:tcW w:w="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16,997</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10,230</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6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$ 6,767</w:t>
            </w:r>
          </w:p>
        </w:tc>
        <w:tc>
          <w:tcPr>
            <w:tcW w:w="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66.1 %</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included in the statements of operations data above for the three and nine months ended September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8"/>
                <w:szCs w:val="18"/>
                <w:color w:val="auto"/>
              </w:rPr>
            </w:pPr>
          </w:p>
        </w:tc>
        <w:tc>
          <w:tcPr>
            <w:tcW w:w="212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2120" w:type="dxa"/>
            <w:vAlign w:val="bottom"/>
            <w:gridSpan w:val="4"/>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6"/>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restricted stock and performance stock</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10,706</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r>
      <w:tr>
        <w:trPr>
          <w:trHeight w:val="26"/>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12,716</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w:t>
            </w:r>
          </w:p>
        </w:tc>
      </w:tr>
      <w:tr>
        <w:trPr>
          <w:trHeight w:val="26"/>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6,026</w:t>
            </w:r>
          </w:p>
        </w:tc>
      </w:tr>
      <w:tr>
        <w:trPr>
          <w:trHeight w:val="254"/>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11,811</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3"/>
        </w:trPr>
        <w:tc>
          <w:tcPr>
            <w:tcW w:w="6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September 30,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three months ended September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20" w:type="dxa"/>
            <w:vAlign w:val="bottom"/>
            <w:gridSpan w:val="8"/>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79.3 %</w:t>
            </w:r>
          </w:p>
        </w:tc>
        <w:tc>
          <w:tcPr>
            <w:tcW w:w="8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54"/>
        </w:trPr>
        <w:tc>
          <w:tcPr>
            <w:tcW w:w="3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Our revenue decreased $5.1 million, or 3.9%, for the three months ended September 30, 2024 compared to the same period in 2023. The decline in revenue was primarily driven by a decrease in larger quantity part orders, which were particularly strong in the three months ended September 30, 2023. By reportable segment, revenue in the United States decreased $4.4 million, or 4.2%, for the three months ended September 30, 2024 compared to the same period in 2023. Revenue in Europe decreased $0.7 million, or 2.7%, for the three months ended September 30, 2024 compared to the same period in 2023. Revenue generated from the Protolabs Network was $25.3 million and $22.6 million for the three months ended September 30, 2024 and 2023, respectively. International revenue</w:t>
      </w:r>
    </w:p>
    <w:p>
      <w:pPr>
        <w:spacing w:after="0" w:line="1"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was positively impacted by $0.5 million during the three months ended September 30, 2024 compared to the same period in 2023 as a result of foreign currency movements, primarily due to the strengthening of the British Pound and Euro relative to the United States Dollar.</w:t>
      </w:r>
    </w:p>
    <w:p>
      <w:pPr>
        <w:spacing w:after="0" w:line="10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During the three months ended September 30, 2024, we served 22,511 unique customer contacts, which is a decrease of 2.5% from the same period in 2023. Our customer contacts served decreased at a rate less than our decrease in revenue. This was primarily due to our mix of customers served in the quarter as compared to the same period in 2023 and our strategic focus to earn larger orders from our customers as we strive to be their supplier of choice by serving their custom parts needs through the comprehensive offer of our factory and the Protolabs Network.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three months ended September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7"/>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49.5</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By product line, our revenue decrease was driven by a 9.4% decrease in Injection Molding revenue, a 12.8% decrease in Sheet Metal revenue and a 0.9% decrease in 3D Printing revenue, which was partially offset by a 0.8% increase in CNC Machining revenue and a 49.5% increase in Other Revenue, in each case for the three months ended September 30, 2024 compared to the same period in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8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decreased $3.0 million, or 4.2%, for the three months ended September 30, 2024 compared to the same period in 2023, while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decreased 3.9% for the three months ended September 30, 2024 compared to the same period in 2023. The decrease in the cost of revenue of $3.0 million was primarily driven by lower revenue volumes in our factory business, which resulted in decreases of $1.6 million in raw materials and production costs, and $1.4 million in personnel and related costs as we aligned staffing to order volumes during the three months ended September 30, 2024 compared to the same period in 2023. The cost reductions in our digital manufacturing factory business were primarily the result of focused management of resources aligned to order volumes, partially supported by increased automation.</w:t>
      </w:r>
    </w:p>
    <w:p>
      <w:pPr>
        <w:spacing w:after="0" w:line="147"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decreased from $59.3 million in the three months ended September 30, 2023 to $57.2 million in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2024. Gross margin increased from 45.4% in the three months ended September 30, 2023 to 45.6% in the three months ended September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(Loss) Income, net and Provision for Income Taxes</w:t>
      </w:r>
    </w:p>
    <w:p>
      <w:pPr>
        <w:spacing w:after="0" w:line="18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expenses increased $0.9 million, or 4.3%, during the three months ended September 30, 2024 compared to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2023. The increase in marketing and sales expenses was primarily driven by marketing demand generation costs increases of $0.4 million, other operating cost increases of $0.3 million and increases in personnel and related costs of $0.2 million due to additional headcount, partially offset by lower incentive compensation during the three months ended September 30, 2024 when compared to the same period in 2023.</w:t>
      </w:r>
    </w:p>
    <w:p>
      <w:pPr>
        <w:spacing w:after="0" w:line="14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decreased $0.3 million, or 3.3%, during the three months ended September 30,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2023 primarily due to decreases in personnel and related costs of $0.9 million primarily due to lower incentive compensation, partially offset by increases of $0.4 million of other operating costs and $0.2 million in professional services .</w:t>
      </w:r>
    </w:p>
    <w:p>
      <w:pPr>
        <w:spacing w:after="0" w:line="120"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decreased $0.8 million, or 4.7%, during the three months ended September 30,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2023 primarily due to the three months ended September 30, 2023 including a $0.5 million reserve for specific receivables deemed to be uncollectible. Also contributing to the decrease during the three months ended September 30, 2024 compared to the same period in 2023 were decreases of $0.7 million in operating costs and $0.4 million in intangible amortization expense, partially offset by increases of $0.6 million in personnel and related costs and $0.2 million in professional services and other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Closure of Japan business. </w:t>
      </w:r>
      <w:r>
        <w:rPr>
          <w:rFonts w:ascii="Times New Roman" w:cs="Times New Roman" w:eastAsia="Times New Roman" w:hAnsi="Times New Roman"/>
          <w:sz w:val="17"/>
          <w:szCs w:val="17"/>
          <w:color w:val="auto"/>
        </w:rPr>
        <w:t>We had no expenses related to the closure of our Japan business during the three months ended September 30, 2024. Our decision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close our Japan business resulted in less than $0.1 million in professional services expenses during the three months ended September 30, 2023.</w:t>
      </w:r>
    </w:p>
    <w:p>
      <w:pPr>
        <w:spacing w:after="0" w:line="11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We recognized other income, net of $1.3 million for the three months ended September 30, 2024, an increase of $1.0 million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income, net of $0.3 million for the three months ended September 30, 2023. Other income, net for the three months ended September 30, 2024 primarily consisted of $1.3 million in interest income on investments and other income. Other income, net for the three months ended September 30, 2023 primarily consisted of $0.5 million in interest income on investments and other income, partially offset by $0.2 million of foreign currency losses.</w:t>
      </w:r>
    </w:p>
    <w:p>
      <w:pPr>
        <w:spacing w:after="0" w:line="12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27.1% for the three months ended September 30, 2024 increased 1.2% compared to 25.9% for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2023. The increase in the effective tax rate was primarily due to a reduction in expenditures that qualify for the research and development credit. Our income tax provision of $2.7 million for the three months ended September 30, 2024 decreased $0.1 million as compared to our income tax provision of $2.8 million for the same period in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Nine Months Ended September 30, 2024 and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nine months ended September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7"/>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79.0 %</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0.5 %</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54"/>
        </w:trPr>
        <w:tc>
          <w:tcPr>
            <w:tcW w:w="3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379,140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378,829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Our revenue increased $0.3 million, or 0.1%, for the nine months ended September 30, 2024 compared to the same period in 2023. By reportable segment, revenue in the United States increased $1.6 million, or 0.5%, for the nine months ended September 30, 2024 compared to the same period in 2023. Revenue in Europe decreased $1.3 million, or 1.6%, for the nine months ended September 30, 2024 compared to the same period in 2023. Revenue generated from Protolabs Network was $73.9 million and $60.1 million for the nine months ended September 30, 2024 and 2023, respectively. International revenue was positively impacted by $1.4 million during the nine months ended September 30, 2024 compared to the same period in 2023 as a result of foreign currency movements, primarily due to the strengthening of the British Pound and Euro relative to the United States Dollar.</w:t>
      </w:r>
    </w:p>
    <w:p>
      <w:pPr>
        <w:spacing w:after="0" w:line="14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During the nine months ended September 30, 2024, we served 43,671 unique product developers and engineers, a decrease of 4.4% from the same period in 2023. Our customer contacts served decreased compared to an increase in revenue. This was primarily due to our strategic focus to earn larger orders from our customers as we strive to be their supplier of choice by serving their custom parts needs through the comprehensive offer of our factory and the Protolabs Network.</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nine months ended September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7"/>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39.4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By product line, our revenue increase was driven by a 3.5% increase in CNC Machining revenue and a 0.5% increase in 3D Printing revenue, which was partially offset by a 2.5% decrease in Injection Molding revenue, a 10.1% decrease in Sheet Metal revenue and a 12.3% decrease in Other Revenue in each case for the nine months ended September 30, 2024 compared to the same period in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7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decreased $4.8 million, or 2.2%, for the nine months ended September 30, 2024 compared to the same period in 2023, while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increased 0.1% for the nine months ended September 30, 2024 compared to the same period in 2023. The decrease in cost of revenue of $4.8 million was driven by reductions in headcount and overtime leading to lower personnel and related costs of $3.8 million primarily in our digital manufacturing factory business during the nine months ended September 30, 2024 compared to the same period in 2023. The cost reductions in our digital manufacturing factory business were the result of focused management of resources aligned to order volumes, partially supported by increased automation. Also contributing to the decrease in cost of revenue during the nine months ended September 30, 2024 compared to the same period in 2023 were decreases in order volumes fulfilled through our factories as customer orders fulfilled through our network increased. This resulted in a reduction in raw materials and production costs of $1.9 million, which were partially offset by increases in equipment and facility-related costs of $0.9 million.</w:t>
      </w:r>
    </w:p>
    <w:p>
      <w:pPr>
        <w:spacing w:after="0" w:line="1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from $166.2 million in the nine months ended September 30, 2023 to $171.2 million in the nine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2024. Gross margin increased from 43.9% in the nine months ended September 30, 2023 to 45.2% in the nine months ended September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Income (Loss), net and Provision for Income Taxes</w:t>
      </w:r>
    </w:p>
    <w:p>
      <w:pPr>
        <w:spacing w:after="0" w:line="17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expenses increased $3.2 million, or 4.9%, during the nine months ended September 30, 2024 compared to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2023. The increase was driven by increases in personnel and related costs of $1.4 million, marketing demand generation costs increases of $1.1 million and other operating costs increases of $0.7 million during the nine months ended September 30, 2024 when compared to the same period in 2023.</w:t>
      </w:r>
    </w:p>
    <w:p>
      <w:pPr>
        <w:spacing w:after="0" w:line="1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increased $1.0 million, or 3.1%, during the nine months ended September 30,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2023 primarily due to increases of $0.9 million in other operating costs, $0.4 million in professional services and $0.2 million in administrative costs, partially offset by decreases in personnel and related costs of $0.5 million primarily due to lower incentive compensation.</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decreased $0.5 million, or 1.1%, during the nine months ended September 30,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2023 primarily due to decreases in intangible amortization costs of $1.1 million, other operating costs of $0.9 million and administrative costs of $0.9 million, partially offset by increases in personnel and related costs of $1.5 million, in stock-based compensation of $0.8 million and in professional services of $0.7 million. In addition, the nine months ended September 30, 2023 included a $0.5 million reserve for specific receivables deemed to be uncollectible.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Closure of Japan business. </w:t>
      </w:r>
      <w:r>
        <w:rPr>
          <w:rFonts w:ascii="Times New Roman" w:cs="Times New Roman" w:eastAsia="Times New Roman" w:hAnsi="Times New Roman"/>
          <w:sz w:val="17"/>
          <w:szCs w:val="17"/>
          <w:color w:val="auto"/>
        </w:rPr>
        <w:t>We had no expenses related to the closure of our Japan business during the nine months ended September 30, 2024. During the nine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September 30, 2023, we recognized $0.2 million in professional services expenses related to the closure.</w:t>
      </w:r>
    </w:p>
    <w:p>
      <w:pPr>
        <w:spacing w:after="0" w:line="9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income (loss), net. </w:t>
      </w:r>
      <w:r>
        <w:rPr>
          <w:rFonts w:ascii="Times New Roman" w:cs="Times New Roman" w:eastAsia="Times New Roman" w:hAnsi="Times New Roman"/>
          <w:sz w:val="17"/>
          <w:szCs w:val="17"/>
          <w:color w:val="auto"/>
        </w:rPr>
        <w:t>We recognized other income, net of $3.5 million for the nine months ended September 30, 2024, an increase of $5.3 million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other loss, net of $1.8 million for the nine months ended September 30, 2023. Other income, net for the nine months ended September 30, 2024 primarily consisted of $3.9 million in interest income on investments and other income, partially offset by $0.4 million of foreign currency losses. Other loss, net for the nine months ended September 30, 2023 primarily consisted of a $3.9 million foreign currency translation loss from the substantial completion on the closure of our Japan business, which was partially offset by $2.1 million in interest income on investments and other income.</w:t>
      </w:r>
    </w:p>
    <w:p>
      <w:pPr>
        <w:spacing w:after="0" w:line="14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31.9% for the nine months ended September 30, 2024 decreased 11.3% compared to 43.2% for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2023. The decrease in the effective tax rate was primarily due to the prior year one-time tax impact of the foreign currency translation loss from the substantial completion on the closure of our Japan business. Our income tax provision of $8.0 million for the nine months ended September 30, 2024 increased $0.2 million compared to our income tax provision of $7.8 million for the nine months ended September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60,535</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56,046</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(46,004)</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Historically, we have primarily financed our operations and capital expenditures through cash flow from operations. We had cash and cash equivalents of $87.9 million as of September 30, 2024, an increase of $4.1 million from December 31, 2023. The increase in our cash was primarily due to cash provided by operating activities of $60.5 million and proceeds from call redemptions and maturities of marketable securities of $15.7 million, which were partially offset by $8.3 million for purchases of property, equipment and other capital assets, $18.1 million for purchases of marketable securities and $46.0 million in repurchases of common stock.</w:t>
      </w:r>
    </w:p>
    <w:p>
      <w:pPr>
        <w:spacing w:after="0" w:line="13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We believe that our existing cash and cash equivalents together with cash generated from operations will be sufficient to meet our working capital and capital expenditure requirements for at least the next 12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Cash flows from operating activities were $60.5 million during the nine months ended September 30, 2024 and primarily consisted of net income of $17.0 million, adjusted for certain non-cash items, including depreciation and amortization of $27.0 million, stock-based compensation expense of $12.7 million, changes in operating assets and liabilities and other items totaling $9.6 million and a non-cash impairment of equipment of $0.3 million, which were partially offset by deferred taxes of $6.1 million. Cash flows from operating activities were $56.0 million during the nine months ended September 30, 2023 and primarily consisted of net income of $10.2 million, adjusted for certain non-cash items, including depreciation and amortization of $28.2 million, stock-based compensation expense of $11.8 million, foreign currency translation loss of $3.9 million, interest on finance lease obligations of $0.9 million and changes in operating assets and liabilities and other items totaling $10.6 million, which were partially offset by deferred taxes of $9.2 million and a gain on the disposal of property and equipment of $0.5 million.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Cash flows from operating activities increased $4.5 million during the nine months ended September 30, 2024 compared to the same period in 2023, primarily due to increases in net income of $6.8 million, deferred taxes of $3.1 million, stock-based compensation of $0.9 million and other non-cash property and equipment adjustments of $0.7 million, which were partially offset by decreases in depreciation and amortization of $1.2 million, changes in operating assets and liabilities totaling $1.0 million, and interest on finance lease obligations of $0.8 million. The nine months ended September 30, 2023 also included a $3.9 million non-cash foreign currency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86"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was $10.7 million during the nine months ended September 30, 2024, consisting of $8.3 million for net purchases of property, equipment and other capital assets and $2.4 million of purchases of marketable securities, net of proceeds from call redemptions and maturities.</w:t>
      </w:r>
    </w:p>
    <w:p>
      <w:pPr>
        <w:spacing w:after="0" w:line="10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Cash provided by investing activities was $9.9 million during the nine months ended September 30, 2023, consisting of $19.1 million in proceeds from call redemptions and maturities of marketable securities, which were partially offset by $9.2 million for net purchases of property, equipment and other capital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86"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Cash used in financing activities was $46.0 million during the nine months ended September 30, 2024, consisting of $46.0 million in repurchases of common stock, $1.9 million in purchases of shares withheld for tax obligations associated with equity transactions and $0.2 million for repayments of finance lease obligations, which were partially offset by $2.1 million in proceeds from purchases of shares under the Employee Stock Purchase Plan.</w:t>
      </w:r>
    </w:p>
    <w:p>
      <w:pPr>
        <w:spacing w:after="0" w:line="123"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Cash used in financing activities was $38.7 million during the nine months ended September 30, 2023, consisting of $39.1 million in repurchases of common stock, $1.4 million in purchases of shares withheld for tax obligations associated with equity transactions and $0.2 million for repayments of finance lease obligations, which were partially offset by $2.0 million in proceeds from purchases of shares under the Employee Stock Purchase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Part II, Item 8 in our Annual Report on Form 10-K for the year ended December 31, 2023. There were no material changes to our critical accounting policies and estimates during the nine months ended September 30,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99"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color w:val="auto"/>
        </w:rPr>
        <w:t>For information on recent accounting pronouncements, see Note 2 to the Consolidated Financial Statements appearing in Part I, Item 1 in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As a result of our foreign operations, we have revenue, expenses, assets and liabilities that are denominated in foreign currencies. We generate revenue and incur production and sourcing costs and operating expenses in British Pounds and Euros.</w:t>
      </w:r>
    </w:p>
    <w:p>
      <w:pPr>
        <w:spacing w:after="0" w:line="10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During the nine months ended September 30, 2023, we recognized a foreign currency translation loss of $3.9 million in connection with substantially completing our closure of our Japan business. We recognized foreign currency losses of $0.1 million and $0.2 million for the three months ended September 30, 2024 and 2023, respectively. We recognized foreign currency losses of $0.4 million and $0.1 million during the nine months ended September 30, 2024 and 2023, respectively. The changes in foreign exchange rates had a positive impact on consolidated revenue of $0.5 million for the three months ended September 30, 2024 and a positive impact on consolidated revenue of $1.4 million as for the nine months ended September 30, 2024 compared to the same period in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Part I, Item 1A. “Risk Factors” in our Annual Report on Form 10-K for the year ended December 31, 2023 includes a discussion of our risk factors. There have been no material changes from the risk factors described in our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6"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On February 7, 2023 our board of directors approved a new stock repurchase program that added $50 million to our previous stock repurchase authorization, which increased the total stock repurchase authorized to $250 million. We have $42.5 million remaining under this authorization. The timing and amount of any share repurchases will be determined by our management based on market conditions and other factors.</w:t>
      </w:r>
    </w:p>
    <w:p>
      <w:pPr>
        <w:spacing w:after="0" w:line="136"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7"/>
          <w:szCs w:val="17"/>
          <w:color w:val="auto"/>
        </w:rPr>
        <w:t>During the three months ended September 30, 2024, we repurchased 637,540 shares of our common stock at a total purchase price of $19.0 million under this program. Common stock repurchase activity through September 30, 2024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Maximum Dollar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 of Shares that</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May Yet Be</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 as</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Purchased Under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Part of Publicly</w:t>
            </w:r>
          </w:p>
        </w:tc>
        <w:tc>
          <w:tcPr>
            <w:tcW w:w="20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the Plans</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 Programs (in</w:t>
            </w: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200" w:type="dxa"/>
            <w:vAlign w:val="bottom"/>
          </w:tcPr>
          <w:p>
            <w:pPr>
              <w:spacing w:after="0"/>
              <w:rPr>
                <w:sz w:val="19"/>
                <w:szCs w:val="19"/>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thousands) (1)</w:t>
            </w:r>
          </w:p>
        </w:tc>
      </w:tr>
      <w:tr>
        <w:trPr>
          <w:trHeight w:val="26"/>
        </w:trPr>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34"/>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2024 through July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61,449</w:t>
            </w:r>
          </w:p>
        </w:tc>
      </w:tr>
      <w:tr>
        <w:trPr>
          <w:trHeight w:val="235"/>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2024 through August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441,514</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30.12</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441,514</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48,150</w:t>
            </w:r>
          </w:p>
        </w:tc>
      </w:tr>
      <w:tr>
        <w:trPr>
          <w:trHeight w:val="26"/>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2024 through September 30,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196,026</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196,026</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42,450</w:t>
            </w:r>
          </w:p>
        </w:tc>
      </w:tr>
      <w:tr>
        <w:trPr>
          <w:trHeight w:val="254"/>
        </w:trPr>
        <w:tc>
          <w:tcPr>
            <w:tcW w:w="4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637,540</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637,540</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42,450</w:t>
            </w:r>
          </w:p>
        </w:tc>
      </w:tr>
      <w:tr>
        <w:trPr>
          <w:trHeight w:val="20"/>
        </w:trPr>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6"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17"/>
          <w:szCs w:val="17"/>
          <w:color w:val="auto"/>
        </w:rPr>
        <w:t>During the three months ended September 30, 2024,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filed as part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96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0"/>
        </w:trPr>
        <w:tc>
          <w:tcPr>
            <w:tcW w:w="13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10"/>
          </w:tcPr>
          <w:p>
            <w:pPr>
              <w:spacing w:after="0" w:line="150"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Third Amended and Restated Articles of Incorporation of Proto Labs, Inc. (incorporated by reference to Exhibit 3.2 to the Company’s Registration Statement on Form S-1/A,</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tcBorders>
              <w:top w:val="single" w:sz="8" w:color="0000EE"/>
            </w:tcBorders>
            <w:gridSpan w:val="9"/>
          </w:tcPr>
          <w:p>
            <w:pPr>
              <w:spacing w:after="0" w:line="137"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filed on February 13, 2012).</w:t>
              </w:r>
            </w:hyperlink>
          </w:p>
        </w:tc>
        <w:tc>
          <w:tcPr>
            <w:tcW w:w="100" w:type="dxa"/>
            <w:vAlign w:val="bottom"/>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Articles of Amendment to Third Amended and Restated Articles of Incorporation of Proto Labs, Inc. dated May 20, 2015 (incorporated by reference to Exhibit 3.1 to the</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20" w:type="dxa"/>
            <w:vAlign w:val="bottom"/>
            <w:tcBorders>
              <w:top w:val="single" w:sz="8" w:color="0000EE"/>
            </w:tcBorders>
            <w:gridSpan w:val="7"/>
          </w:tcPr>
          <w:p>
            <w:pPr>
              <w:spacing w:after="0" w:line="137"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Company's Form 8-K, filed with the Commission on May 21, 2015).</w:t>
              </w:r>
            </w:hyperlink>
          </w:p>
        </w:tc>
        <w:tc>
          <w:tcPr>
            <w:tcW w:w="10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Third Amended and Restated By-Laws of Proto Labs, Inc., as amended through November 15, 2022 (incorporated by reference to Exhibit 3.2 to the Company's Form 8-K,</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2"/>
          </w:tcPr>
          <w:p>
            <w:pPr>
              <w:spacing w:after="0" w:line="137" w:lineRule="exact"/>
              <w:rPr>
                <w:rFonts w:ascii="Times New Roman" w:cs="Times New Roman" w:eastAsia="Times New Roman" w:hAnsi="Times New Roman"/>
                <w:sz w:val="14"/>
                <w:szCs w:val="14"/>
                <w:color w:val="0000EE"/>
                <w:w w:val="98"/>
              </w:rPr>
            </w:pPr>
            <w:hyperlink r:id="rId74">
              <w:r>
                <w:rPr>
                  <w:rFonts w:ascii="Times New Roman" w:cs="Times New Roman" w:eastAsia="Times New Roman" w:hAnsi="Times New Roman"/>
                  <w:sz w:val="14"/>
                  <w:szCs w:val="14"/>
                  <w:color w:val="0000EE"/>
                  <w:w w:val="98"/>
                </w:rPr>
                <w:t>filed on November 15, 2022).</w:t>
              </w:r>
            </w:hyperlink>
          </w:p>
        </w:tc>
        <w:tc>
          <w:tcPr>
            <w:tcW w:w="7860" w:type="dxa"/>
            <w:vAlign w:val="bottom"/>
            <w:tcBorders>
              <w:top w:val="single" w:sz="8" w:color="0000EE"/>
            </w:tcBorders>
            <w:gridSpan w:val="6"/>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pursuant to Section 302 of the Sarbanes-Oxley Act*</w:t>
            </w: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Certification of the Chief Financial Officer pursuant to Section 302 of the Sarbanes-Oxley Act*</w:t>
            </w:r>
          </w:p>
        </w:tc>
        <w:tc>
          <w:tcPr>
            <w:tcW w:w="4420" w:type="dxa"/>
            <w:vAlign w:val="bottom"/>
            <w:gridSpan w:val="5"/>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and the Chief Financial Officer pursuant to Section 906 of the Sarbanes-Oxley Act*</w:t>
            </w: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6"/>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193"/>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6"/>
                <w:szCs w:val="16"/>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 Inline XBRL</w:t>
            </w:r>
          </w:p>
        </w:tc>
      </w:tr>
      <w:tr>
        <w:trPr>
          <w:trHeight w:val="182"/>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9"/>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8"/>
                <w:szCs w:val="18"/>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27" w:lineRule="exact"/>
        <w:rPr>
          <w:sz w:val="20"/>
          <w:szCs w:val="20"/>
          <w:color w:val="auto"/>
        </w:rPr>
      </w:pPr>
    </w:p>
    <w:p>
      <w:pPr>
        <w:ind w:left="1460" w:hanging="887"/>
        <w:spacing w:after="0"/>
        <w:tabs>
          <w:tab w:leader="none" w:pos="146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8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Proto Labs, Inc.</w:t>
      </w:r>
    </w:p>
    <w:p>
      <w:pPr>
        <w:spacing w:after="0" w:line="30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Robert Bodor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9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840"/>
          </w:cols>
          <w:pgMar w:left="320" w:top="121" w:right="7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Bodor, certify that:</w:t>
      </w:r>
    </w:p>
    <w:p>
      <w:pPr>
        <w:spacing w:after="0" w:line="223" w:lineRule="exact"/>
        <w:rPr>
          <w:sz w:val="20"/>
          <w:szCs w:val="20"/>
          <w:color w:val="auto"/>
        </w:rPr>
      </w:pPr>
    </w:p>
    <w:p>
      <w:pPr>
        <w:ind w:left="640" w:hanging="165"/>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By:</w:t>
        <w:tab/>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Robert Bodor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2"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Schumacher, certify that:</w:t>
      </w:r>
    </w:p>
    <w:p>
      <w:pPr>
        <w:spacing w:after="0" w:line="223" w:lineRule="exact"/>
        <w:rPr>
          <w:sz w:val="20"/>
          <w:szCs w:val="20"/>
          <w:color w:val="auto"/>
        </w:rPr>
      </w:pPr>
    </w:p>
    <w:p>
      <w:pPr>
        <w:ind w:left="640" w:hanging="165"/>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By:</w:t>
        <w:tab/>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1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 Robert Bodor, certify, pursuant to 18 U.S.C. Section 1350, as adopted pursuant to Section 906 of the Sarbanes-Oxley Act of 2002, that the Quarterly Report of Proto Labs, Inc. on Form 10-Q for the fiscal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7, 2024</w:t>
            </w:r>
          </w:p>
        </w:tc>
        <w:tc>
          <w:tcPr>
            <w:tcW w:w="3000" w:type="dxa"/>
            <w:vAlign w:val="bottom"/>
          </w:tcPr>
          <w:p>
            <w:pPr>
              <w:ind w:left="22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Robert Bodor</w:t>
            </w: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3000" w:type="dxa"/>
            <w:vAlign w:val="bottom"/>
            <w:vMerge w:val="restart"/>
          </w:tcPr>
          <w:p>
            <w:pPr>
              <w:ind w:left="22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Robert Bodor</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2"/>
                <w:szCs w:val="22"/>
                <w:color w:val="auto"/>
              </w:rPr>
            </w:pPr>
          </w:p>
        </w:tc>
        <w:tc>
          <w:tcPr>
            <w:tcW w:w="3000" w:type="dxa"/>
            <w:vAlign w:val="bottom"/>
          </w:tcPr>
          <w:p>
            <w:pPr>
              <w:ind w:left="22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I, Daniel Schumacher, certify, pursuant to 18 U.S.C. Section 1350, as adopted pursuant to Section 906 of the Sarbanes-Oxley Act of 2002, that the Quarterly Report of Proto Labs, Inc. on Form 10-Q for the fiscal quarter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7, 2024</w:t>
            </w:r>
          </w:p>
        </w:tc>
        <w:tc>
          <w:tcPr>
            <w:tcW w:w="3000" w:type="dxa"/>
            <w:vAlign w:val="bottom"/>
          </w:tcPr>
          <w:p>
            <w:pPr>
              <w:ind w:left="22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Daniel Schumacher</w:t>
            </w: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3000" w:type="dxa"/>
            <w:vAlign w:val="bottom"/>
            <w:vMerge w:val="restart"/>
          </w:tcPr>
          <w:p>
            <w:pPr>
              <w:ind w:left="22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Schumacher</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2"/>
                <w:szCs w:val="22"/>
                <w:color w:val="auto"/>
              </w:rPr>
            </w:pPr>
          </w:p>
        </w:tc>
        <w:tc>
          <w:tcPr>
            <w:tcW w:w="3000" w:type="dxa"/>
            <w:vAlign w:val="bottom"/>
          </w:tcPr>
          <w:p>
            <w:pPr>
              <w:ind w:left="22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04"/>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72" Type="http://schemas.openxmlformats.org/officeDocument/2006/relationships/hyperlink" Target="https://www.sec.gov/Archives/edgar/data/1443669/000119312512054357/d199869dex32.htm" TargetMode="External"/><Relationship Id="rId73" Type="http://schemas.openxmlformats.org/officeDocument/2006/relationships/hyperlink" Target="https://www.sec.gov/Archives/edgar/data/1443669/000143774915010824/ex3-1.htm" TargetMode="External"/><Relationship Id="rId74" Type="http://schemas.openxmlformats.org/officeDocument/2006/relationships/hyperlink" Target="https://www.sec.gov/Archives/edgar/data/1443669/000143774922027471/ex_4451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2024-11-07T14:44:46Z</dcterms:created>
  <dcterms:modified xsi:type="dcterms:W3CDTF">2024-11-07T14:44:46Z</dcterms:modified>
</cp:coreProperties>
</file>