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2024</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25,316,070 shares of Common Stock, par value $0.001 per share, were outstanding at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26</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92,804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83,790</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$2,588 and $2,499 as of March 31, 2024, and December 31, 2023,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77,849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72,848</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13,657</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210,420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200,660</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253,655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772,353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16,872</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77,058</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91"/>
        </w:trPr>
        <w:tc>
          <w:tcPr>
            <w:tcW w:w="8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each of March 31, 2024, and</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2023</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Common stock, $0.001 par value, authorized 150,000,000 shares; issued and outstanding 25,316,070 and 25,721,957 shares as of March 31,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256,398</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695,295</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772,353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125,859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72,083</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57,467</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10,677</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Closure of Japan business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8"/>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50,640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50,027</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25,624,949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26,580,279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25,784,987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26,605,787</w:t>
            </w:r>
          </w:p>
        </w:tc>
      </w:t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25,316,070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3"/>
        </w:trPr>
        <w:tc>
          <w:tcPr>
            <w:tcW w:w="3860" w:type="dxa"/>
            <w:vAlign w:val="bottom"/>
          </w:tcPr>
          <w:p>
            <w:pPr>
              <w:spacing w:after="0"/>
              <w:rPr>
                <w:sz w:val="24"/>
                <w:szCs w:val="2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26,888,425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697,648</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26,202,723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683,137</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9,388</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22,578</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call redemptions and maturities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(21,119)</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(21,602)</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83,790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56,558</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92,804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62,051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2023, as filed with the Securities and Exchange Commission (SEC) on February 16, 2024</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2023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16, 2024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that enhances the transparency of income tax disclosures by expanding annual disclosure requirements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4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that updates reportable segment disclosure requirements primarily through enhanced disclosures about significant expenses and information used to assess segment performance on an annual and interim basis. The Company is required to adopt this guidance for its annual year ending December 31, 2024 and all interim periods thereafter. Early adoption is permitted. The Company is currently evaluating the impact of this guidance on its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per Common Share</w:t>
      </w:r>
    </w:p>
    <w:p>
      <w:pPr>
        <w:spacing w:after="0" w:line="19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421,937 and 382,906 for the three months ended March 31, 2024 and 2023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jc w:val="center"/>
              <w:ind w:right="538"/>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left="377"/>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0" w:type="dxa"/>
            <w:vAlign w:val="bottom"/>
          </w:tcPr>
          <w:p>
            <w:pPr>
              <w:spacing w:after="0"/>
              <w:rPr>
                <w:sz w:val="1"/>
                <w:szCs w:val="1"/>
                <w:color w:val="auto"/>
              </w:rPr>
            </w:pPr>
          </w:p>
        </w:tc>
      </w:tr>
      <w:tr>
        <w:trPr>
          <w:trHeight w:val="261"/>
        </w:trPr>
        <w:tc>
          <w:tcPr>
            <w:tcW w:w="2860" w:type="dxa"/>
            <w:vAlign w:val="bottom"/>
            <w:gridSpan w:val="3"/>
          </w:tcPr>
          <w:p>
            <w:pPr>
              <w:spacing w:after="0"/>
              <w:rPr>
                <w:sz w:val="22"/>
                <w:szCs w:val="22"/>
                <w:color w:val="auto"/>
              </w:rPr>
            </w:pPr>
          </w:p>
        </w:tc>
        <w:tc>
          <w:tcPr>
            <w:tcW w:w="144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4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25,624,949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26,580,279</w:t>
            </w:r>
          </w:p>
        </w:tc>
        <w:tc>
          <w:tcPr>
            <w:tcW w:w="0" w:type="dxa"/>
            <w:vAlign w:val="bottom"/>
          </w:tcPr>
          <w:p>
            <w:pPr>
              <w:spacing w:after="0"/>
              <w:rPr>
                <w:sz w:val="1"/>
                <w:szCs w:val="1"/>
                <w:color w:val="auto"/>
              </w:rPr>
            </w:pPr>
          </w:p>
        </w:tc>
      </w:tr>
      <w:tr>
        <w:trPr>
          <w:trHeight w:val="242"/>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rPr>
              <w:t>160,038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25,508</w:t>
            </w:r>
          </w:p>
        </w:tc>
        <w:tc>
          <w:tcPr>
            <w:tcW w:w="0" w:type="dxa"/>
            <w:vAlign w:val="bottom"/>
          </w:tcPr>
          <w:p>
            <w:pPr>
              <w:spacing w:after="0"/>
              <w:rPr>
                <w:sz w:val="1"/>
                <w:szCs w:val="1"/>
                <w:color w:val="auto"/>
              </w:rPr>
            </w:pPr>
          </w:p>
        </w:tc>
      </w:tr>
      <w:tr>
        <w:trPr>
          <w:trHeight w:val="248"/>
        </w:trPr>
        <w:tc>
          <w:tcPr>
            <w:tcW w:w="44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25,784,987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26,605,787</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44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months ended March 31, 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Intangible assets other than goodwill at March 31, 2024 and December 31, 2023 were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March 31, 2024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8"/>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78"/>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left="77"/>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8"/>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assets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960" w:type="dxa"/>
            <w:vAlign w:val="bottom"/>
            <w:gridSpan w:val="2"/>
          </w:tcPr>
          <w:p>
            <w:pPr>
              <w:jc w:val="center"/>
              <w:ind w:left="277"/>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89"/>
              </w:rPr>
              <w:t>0.1</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w:t>
            </w:r>
          </w:p>
        </w:tc>
        <w:tc>
          <w:tcPr>
            <w:tcW w:w="960" w:type="dxa"/>
            <w:vAlign w:val="bottom"/>
            <w:tcBorders>
              <w:bottom w:val="single" w:sz="8" w:color="CCEEFF"/>
            </w:tcBorders>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right="78"/>
              <w:spacing w:after="0"/>
              <w:rPr>
                <w:sz w:val="20"/>
                <w:szCs w:val="20"/>
                <w:color w:val="auto"/>
              </w:rPr>
            </w:pPr>
            <w:r>
              <w:rPr>
                <w:rFonts w:ascii="Times New Roman" w:cs="Times New Roman" w:eastAsia="Times New Roman" w:hAnsi="Times New Roman"/>
                <w:sz w:val="16"/>
                <w:szCs w:val="16"/>
                <w:color w:val="auto"/>
                <w:w w:val="89"/>
              </w:rPr>
              <w:t>1.3</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5,477</w:t>
            </w:r>
          </w:p>
        </w:tc>
        <w:tc>
          <w:tcPr>
            <w:tcW w:w="960" w:type="dxa"/>
            <w:vAlign w:val="bottom"/>
            <w:gridSpan w:val="2"/>
          </w:tcPr>
          <w:p>
            <w:pPr>
              <w:jc w:val="center"/>
              <w:ind w:left="277"/>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89"/>
              </w:rPr>
              <w:t>3.8</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19,798</w:t>
            </w:r>
          </w:p>
        </w:tc>
        <w:tc>
          <w:tcPr>
            <w:tcW w:w="960" w:type="dxa"/>
            <w:vAlign w:val="bottom"/>
            <w:tcBorders>
              <w:bottom w:val="single" w:sz="8" w:color="CCEEFF"/>
            </w:tcBorders>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right="78"/>
              <w:spacing w:after="0"/>
              <w:rPr>
                <w:sz w:val="20"/>
                <w:szCs w:val="20"/>
                <w:color w:val="auto"/>
              </w:rPr>
            </w:pPr>
            <w:r>
              <w:rPr>
                <w:rFonts w:ascii="Times New Roman" w:cs="Times New Roman" w:eastAsia="Times New Roman" w:hAnsi="Times New Roman"/>
                <w:sz w:val="16"/>
                <w:szCs w:val="16"/>
                <w:color w:val="auto"/>
                <w:w w:val="89"/>
              </w:rPr>
              <w:t>8.8</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960" w:type="dxa"/>
            <w:vAlign w:val="bottom"/>
            <w:gridSpan w:val="2"/>
          </w:tcPr>
          <w:p>
            <w:pPr>
              <w:jc w:val="center"/>
              <w:ind w:left="277"/>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960" w:type="dxa"/>
            <w:vAlign w:val="bottom"/>
            <w:tcBorders>
              <w:bottom w:val="single" w:sz="8" w:color="CCEEFF"/>
            </w:tcBorders>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6"/>
                <w:szCs w:val="16"/>
                <w:color w:val="auto"/>
                <w:w w:val="97"/>
              </w:rPr>
              <w:t>3.0 - 9.0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78"/>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53,680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$1.6 million and $1.3 million as of March 31, 2024 and December 31, 2023, respectively. Amortization expense for intangible assets was $1.0 million and $1.5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for each of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3,527</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8,811</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8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March 31, 2024 and December 31, 2023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90,951</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88,272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March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4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15,559</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16,520</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Certificates of deposit/time 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184"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The March 31, 2024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62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9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16,875</w:t>
            </w:r>
          </w:p>
        </w:tc>
      </w:tr>
      <w:tr>
        <w:trPr>
          <w:trHeight w:val="235"/>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3,257</w:t>
            </w:r>
          </w:p>
        </w:tc>
      </w:tr>
      <w:tr>
        <w:trPr>
          <w:trHeight w:val="26"/>
        </w:trPr>
        <w:tc>
          <w:tcPr>
            <w:tcW w:w="9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20,132</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19"/>
                <w:szCs w:val="19"/>
                <w:color w:val="auto"/>
              </w:rPr>
            </w:pPr>
          </w:p>
        </w:tc>
        <w:tc>
          <w:tcPr>
            <w:tcW w:w="150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14,319</w:t>
            </w: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r>
      <w:tr>
        <w:trPr>
          <w:trHeight w:val="26"/>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8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Under the Company's 2022 Long-Term Incentive Plan, the Company has the ability to grant stock options, stock appreciation rights (SARs), restricted stock, restricted stock units, other stock-based awards and cash incentive awards, which was approved by the Company's shareholders at a Special Meeting of Shareholders on August 29, 2022 (as amended, the 2022 Plan).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was $4.3 million and $3.7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371,313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73.73</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March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452,239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March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73.15</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three months ended March 31, 2024 was $18.20.</w:t>
      </w:r>
    </w:p>
    <w:p>
      <w:pPr>
        <w:spacing w:after="0" w:line="197"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4.28%</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- 4.55%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- 6.25</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50.62%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- 55.92%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right"/>
              <w:ind w:right="533"/>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As of March 31, 2024, there was $4.8 million of unrecognized compensation expense related to unvested stock options, which is expected to be recognized over a weighted-average period of 2.9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99"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activity during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653,465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670,267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jc w:val="both"/>
        <w:ind w:right="40"/>
        <w:spacing w:after="0" w:line="295" w:lineRule="auto"/>
        <w:rPr>
          <w:sz w:val="20"/>
          <w:szCs w:val="20"/>
          <w:color w:val="auto"/>
        </w:rPr>
      </w:pPr>
      <w:r>
        <w:rPr>
          <w:rFonts w:ascii="Times New Roman" w:cs="Times New Roman" w:eastAsia="Times New Roman" w:hAnsi="Times New Roman"/>
          <w:sz w:val="17"/>
          <w:szCs w:val="17"/>
          <w:color w:val="auto"/>
        </w:rPr>
        <w:t>As of March 31, 2024, there was $17.8 million of unrecognized compensation expense related to non-vested restricted stock, which is expected to be recognized over a weighted-average period of 2.6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Certain PSUs granted by the Company in 2021 are based on performance conditions and the related compensation cost is based on the probability that the performance conditions will be achieved. The Company’s PSUs granted in 2022, 2023, 2024 and certain PSUs granted in 2021 are based on market conditions and the related compensation cost is based on the fair value at grant date calculated using a Monte Carlo pricing model.</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activity during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107,097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227.14</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stock at March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60.58</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58.00%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720"/>
        <w:spacing w:after="0" w:line="295" w:lineRule="auto"/>
        <w:rPr>
          <w:sz w:val="20"/>
          <w:szCs w:val="20"/>
          <w:color w:val="auto"/>
        </w:rPr>
      </w:pPr>
      <w:r>
        <w:rPr>
          <w:rFonts w:ascii="Times New Roman" w:cs="Times New Roman" w:eastAsia="Times New Roman" w:hAnsi="Times New Roman"/>
          <w:sz w:val="17"/>
          <w:szCs w:val="17"/>
          <w:color w:val="auto"/>
        </w:rPr>
        <w:t>As of March 31, 2024, there was $7.2 million of unrecognized compensation expense related to non-vested performance stock, which is expected to be recognized over a weighted-average period of 2.3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0" w:type="dxa"/>
            <w:vAlign w:val="bottom"/>
            <w:gridSpan w:val="3"/>
          </w:tcPr>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6"/>
        </w:trPr>
        <w:tc>
          <w:tcPr>
            <w:tcW w:w="7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228"/>
        </w:trPr>
        <w:tc>
          <w:tcPr>
            <w:tcW w:w="7760" w:type="dxa"/>
            <w:vAlign w:val="bottom"/>
          </w:tcPr>
          <w:p>
            <w:pPr>
              <w:spacing w:after="0"/>
              <w:rPr>
                <w:sz w:val="19"/>
                <w:szCs w:val="19"/>
                <w:color w:val="auto"/>
              </w:rPr>
            </w:pPr>
          </w:p>
        </w:tc>
        <w:tc>
          <w:tcPr>
            <w:tcW w:w="1280" w:type="dxa"/>
            <w:vAlign w:val="bottom"/>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77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280" w:type="dxa"/>
            <w:vAlign w:val="bottom"/>
            <w:tcBorders>
              <w:bottom w:val="single" w:sz="8" w:color="CCEEFF"/>
            </w:tcBorders>
            <w:shd w:val="clear" w:color="auto" w:fill="CCEEFF"/>
          </w:tcPr>
          <w:p>
            <w:pPr>
              <w:jc w:val="center"/>
              <w:ind w:left="473"/>
              <w:spacing w:after="0"/>
              <w:rPr>
                <w:sz w:val="20"/>
                <w:szCs w:val="20"/>
                <w:color w:val="auto"/>
              </w:rPr>
            </w:pPr>
            <w:r>
              <w:rPr>
                <w:rFonts w:ascii="Times New Roman" w:cs="Times New Roman" w:eastAsia="Times New Roman" w:hAnsi="Times New Roman"/>
                <w:sz w:val="17"/>
                <w:szCs w:val="17"/>
                <w:color w:val="auto"/>
              </w:rPr>
              <w:t>5.16%</w:t>
            </w:r>
          </w:p>
        </w:tc>
        <w:tc>
          <w:tcPr>
            <w:tcW w:w="2200" w:type="dxa"/>
            <w:vAlign w:val="bottom"/>
            <w:tcBorders>
              <w:bottom w:val="single" w:sz="8" w:color="CCEEFF"/>
            </w:tcBorders>
            <w:gridSpan w:val="3"/>
            <w:shd w:val="clear" w:color="auto" w:fill="CCEEFF"/>
          </w:tcPr>
          <w:p>
            <w:pPr>
              <w:jc w:val="center"/>
              <w:ind w:left="573"/>
              <w:spacing w:after="0"/>
              <w:rPr>
                <w:sz w:val="20"/>
                <w:szCs w:val="20"/>
                <w:color w:val="auto"/>
              </w:rPr>
            </w:pPr>
            <w:r>
              <w:rPr>
                <w:rFonts w:ascii="Times New Roman" w:cs="Times New Roman" w:eastAsia="Times New Roman" w:hAnsi="Times New Roman"/>
                <w:sz w:val="17"/>
                <w:szCs w:val="17"/>
                <w:color w:val="auto"/>
              </w:rPr>
              <w:t>4.60%</w:t>
            </w: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280" w:type="dxa"/>
            <w:vAlign w:val="bottom"/>
          </w:tcPr>
          <w:p>
            <w:pPr>
              <w:jc w:val="center"/>
              <w:ind w:left="453"/>
              <w:spacing w:after="0"/>
              <w:rPr>
                <w:sz w:val="20"/>
                <w:szCs w:val="20"/>
                <w:color w:val="auto"/>
              </w:rPr>
            </w:pPr>
            <w:r>
              <w:rPr>
                <w:rFonts w:ascii="Times New Roman" w:cs="Times New Roman" w:eastAsia="Times New Roman" w:hAnsi="Times New Roman"/>
                <w:sz w:val="17"/>
                <w:szCs w:val="17"/>
                <w:color w:val="auto"/>
              </w:rPr>
              <w:t>6.00</w:t>
            </w:r>
          </w:p>
        </w:tc>
        <w:tc>
          <w:tcPr>
            <w:tcW w:w="2200" w:type="dxa"/>
            <w:vAlign w:val="bottom"/>
            <w:gridSpan w:val="3"/>
          </w:tcPr>
          <w:p>
            <w:pPr>
              <w:jc w:val="center"/>
              <w:ind w:left="573"/>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7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280" w:type="dxa"/>
            <w:vAlign w:val="bottom"/>
            <w:tcBorders>
              <w:bottom w:val="single" w:sz="8" w:color="CCEEFF"/>
            </w:tcBorders>
            <w:shd w:val="clear" w:color="auto" w:fill="CCEEFF"/>
          </w:tcPr>
          <w:p>
            <w:pPr>
              <w:jc w:val="center"/>
              <w:ind w:left="453"/>
              <w:spacing w:after="0"/>
              <w:rPr>
                <w:sz w:val="20"/>
                <w:szCs w:val="20"/>
                <w:color w:val="auto"/>
              </w:rPr>
            </w:pPr>
            <w:r>
              <w:rPr>
                <w:rFonts w:ascii="Times New Roman" w:cs="Times New Roman" w:eastAsia="Times New Roman" w:hAnsi="Times New Roman"/>
                <w:sz w:val="17"/>
                <w:szCs w:val="17"/>
                <w:color w:val="auto"/>
              </w:rPr>
              <w:t>47.92%</w:t>
            </w:r>
          </w:p>
        </w:tc>
        <w:tc>
          <w:tcPr>
            <w:tcW w:w="2200" w:type="dxa"/>
            <w:vAlign w:val="bottom"/>
            <w:tcBorders>
              <w:bottom w:val="single" w:sz="8" w:color="CCEEFF"/>
            </w:tcBorders>
            <w:gridSpan w:val="3"/>
            <w:shd w:val="clear" w:color="auto" w:fill="CCEEFF"/>
          </w:tcPr>
          <w:p>
            <w:pPr>
              <w:jc w:val="center"/>
              <w:ind w:left="573"/>
              <w:spacing w:after="0"/>
              <w:rPr>
                <w:sz w:val="20"/>
                <w:szCs w:val="20"/>
                <w:color w:val="auto"/>
              </w:rPr>
            </w:pPr>
            <w:r>
              <w:rPr>
                <w:rFonts w:ascii="Times New Roman" w:cs="Times New Roman" w:eastAsia="Times New Roman" w:hAnsi="Times New Roman"/>
                <w:sz w:val="17"/>
                <w:szCs w:val="17"/>
                <w:color w:val="auto"/>
              </w:rPr>
              <w:t>67.84%</w:t>
            </w: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28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w:t>
            </w:r>
          </w:p>
        </w:tc>
        <w:tc>
          <w:tcPr>
            <w:tcW w:w="2200" w:type="dxa"/>
            <w:vAlign w:val="bottom"/>
            <w:gridSpan w:val="3"/>
          </w:tcPr>
          <w:p>
            <w:pPr>
              <w:jc w:val="center"/>
              <w:ind w:left="553"/>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7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Income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income (loss) balances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(34,355)</w:t>
            </w:r>
          </w:p>
        </w:tc>
      </w:tr>
      <w:tr>
        <w:trPr>
          <w:trHeight w:val="235"/>
        </w:trPr>
        <w:tc>
          <w:tcPr>
            <w:tcW w:w="82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3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15"/>
        </w:trPr>
        <w:tc>
          <w:tcPr>
            <w:tcW w:w="82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gains (losses)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3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(28,845)</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(33,494)</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March 31, 2024 and 2023, the Company recorded an income tax provision of $2.5 million and $2.4 million, respectively. The income tax provision is based on the estimated annual effective tax rate for the year applied to pre-tax income. The effective income tax rate for the three months ended March 31, 2024 was 31.8 percent compared to 47.2 percent in the same period of the prior year. The effective tax rate decreased by 15.4 percent for the three months ended March 31, 2024 when compared to the same period in 2023, primarily due to a decrease in tax expense from the vesting of restricted stock, the cancellation of performance stock units and the exercise of stock options, as well as a decrease in losses in jurisdictions that are not eligible for tax benefits due to valuation allowances.</w:t>
      </w:r>
    </w:p>
    <w:p>
      <w:pPr>
        <w:spacing w:after="0" w:line="147"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months ended March 31, 2024 differs from the U.S. federal statutory rate of 21.0 percent due to various factors, including operating in multiple state and foreign jurisdictions and tax credits for which the Company qualifies.</w:t>
      </w:r>
    </w:p>
    <w:p>
      <w:pPr>
        <w:spacing w:after="0" w:line="10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$3.4 million as of March 31, 2024 and $3.6 million as of December 31, 2023,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8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and income from operations by reportable segment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101,481</w:t>
            </w:r>
          </w:p>
        </w:tc>
        <w:tc>
          <w:tcPr>
            <w:tcW w:w="8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97,746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28,113</w:t>
            </w:r>
          </w:p>
        </w:tc>
      </w:tr>
      <w:tr>
        <w:trPr>
          <w:trHeight w:val="254"/>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125,859</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281"/>
        </w:trPr>
        <w:tc>
          <w:tcPr>
            <w:tcW w:w="8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4"/>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6"/>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77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20,481</w:t>
            </w:r>
          </w:p>
        </w:tc>
      </w:tr>
      <w:tr>
        <w:trPr>
          <w:trHeight w:val="26"/>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1"/>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r>
      <w:tr>
        <w:trPr>
          <w:trHeight w:val="235"/>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 and Japan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(14,249)</w:t>
            </w:r>
          </w:p>
        </w:tc>
      </w:tr>
      <w:tr>
        <w:trPr>
          <w:trHeight w:val="26"/>
        </w:trPr>
        <w:tc>
          <w:tcPr>
            <w:tcW w:w="77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4"/>
        </w:trPr>
        <w:tc>
          <w:tcPr>
            <w:tcW w:w="7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463"/>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Total long-lived assets at March 31, 2024 and December 31, 2023 were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7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352"/>
        </w:trPr>
        <w:tc>
          <w:tcPr>
            <w:tcW w:w="7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7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195,944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201,388</w:t>
            </w:r>
          </w:p>
        </w:tc>
      </w:tr>
      <w:tr>
        <w:trPr>
          <w:trHeight w:val="26"/>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51,854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52,267</w:t>
            </w:r>
          </w:p>
        </w:tc>
      </w:tr>
      <w:tr>
        <w:trPr>
          <w:trHeight w:val="254"/>
        </w:trPr>
        <w:tc>
          <w:tcPr>
            <w:tcW w:w="77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Long-lived Assets</w:t>
            </w: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247,798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253,655</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3"/>
        </w:trPr>
        <w:tc>
          <w:tcPr>
            <w:tcW w:w="77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35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35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4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5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46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5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52,663</w:t>
            </w:r>
          </w:p>
        </w:tc>
        <w:tc>
          <w:tcPr>
            <w:tcW w:w="8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51,948</w:t>
            </w:r>
          </w:p>
        </w:tc>
      </w:tr>
      <w:tr>
        <w:trPr>
          <w:trHeight w:val="26"/>
        </w:trPr>
        <w:tc>
          <w:tcPr>
            <w:tcW w:w="35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4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48,104</w:t>
            </w:r>
          </w:p>
        </w:tc>
      </w:tr>
      <w:tr>
        <w:trPr>
          <w:trHeight w:val="23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21,325</w:t>
            </w:r>
          </w:p>
        </w:tc>
      </w:tr>
      <w:tr>
        <w:trPr>
          <w:trHeight w:val="26"/>
        </w:trPr>
        <w:tc>
          <w:tcPr>
            <w:tcW w:w="35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4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r>
      <w:tr>
        <w:trPr>
          <w:trHeight w:val="23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6"/>
        </w:trPr>
        <w:tc>
          <w:tcPr>
            <w:tcW w:w="35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5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54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868"/>
        </w:trPr>
        <w:tc>
          <w:tcPr>
            <w:tcW w:w="3540" w:type="dxa"/>
            <w:vAlign w:val="bottom"/>
          </w:tcPr>
          <w:p>
            <w:pPr>
              <w:spacing w:after="0"/>
              <w:rPr>
                <w:sz w:val="24"/>
                <w:szCs w:val="24"/>
                <w:color w:val="auto"/>
              </w:rPr>
            </w:pPr>
          </w:p>
        </w:tc>
        <w:tc>
          <w:tcPr>
            <w:tcW w:w="4660" w:type="dxa"/>
            <w:vAlign w:val="bottom"/>
          </w:tcPr>
          <w:p>
            <w:pPr>
              <w:jc w:val="right"/>
              <w:ind w:right="2393"/>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8"/>
        </w:trPr>
        <w:tc>
          <w:tcPr>
            <w:tcW w:w="354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are one of the world’s largest, fastest and most comprehensive digital manufacturers of custom parts. Our vision is accelerating innovation by revolutionizing manufacturing. Our mission is to empower companies to bring new ideas to market by offering the fastest and most comprehensive digital manufacturing service in the world.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 We utilize injection molding, computer numerical control (CNC) machining, 3D printing and sheet metal fabrication to manufacture custom parts for our customers.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Our customers conduct nearly all of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and to a wide variety of customers seeking to purchase custom made parts. We believe our use of advanced technology enables us to offer significant advantages at competitive prices to many customers and is the primary reason we have become a leading supplier of custom parts.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have established our operations in the United States and Europe. 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 On May 27, 2022, the Company's board of directors approved a plan for the closure of our manufacturing facility in Japan and announced an intention to cease operations in the region. The Company dissolved its Japan operations in December 2023.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sales of fabricated sheet metal custom parts. 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21" w:lineRule="exact"/>
        <w:rPr>
          <w:sz w:val="20"/>
          <w:szCs w:val="20"/>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breadth and scope of our products by adding more sizes and materials to our offerings;</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3D Printing product line through our acquisition of FineLine in 2014;</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3D Printing to Europe through our acquisition of Alphaform in 2015;</w:t>
      </w:r>
    </w:p>
    <w:p>
      <w:pPr>
        <w:spacing w:after="0" w:line="19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Sheet Metal product line through our acquisition of Rapid Manufacturing Group, LLC in 2017;</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improving the usability of our product lines such as our web-centric applications; and</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customers with on-demand access to a global network of premium manufacturing partners through our acquisition of Hubs in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Cost of revenue consists primarily of raw materials, equipment depreciation, employee compensation including benefits and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2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currency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8"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0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34"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2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Closure of Japan business expense is driven by our decision to close the Japan manufacturing facility and exit the Japan market.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consist primarily of operating expense, including employee severance, write-down of fixed assets, facility-related charges and goodwill impairment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0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2024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7"/>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3"/>
          </w:tcPr>
          <w:p>
            <w:pPr>
              <w:ind w:left="8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40" w:type="dxa"/>
            <w:vAlign w:val="bottom"/>
          </w:tcPr>
          <w:p>
            <w:pPr>
              <w:spacing w:after="0"/>
              <w:rPr>
                <w:sz w:val="19"/>
                <w:szCs w:val="19"/>
                <w:color w:val="auto"/>
              </w:rPr>
            </w:pPr>
          </w:p>
        </w:tc>
      </w:tr>
      <w:tr>
        <w:trPr>
          <w:trHeight w:val="26"/>
        </w:trPr>
        <w:tc>
          <w:tcPr>
            <w:tcW w:w="2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400" w:type="dxa"/>
            <w:vAlign w:val="bottom"/>
          </w:tcPr>
          <w:p>
            <w:pPr>
              <w:spacing w:after="0"/>
              <w:rPr>
                <w:sz w:val="19"/>
                <w:szCs w:val="19"/>
                <w:color w:val="auto"/>
              </w:rPr>
            </w:pPr>
          </w:p>
        </w:tc>
        <w:tc>
          <w:tcPr>
            <w:tcW w:w="140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1.6</w:t>
            </w:r>
          </w:p>
        </w:tc>
      </w:tr>
      <w:tr>
        <w:trPr>
          <w:trHeight w:val="235"/>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(2.3)</w:t>
            </w:r>
          </w:p>
        </w:tc>
      </w:tr>
      <w:tr>
        <w:trPr>
          <w:trHeight w:val="26"/>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53,776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6.9</w:t>
            </w:r>
          </w:p>
        </w:tc>
      </w:tr>
      <w:tr>
        <w:trPr>
          <w:trHeight w:val="235"/>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2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3.2</w:t>
            </w:r>
          </w:p>
        </w:tc>
      </w:tr>
      <w:tr>
        <w:trPr>
          <w:trHeight w:val="235"/>
        </w:trPr>
        <w:tc>
          <w:tcPr>
            <w:tcW w:w="2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w:t>
            </w: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2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(3.1)</w:t>
            </w:r>
          </w:p>
        </w:tc>
      </w:tr>
      <w:tr>
        <w:trPr>
          <w:trHeight w:val="235"/>
        </w:trPr>
        <w:tc>
          <w:tcPr>
            <w:tcW w:w="2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Closure of Japan business</w:t>
            </w:r>
          </w:p>
        </w:tc>
        <w:tc>
          <w:tcPr>
            <w:tcW w:w="400" w:type="dxa"/>
            <w:vAlign w:val="bottom"/>
          </w:tcPr>
          <w:p>
            <w:pPr>
              <w:spacing w:after="0"/>
              <w:rPr>
                <w:sz w:val="20"/>
                <w:szCs w:val="20"/>
                <w:color w:val="auto"/>
              </w:rPr>
            </w:pPr>
          </w:p>
        </w:tc>
        <w:tc>
          <w:tcPr>
            <w:tcW w:w="1400" w:type="dxa"/>
            <w:vAlign w:val="bottom"/>
            <w:gridSpan w:val="3"/>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26"/>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2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w:t>
            </w: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3,078</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82.1</w:t>
            </w: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(30.3)</w:t>
            </w: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53.3</w:t>
            </w:r>
          </w:p>
        </w:tc>
      </w:tr>
      <w:tr>
        <w:trPr>
          <w:trHeight w:val="26"/>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3.3</w:t>
            </w:r>
          </w:p>
        </w:tc>
      </w:tr>
      <w:tr>
        <w:trPr>
          <w:trHeight w:val="254"/>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98.1 %</w:t>
            </w:r>
          </w:p>
        </w:tc>
      </w:tr>
      <w:tr>
        <w:trPr>
          <w:trHeight w:val="20"/>
        </w:trPr>
        <w:tc>
          <w:tcPr>
            <w:tcW w:w="2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3"/>
        </w:trPr>
        <w:tc>
          <w:tcPr>
            <w:tcW w:w="2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Three Months Ended March</w:t>
            </w:r>
          </w:p>
        </w:tc>
      </w:tr>
      <w:tr>
        <w:trPr>
          <w:trHeight w:val="229"/>
        </w:trPr>
        <w:tc>
          <w:tcPr>
            <w:tcW w:w="8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31,</w:t>
            </w:r>
          </w:p>
        </w:tc>
        <w:tc>
          <w:tcPr>
            <w:tcW w:w="880" w:type="dxa"/>
            <w:vAlign w:val="bottom"/>
          </w:tcPr>
          <w:p>
            <w:pPr>
              <w:spacing w:after="0"/>
              <w:rPr>
                <w:sz w:val="19"/>
                <w:szCs w:val="19"/>
                <w:color w:val="auto"/>
              </w:rPr>
            </w:pPr>
          </w:p>
        </w:tc>
      </w:tr>
      <w:tr>
        <w:trPr>
          <w:trHeight w:val="26"/>
        </w:trPr>
        <w:tc>
          <w:tcPr>
            <w:tcW w:w="8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19"/>
                <w:szCs w:val="19"/>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restricted stock and performance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42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w:t>
            </w:r>
          </w:p>
        </w:tc>
      </w:tr>
      <w:tr>
        <w:trPr>
          <w:trHeight w:val="235"/>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6"/>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4"/>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w:t>
            </w:r>
          </w:p>
        </w:tc>
        <w:tc>
          <w:tcPr>
            <w:tcW w:w="4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42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35"/>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r>
      <w:tr>
        <w:trPr>
          <w:trHeight w:val="235"/>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r>
      <w:tr>
        <w:trPr>
          <w:trHeight w:val="26"/>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w:t>
            </w:r>
          </w:p>
        </w:tc>
      </w:tr>
      <w:tr>
        <w:trPr>
          <w:trHeight w:val="254"/>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4,276</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3,695</w:t>
            </w: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8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March 31,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3,735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Our revenue increased $2.0 million, or 1.6%, for the three months ended March 31, 2024 compared to the same period in 2023. By reportable segment, revenue in the United States increased $3.7 million, or 3.8%, for the three months ended March 31, 2024 compared to the same period in 2023. Revenue in Europe decreased $1.7 million, or 6.1%, for the three months ended March 31, 2024 compared to the same period in 2023. Revenue generated from the Protolabs Network was $23.9 million and $17.2 million for the three months ended March 31, 2024 and 2023, respectively. International revenue was positively impacted by $0.9 million during three months ended March 31, 2024 compared to the same period in 2023 as a result of foreign currency movements, primarily the strengthening of the British Pound and Euro relative to the United States Dollar.</w:t>
      </w:r>
    </w:p>
    <w:p>
      <w:pPr>
        <w:spacing w:after="0" w:line="13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2024, we served 22,466 unique customer contacts, which is a decrease of 3.5% from the same period in 2023. Our customer contacts served decreased compared to an increase in revenue. This is primarily due to our strategic focus to earn larger orders from our customers as we strive to be their supplier of choice by serving their custom parts needs through the comprehensive offer our factory and the Protolabs Network provide.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7"/>
          <w:szCs w:val="17"/>
          <w:color w:val="auto"/>
        </w:rPr>
        <w:t>By product line, our revenue increase was driven by a 3.8% increase in CNC Machining revenue, a 1.2% increase in 3D Printing revenue and a 1.4% increase in Injection Molding revenue, which was partially offset by a 16.4% decrease in Sheet Metal revenue and a 31.6% decrease in Other Revenue, in each case for the three months ended March 31, 2024 compared to the same period in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decreased $1.7 million, or 2.3%, for the three months ended March 31, 2024 compared to the same period in 2023,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increased 1.6% for the three months ended March 31, 2024 compared to the same period in 2023. The decrease in the cost of revenue of $1.7 million was primarily driven by reductions in contract labor, headcount and overtime leading to lower personnel and related costs of $1.6 million primarily in our digital manufacturing factory business during the three months ended March 31, 2024 compared to the same period in 2023. The cost reductions in our digital factories were the result of focused management of resources aligned to order volumes, partially supported by increased automation.</w:t>
      </w:r>
    </w:p>
    <w:p>
      <w:pPr>
        <w:spacing w:after="0" w:line="14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from $53.8 million in the three months ended March 31, 2023 to $57.5 million in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2024. Gross margin increased from 42.7% in the three months ended March 31, 2023 to 44.9% in the three months ended March 31,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(Loss) Income, net and Provision for Income Taxes</w:t>
      </w:r>
    </w:p>
    <w:p>
      <w:pPr>
        <w:spacing w:after="0" w:line="18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expenses increased $0.7 million, or 3.2%, during the three months ended March 31, 2024 compared to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The increase in marketing and sales expenses was primarily driven by increases in personnel and related costs of $0.3 million and marketing program cost of $0.4 million during the three months ended March 31, 2024 when compared to the same period in 2023.</w:t>
      </w:r>
    </w:p>
    <w:p>
      <w:pPr>
        <w:spacing w:after="0" w:line="133"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increased $0.5 million, or 4.6%, during the three months ended March 31, 2024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2023 primarily due to increases of $0.2 million in professional services and $0.3 million of other operating costs.</w:t>
      </w:r>
    </w:p>
    <w:p>
      <w:pPr>
        <w:spacing w:after="0" w:line="10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decreased $0.5 million, or 3.1%, during the three months ended March 31, 2024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2023 primarily due to decreases of $0.6 million in administrative costs and professional services, $0.4 million in intangible amortization expense and $0.1 million of other operating costs. These decreases were partially offset by increases of personnel and related costs of $0.3 million and $0.3 million stock based compensation costs in the current period.</w:t>
      </w:r>
    </w:p>
    <w:p>
      <w:pPr>
        <w:spacing w:after="0" w:line="127"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We had no expenses related to the closure of our Japan business during the three months ended March 31, 2024. Our decision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close our Japan business resulted in $0.1 million in operating expenses during the three months ended March 31, 2023.</w:t>
      </w:r>
    </w:p>
    <w:p>
      <w:pPr>
        <w:spacing w:after="0" w:line="116"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We recognized other income, net of $0.9 million for the three months ended March 31, 2024, a decline of $0.4 million compared to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net of $1.3 million for the three months ended March 31, 2023. Other income,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7"/>
          <w:szCs w:val="17"/>
          <w:color w:val="auto"/>
        </w:rPr>
        <w:t>net for the three months ended March 31, 2024 primarily consisted of $1.1 million in interest income on investments and other income, partially offset by $0.2 million of foreign currency losses. Other income, net for the three months ended March 31, 2023 primarily consisted of a $0.1 million gain on foreign currency and $1.2 million in interest income on investments and other income.</w:t>
      </w:r>
    </w:p>
    <w:p>
      <w:pPr>
        <w:spacing w:after="0" w:line="13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31.8% for the three months ended March 31, 2024 decreased 15.4% compared to 47.2%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The decrease in the effective tax rate is primarily due to a decrease in tax expense from the vesting of restricted stock, the cancellation of performance stock units and the exercise of stock options, as well as a decrease in losses in jurisdictions that are not eligible for tax benefits due to valuation allowances. Our income tax provision of $2.5 million for the three months ended March 31, 2024 increased $0.1 million as compared our income tax provision of $2.4 million to the same period in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$92.8 million as of March 31, 2024, an increase of $9.0 million from December 31, 2023. The increase in our cash was primarily due to cash provided by operating activities of $21.3 million and proceeds from call redemptions and maturities of marketable securities of $7.0 million, which were partially offset by $2.6 million for purchases of property, equipment and other capital assets, and $16.0 million in repurchases of common stock.</w:t>
      </w:r>
    </w:p>
    <w:p>
      <w:pPr>
        <w:spacing w:after="0" w:line="143"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8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Cash flows from operating activities were $21.3 million during the three months ended March 31, 2024 and primarily consisted of net income of $5.3 million, adjusted for certain non-cash items, including depreciation and amortization of $9.1 million, stock-based compensation expense of $4.3 million and changes in operating assets and liabilities and other items totaling $4.9 million, which were partially offset by deferred taxes of $2.2 million. Cash flows from operating activities were $22.6 million during the three months ended March 31, 2023 and primarily consisted of net income of $2.7 million, adjusted for certain non-cash items, including depreciation and amortization of $9.4 million and stock-based compensation expense of $3.7 million, interest on finance lease obligations of $0.3 million and changes in operating assets and liabilities and other items totaling $9.7 million, which were partially offset by deferred taxes of $3.1 million.</w:t>
      </w:r>
    </w:p>
    <w:p>
      <w:pPr>
        <w:spacing w:after="0" w:line="14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Cash flows from operating activities decreased $1.2 million during the three months ended March 31, 2024 compared to the same period in 2023, primarily due to decreases in changes in operating assets and liabilities totaling $4.8 million, interest on finance lease obligations of $0.3 million and depreciation and amortization of $0.3 million, which were partially offset by increases in net income of $2.6 million, stock-based compensation of $0.6 million and deferred taxes of $0.8 million.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$4.4 million during the three months ended March 31, 2024, consisting of $7.0 million in proceeds from call redemptions and maturities of marketable securities, which were partially offset by $2.6 million for net purchases of property, equipment and other capital assets.</w:t>
      </w:r>
    </w:p>
    <w:p>
      <w:pPr>
        <w:spacing w:after="0" w:line="10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$4.4 million during the three months ended March 31, 2023, consisting of $7.6 million in proceeds from call redemptions and maturities of marketable securities, which were partially offset by $3.2 million for net purchases of property, equipment and other capital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99"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17"/>
          <w:szCs w:val="17"/>
          <w:color w:val="auto"/>
        </w:rPr>
        <w:t>Cash used in financing activities was $16.6 million during the three months ended March 31, 2024, consisting of $16.0 million in repurchases of common stock, $0.5 million in purchases of shares withheld for tax obligations associated with equity transactions and $0.1 million for repayments of finance lease obligations.</w:t>
      </w:r>
    </w:p>
    <w:p>
      <w:pPr>
        <w:spacing w:after="0" w:line="108"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17"/>
          <w:szCs w:val="17"/>
          <w:color w:val="auto"/>
        </w:rPr>
        <w:t>Cash used in financing activities was $21.6 million during the three months ended March 31, 2023, consisting of $21.1 million in repurchases of common stock, $0.4 million in purchases of shares withheld for tax obligations associated with equity transactions and $0.1 million for repayments of finance lease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Pat II, Item 8 in our Annual Report on Form 10-K for the year ended December 31, 2023. There were no material changes to our critical accounting policies and estimates during the three months ended March 31,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6"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in this Quarterly Report on Form 10-Q.</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costs and operating expenses in British Pounds and Euros.</w:t>
      </w:r>
    </w:p>
    <w:p>
      <w:pPr>
        <w:spacing w:after="0" w:line="10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3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$0.2 million and foreign currency gains of $0.1 million during the three months ended March 31, 2024 and 2023, respectively. The changes in foreign exchange rates had a positive impact on consolidated revenue of $0.9 million for the three months ended March 31, 2024 as compared to the same period in 2023.</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2023 includes a discussion of our risk factors. There have been no material changes from the risk factors described in our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On February 7, 2023 our board of directors approved a new stock repurchase program that added $50 million to our previous stock repurchase authorization, which increased the total stock repurchase authorized to $250 million. We have $72.4 million remaining under this authorization. The timing and amount of any share repurchases will be determined by our management based on market conditions and other factors.</w:t>
      </w:r>
    </w:p>
    <w:p>
      <w:pPr>
        <w:spacing w:after="0" w:line="136" w:lineRule="exact"/>
        <w:rPr>
          <w:sz w:val="20"/>
          <w:szCs w:val="20"/>
          <w:color w:val="auto"/>
        </w:rPr>
      </w:pPr>
    </w:p>
    <w:p>
      <w:pPr>
        <w:ind w:right="540"/>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2024, we repurchased 435,861 shares of our common stock at a total purchase price of $16.0 million under this program. Common stock repurchase activity through March 31, 2024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 Programs (in</w:t>
            </w: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thousands) (1)</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2024 through January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88,364</w:t>
            </w:r>
          </w:p>
        </w:tc>
      </w:tr>
      <w:tr>
        <w:trPr>
          <w:trHeight w:val="235"/>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2024 through February 29,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272,224</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272,224</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78,364</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2024 through March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163,637</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163,637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72,365</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435,861</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435,861</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72,365</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7"/>
          <w:szCs w:val="17"/>
          <w:color w:val="auto"/>
        </w:rPr>
        <w:t>During the three months ended March 31,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96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0"/>
        </w:trPr>
        <w:tc>
          <w:tcPr>
            <w:tcW w:w="13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10"/>
          </w:tcPr>
          <w:p>
            <w:pPr>
              <w:spacing w:after="0" w:line="150"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 Statement on Form S-1/A,</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EE"/>
            </w:tcBorders>
            <w:gridSpan w:val="9"/>
          </w:tcPr>
          <w:p>
            <w:pPr>
              <w:spacing w:after="0" w:line="137"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filed on February 13, 2012).</w:t>
              </w:r>
            </w:hyperlink>
          </w:p>
        </w:tc>
        <w:tc>
          <w:tcPr>
            <w:tcW w:w="100" w:type="dxa"/>
            <w:vAlign w:val="bottom"/>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Articles of Amendment to Third Amended and Restated Articles of Incorporation of Proto Labs, Inc. dated May 20, 2015 (incorporated by reference to Exhibit 3.1 to the</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20" w:type="dxa"/>
            <w:vAlign w:val="bottom"/>
            <w:tcBorders>
              <w:top w:val="single" w:sz="8" w:color="0000EE"/>
            </w:tcBorders>
            <w:gridSpan w:val="7"/>
          </w:tcPr>
          <w:p>
            <w:pPr>
              <w:spacing w:after="0" w:line="137"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Company's Form 8-K, filed with the Commission on May 21, 2015).</w:t>
              </w:r>
            </w:hyperlink>
          </w:p>
        </w:tc>
        <w:tc>
          <w:tcPr>
            <w:tcW w:w="1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Third Amended and Restated By-Laws of Proto Labs, Inc., as amended through November 15, 2022 (incorporated by reference to Exhibit 3.2 to the Company's Form 8-K,</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2"/>
          </w:tcPr>
          <w:p>
            <w:pPr>
              <w:spacing w:after="0" w:line="137" w:lineRule="exact"/>
              <w:rPr>
                <w:rFonts w:ascii="Times New Roman" w:cs="Times New Roman" w:eastAsia="Times New Roman" w:hAnsi="Times New Roman"/>
                <w:sz w:val="14"/>
                <w:szCs w:val="14"/>
                <w:color w:val="0000EE"/>
                <w:w w:val="98"/>
              </w:rPr>
            </w:pPr>
            <w:hyperlink r:id="rId70">
              <w:r>
                <w:rPr>
                  <w:rFonts w:ascii="Times New Roman" w:cs="Times New Roman" w:eastAsia="Times New Roman" w:hAnsi="Times New Roman"/>
                  <w:sz w:val="14"/>
                  <w:szCs w:val="14"/>
                  <w:color w:val="0000EE"/>
                  <w:w w:val="98"/>
                </w:rPr>
                <w:t>filed on November 15, 2022).</w:t>
              </w:r>
            </w:hyperlink>
          </w:p>
        </w:tc>
        <w:tc>
          <w:tcPr>
            <w:tcW w:w="7860" w:type="dxa"/>
            <w:vAlign w:val="bottom"/>
            <w:tcBorders>
              <w:top w:val="single" w:sz="8" w:color="0000EE"/>
            </w:tcBorders>
            <w:gridSpan w:val="6"/>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4420" w:type="dxa"/>
            <w:vAlign w:val="bottom"/>
            <w:gridSpan w:val="5"/>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6"/>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93"/>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w:t>
            </w:r>
          </w:p>
        </w:tc>
      </w:tr>
      <w:tr>
        <w:trPr>
          <w:trHeight w:val="18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27" w:lineRule="exact"/>
        <w:rPr>
          <w:sz w:val="20"/>
          <w:szCs w:val="20"/>
          <w:color w:val="auto"/>
        </w:rPr>
      </w:pPr>
    </w:p>
    <w:p>
      <w:pPr>
        <w:ind w:left="1460" w:hanging="887"/>
        <w:spacing w:after="0"/>
        <w:tabs>
          <w:tab w:leader="none" w:pos="146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8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Robert Bodor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840"/>
          </w:cols>
          <w:pgMar w:left="320" w:top="121" w:right="7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Bodor, certify that:</w:t>
      </w:r>
    </w:p>
    <w:p>
      <w:pPr>
        <w:spacing w:after="0" w:line="223" w:lineRule="exact"/>
        <w:rPr>
          <w:sz w:val="20"/>
          <w:szCs w:val="20"/>
          <w:color w:val="auto"/>
        </w:rPr>
      </w:pPr>
    </w:p>
    <w:p>
      <w:pPr>
        <w:ind w:left="640" w:hanging="165"/>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By:</w:t>
        <w:tab/>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Robert Bodor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May 3, 2024</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 Robert Bodor, certify, pursuant to 18 U.S.C. Section 1350, as adopted pursuant to Section 906 of the Sarbanes-Oxley Act of 2002, that the Quarterly Report of Proto Labs, Inc. on Form 10-Q for the fiscal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Robert Bodor</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2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Robert Bodor</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2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04"/>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68" Type="http://schemas.openxmlformats.org/officeDocument/2006/relationships/hyperlink" Target="https://www.sec.gov/Archives/edgar/data/1443669/000119312512054357/d199869dex32.htm" TargetMode="External"/><Relationship Id="rId69" Type="http://schemas.openxmlformats.org/officeDocument/2006/relationships/hyperlink" Target="https://www.sec.gov/Archives/edgar/data/1443669/000143774915010824/ex3-1.htm" TargetMode="External"/><Relationship Id="rId70" Type="http://schemas.openxmlformats.org/officeDocument/2006/relationships/hyperlink" Target="https://www.sec.gov/Archives/edgar/data/1443669/000143774922027471/ex_445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2024-05-03T14:05:16Z</dcterms:created>
  <dcterms:modified xsi:type="dcterms:W3CDTF">2024-05-03T14:05:16Z</dcterms:modified>
</cp:coreProperties>
</file>