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WEHRWEIN SVEN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5540 PIONEER CREEK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Proto Labs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PRLB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MAPLE PLAIN 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55359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1,500</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76.9067</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33,005</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06/02/2026</w:t>
            </w:r>
          </w:p>
        </w:tc>
        <w:tc>
          <w:tcPr>
            <w:tcW w:w="11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right"/>
              <w:ind w:right="129"/>
              <w:spacing w:after="0"/>
              <w:rPr>
                <w:sz w:val="20"/>
                <w:szCs w:val="20"/>
                <w:color w:val="auto"/>
              </w:rPr>
            </w:pPr>
            <w:r>
              <w:rPr>
                <w:rFonts w:ascii="Times New Roman" w:cs="Times New Roman" w:eastAsia="Times New Roman" w:hAnsi="Times New Roman"/>
                <w:sz w:val="17"/>
                <w:szCs w:val="17"/>
                <w:color w:val="0000FF"/>
              </w:rPr>
              <w:t>500</w:t>
            </w:r>
          </w:p>
        </w:tc>
        <w:tc>
          <w:tcPr>
            <w:tcW w:w="54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jc w:val="center"/>
              <w:ind w:right="1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78.38</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32,505</w:t>
            </w:r>
          </w:p>
        </w:tc>
        <w:tc>
          <w:tcPr>
            <w:tcW w:w="9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of 1,500 shares of common stock of Proto Labs Inc. sold by the reporting person in multiple transactions on June 2, 2026, with sale prices ranging from $76.86 to $77.00 per share. The reporting person undertakes to provide upon request by the U.S. Securities and Exchange Commission staff, the issuer, or a security holder of the issuer, full information regarding the number of shares sold at each separate price.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W. Morgan Burns,</w:t>
            </w:r>
          </w:p>
        </w:tc>
        <w:tc>
          <w:tcPr>
            <w:tcW w:w="360" w:type="dxa"/>
            <w:vAlign w:val="bottom"/>
          </w:tcPr>
          <w:p>
            <w:pPr>
              <w:spacing w:after="0"/>
              <w:rPr>
                <w:sz w:val="17"/>
                <w:szCs w:val="17"/>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680" w:type="dxa"/>
            <w:vAlign w:val="bottom"/>
            <w:gridSpan w:val="2"/>
            <w:vMerge w:val="restart"/>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05069" TargetMode="External"/><Relationship Id="rId14" Type="http://schemas.openxmlformats.org/officeDocument/2006/relationships/hyperlink" Target="http://www.sec.gov/cgi-bin/browse-edgar?action=getcompany&amp;CIK=00014436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2026-06-04T15:57:23Z</dcterms:created>
  <dcterms:modified xsi:type="dcterms:W3CDTF">2026-06-04T15:57:23Z</dcterms:modified>
</cp:coreProperties>
</file>