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(Mark One)</w:t>
      </w:r>
    </w:p>
    <w:p>
      <w:pPr>
        <w:spacing w:after="0" w:line="154" w:lineRule="exact"/>
        <w:rPr>
          <w:sz w:val="24"/>
          <w:szCs w:val="24"/>
          <w:color w:val="auto"/>
        </w:rPr>
      </w:pPr>
    </w:p>
    <w:p>
      <w:pPr>
        <w:ind w:left="500" w:right="1640" w:hanging="474"/>
        <w:spacing w:after="0" w:line="329"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21" w:lineRule="exact"/>
        <w:rPr>
          <w:sz w:val="24"/>
          <w:szCs w:val="24"/>
          <w:color w:val="auto"/>
        </w:rPr>
      </w:pPr>
    </w:p>
    <w:p>
      <w:pPr>
        <w:ind w:left="204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500" w:right="1620" w:hanging="474"/>
        <w:spacing w:after="0" w:line="329"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001-35435</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Proto Labs,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5380" w:type="dxa"/>
            <w:vAlign w:val="bottom"/>
          </w:tcPr>
          <w:p>
            <w:pPr>
              <w:jc w:val="center"/>
              <w:ind w:right="970"/>
              <w:spacing w:after="0"/>
              <w:rPr>
                <w:sz w:val="20"/>
                <w:szCs w:val="20"/>
                <w:color w:val="auto"/>
              </w:rPr>
            </w:pPr>
            <w:r>
              <w:rPr>
                <w:rFonts w:ascii="Arial" w:cs="Arial" w:eastAsia="Arial" w:hAnsi="Arial"/>
                <w:sz w:val="18"/>
                <w:szCs w:val="18"/>
                <w:b w:val="1"/>
                <w:bCs w:val="1"/>
                <w:color w:val="auto"/>
                <w:w w:val="89"/>
              </w:rPr>
              <w:t>Minnesota</w:t>
            </w:r>
          </w:p>
        </w:tc>
        <w:tc>
          <w:tcPr>
            <w:tcW w:w="3700" w:type="dxa"/>
            <w:vAlign w:val="bottom"/>
          </w:tcPr>
          <w:p>
            <w:pPr>
              <w:jc w:val="right"/>
              <w:ind w:right="790"/>
              <w:spacing w:after="0"/>
              <w:rPr>
                <w:sz w:val="20"/>
                <w:szCs w:val="20"/>
                <w:color w:val="auto"/>
              </w:rPr>
            </w:pPr>
            <w:r>
              <w:rPr>
                <w:rFonts w:ascii="Arial" w:cs="Arial" w:eastAsia="Arial" w:hAnsi="Arial"/>
                <w:sz w:val="18"/>
                <w:szCs w:val="18"/>
                <w:b w:val="1"/>
                <w:bCs w:val="1"/>
                <w:color w:val="auto"/>
              </w:rPr>
              <w:t>41-1939628</w:t>
            </w:r>
          </w:p>
        </w:tc>
      </w:tr>
      <w:tr>
        <w:trPr>
          <w:trHeight w:val="256"/>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00" w:type="dxa"/>
            <w:vAlign w:val="bottom"/>
          </w:tcPr>
          <w:p>
            <w:pPr>
              <w:jc w:val="center"/>
              <w:ind w:left="990"/>
              <w:spacing w:after="0"/>
              <w:rPr>
                <w:sz w:val="20"/>
                <w:szCs w:val="20"/>
                <w:color w:val="auto"/>
              </w:rPr>
            </w:pPr>
            <w:r>
              <w:rPr>
                <w:rFonts w:ascii="Arial" w:cs="Arial" w:eastAsia="Arial" w:hAnsi="Arial"/>
                <w:sz w:val="18"/>
                <w:szCs w:val="18"/>
                <w:color w:val="auto"/>
                <w:w w:val="94"/>
              </w:rPr>
              <w:t>(I.R.S. Employer Identification No.)</w:t>
            </w:r>
          </w:p>
        </w:tc>
      </w:tr>
      <w:tr>
        <w:trPr>
          <w:trHeight w:val="473"/>
        </w:trPr>
        <w:tc>
          <w:tcPr>
            <w:tcW w:w="538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5540 Pioneer Creek Drive</w:t>
            </w:r>
          </w:p>
        </w:tc>
        <w:tc>
          <w:tcPr>
            <w:tcW w:w="3700" w:type="dxa"/>
            <w:vAlign w:val="bottom"/>
          </w:tcPr>
          <w:p>
            <w:pPr>
              <w:spacing w:after="0"/>
              <w:rPr>
                <w:sz w:val="24"/>
                <w:szCs w:val="24"/>
                <w:color w:val="auto"/>
              </w:rPr>
            </w:pPr>
          </w:p>
        </w:tc>
      </w:tr>
      <w:tr>
        <w:trPr>
          <w:trHeight w:val="256"/>
        </w:trPr>
        <w:tc>
          <w:tcPr>
            <w:tcW w:w="5380" w:type="dxa"/>
            <w:vAlign w:val="bottom"/>
          </w:tcPr>
          <w:p>
            <w:pPr>
              <w:jc w:val="center"/>
              <w:ind w:right="970"/>
              <w:spacing w:after="0"/>
              <w:rPr>
                <w:sz w:val="20"/>
                <w:szCs w:val="20"/>
                <w:color w:val="auto"/>
              </w:rPr>
            </w:pPr>
            <w:r>
              <w:rPr>
                <w:rFonts w:ascii="Arial" w:cs="Arial" w:eastAsia="Arial" w:hAnsi="Arial"/>
                <w:sz w:val="18"/>
                <w:szCs w:val="18"/>
                <w:b w:val="1"/>
                <w:bCs w:val="1"/>
                <w:color w:val="auto"/>
                <w:w w:val="92"/>
              </w:rPr>
              <w:t>Maple Plain, Minnesota</w:t>
            </w:r>
          </w:p>
        </w:tc>
        <w:tc>
          <w:tcPr>
            <w:tcW w:w="3700" w:type="dxa"/>
            <w:vAlign w:val="bottom"/>
          </w:tcPr>
          <w:p>
            <w:pPr>
              <w:jc w:val="right"/>
              <w:ind w:right="990"/>
              <w:spacing w:after="0"/>
              <w:rPr>
                <w:sz w:val="20"/>
                <w:szCs w:val="20"/>
                <w:color w:val="auto"/>
              </w:rPr>
            </w:pPr>
            <w:r>
              <w:rPr>
                <w:rFonts w:ascii="Arial" w:cs="Arial" w:eastAsia="Arial" w:hAnsi="Arial"/>
                <w:sz w:val="18"/>
                <w:szCs w:val="18"/>
                <w:b w:val="1"/>
                <w:bCs w:val="1"/>
                <w:color w:val="auto"/>
              </w:rPr>
              <w:t>55359</w:t>
            </w:r>
          </w:p>
        </w:tc>
      </w:tr>
      <w:tr>
        <w:trPr>
          <w:trHeight w:val="270"/>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2"/>
              </w:rPr>
              <w:t>(Address of principal executive offices)</w:t>
            </w:r>
          </w:p>
        </w:tc>
        <w:tc>
          <w:tcPr>
            <w:tcW w:w="3700" w:type="dxa"/>
            <w:vAlign w:val="bottom"/>
          </w:tcPr>
          <w:p>
            <w:pPr>
              <w:jc w:val="center"/>
              <w:ind w:left="990"/>
              <w:spacing w:after="0"/>
              <w:rPr>
                <w:sz w:val="20"/>
                <w:szCs w:val="20"/>
                <w:color w:val="auto"/>
              </w:rPr>
            </w:pPr>
            <w:r>
              <w:rPr>
                <w:rFonts w:ascii="Arial" w:cs="Arial" w:eastAsia="Arial" w:hAnsi="Arial"/>
                <w:sz w:val="18"/>
                <w:szCs w:val="18"/>
                <w:color w:val="auto"/>
                <w:w w:val="91"/>
              </w:rPr>
              <w:t>(Zip Code)</w:t>
            </w:r>
          </w:p>
        </w:tc>
      </w:tr>
    </w:tbl>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(763) 479-3680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r>
        <w:trPr>
          <w:trHeight w:val="24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Common Stock, Par Value $0.001 Per Share</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PRLB</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ind w:right="60" w:firstLine="486"/>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Yes oNo</w:t>
      </w:r>
    </w:p>
    <w:p>
      <w:pPr>
        <w:spacing w:after="0" w:line="68" w:lineRule="exact"/>
        <w:rPr>
          <w:sz w:val="24"/>
          <w:szCs w:val="24"/>
          <w:color w:val="auto"/>
        </w:rPr>
      </w:pPr>
    </w:p>
    <w:p>
      <w:pPr>
        <w:ind w:right="60" w:firstLine="486"/>
        <w:spacing w:after="0" w:line="23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Yes oNo</w:t>
      </w:r>
    </w:p>
    <w:p>
      <w:pPr>
        <w:spacing w:after="0" w:line="66" w:lineRule="exact"/>
        <w:rPr>
          <w:sz w:val="24"/>
          <w:szCs w:val="24"/>
          <w:color w:val="auto"/>
        </w:rPr>
      </w:pPr>
    </w:p>
    <w:p>
      <w:pPr>
        <w:ind w:right="4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6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28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720"/>
              <w:spacing w:after="0"/>
              <w:rPr>
                <w:sz w:val="20"/>
                <w:szCs w:val="20"/>
                <w:color w:val="auto"/>
              </w:rPr>
            </w:pPr>
            <w:r>
              <w:rPr>
                <w:rFonts w:ascii="Arial" w:cs="Arial" w:eastAsia="Arial" w:hAnsi="Arial"/>
                <w:sz w:val="18"/>
                <w:szCs w:val="18"/>
                <w:color w:val="auto"/>
                <w:w w:val="79"/>
              </w:rPr>
              <w:t>o</w:t>
            </w:r>
          </w:p>
        </w:tc>
      </w:tr>
      <w:tr>
        <w:trPr>
          <w:trHeight w:val="242"/>
        </w:trPr>
        <w:tc>
          <w:tcPr>
            <w:tcW w:w="2680" w:type="dxa"/>
            <w:vAlign w:val="bottom"/>
          </w:tcPr>
          <w:p>
            <w:pPr>
              <w:spacing w:after="0"/>
              <w:rPr>
                <w:sz w:val="20"/>
                <w:szCs w:val="20"/>
                <w:color w:val="auto"/>
              </w:rPr>
            </w:pPr>
            <w:r>
              <w:rPr>
                <w:rFonts w:ascii="Arial" w:cs="Arial" w:eastAsia="Arial" w:hAnsi="Arial"/>
                <w:sz w:val="18"/>
                <w:szCs w:val="18"/>
                <w:color w:val="auto"/>
              </w:rPr>
              <w:t>Non-accelerated filer</w:t>
            </w:r>
          </w:p>
        </w:tc>
        <w:tc>
          <w:tcPr>
            <w:tcW w:w="2180" w:type="dxa"/>
            <w:vAlign w:val="bottom"/>
          </w:tcPr>
          <w:p>
            <w:pPr>
              <w:ind w:left="720"/>
              <w:spacing w:after="0"/>
              <w:rPr>
                <w:sz w:val="20"/>
                <w:szCs w:val="20"/>
                <w:color w:val="auto"/>
              </w:rPr>
            </w:pPr>
            <w:r>
              <w:rPr>
                <w:rFonts w:ascii="Arial" w:cs="Arial" w:eastAsia="Arial" w:hAnsi="Arial"/>
                <w:sz w:val="18"/>
                <w:szCs w:val="18"/>
                <w:color w:val="auto"/>
              </w:rPr>
              <w:t>o</w:t>
            </w:r>
          </w:p>
        </w:tc>
        <w:tc>
          <w:tcPr>
            <w:tcW w:w="3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Smaller reporting company</w:t>
            </w:r>
          </w:p>
        </w:tc>
        <w:tc>
          <w:tcPr>
            <w:tcW w:w="2180" w:type="dxa"/>
            <w:vAlign w:val="bottom"/>
          </w:tcPr>
          <w:p>
            <w:pPr>
              <w:ind w:left="720"/>
              <w:spacing w:after="0"/>
              <w:rPr>
                <w:sz w:val="20"/>
                <w:szCs w:val="20"/>
                <w:color w:val="auto"/>
              </w:rPr>
            </w:pPr>
            <w:r>
              <w:rPr>
                <w:rFonts w:ascii="Arial" w:cs="Arial" w:eastAsia="Arial" w:hAnsi="Arial"/>
                <w:sz w:val="18"/>
                <w:szCs w:val="18"/>
                <w:color w:val="auto"/>
              </w:rPr>
              <w:t>o</w:t>
            </w:r>
          </w:p>
        </w:tc>
        <w:tc>
          <w:tcPr>
            <w:tcW w:w="3960" w:type="dxa"/>
            <w:vAlign w:val="bottom"/>
          </w:tcPr>
          <w:p>
            <w:pPr>
              <w:ind w:left="128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720"/>
              <w:spacing w:after="0"/>
              <w:rPr>
                <w:sz w:val="20"/>
                <w:szCs w:val="20"/>
                <w:color w:val="auto"/>
              </w:rPr>
            </w:pPr>
            <w:r>
              <w:rPr>
                <w:rFonts w:ascii="Arial" w:cs="Arial" w:eastAsia="Arial" w:hAnsi="Arial"/>
                <w:sz w:val="18"/>
                <w:szCs w:val="18"/>
                <w:color w:val="auto"/>
                <w:w w:val="79"/>
              </w:rPr>
              <w:t>o</w:t>
            </w:r>
          </w:p>
        </w:tc>
      </w:tr>
    </w:tbl>
    <w:p>
      <w:pPr>
        <w:spacing w:after="0" w:line="202" w:lineRule="exact"/>
        <w:rPr>
          <w:sz w:val="24"/>
          <w:szCs w:val="24"/>
          <w:color w:val="auto"/>
        </w:rPr>
      </w:pPr>
    </w:p>
    <w:p>
      <w:pPr>
        <w:ind w:right="20" w:firstLine="486"/>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8"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162" w:lineRule="exact"/>
        <w:rPr>
          <w:sz w:val="24"/>
          <w:szCs w:val="24"/>
          <w:color w:val="auto"/>
        </w:rPr>
      </w:pPr>
    </w:p>
    <w:p>
      <w:pPr>
        <w:ind w:right="380" w:firstLine="486"/>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26,095,434 shares of Common Stock, par value $0.001 per share, were outstanding at August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w:t>
            </w:r>
          </w:p>
        </w:tc>
        <w:tc>
          <w:tcPr>
            <w:tcW w:w="120" w:type="dxa"/>
            <w:vAlign w:val="bottom"/>
          </w:tcPr>
          <w:p>
            <w:pPr>
              <w:spacing w:after="0"/>
              <w:rPr>
                <w:sz w:val="20"/>
                <w:szCs w:val="20"/>
                <w:color w:val="auto"/>
              </w:rPr>
            </w:pPr>
          </w:p>
        </w:tc>
        <w:tc>
          <w:tcPr>
            <w:tcW w:w="8700" w:type="dxa"/>
            <w:vAlign w:val="bottom"/>
            <w:tcBorders>
              <w:bottom w:val="single" w:sz="8" w:color="auto"/>
            </w:tcBorders>
            <w:gridSpan w:val="13"/>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Page</w:t>
            </w:r>
          </w:p>
        </w:tc>
      </w:tr>
      <w:tr>
        <w:trPr>
          <w:trHeight w:val="459"/>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0000EE"/>
            </w:tcBorders>
            <w:gridSpan w:val="2"/>
          </w:tcPr>
          <w:p>
            <w:pPr>
              <w:jc w:val="center"/>
              <w:spacing w:after="0"/>
              <w:rPr>
                <w:sz w:val="20"/>
                <w:szCs w:val="20"/>
                <w:color w:val="auto"/>
              </w:rPr>
            </w:pPr>
            <w:r>
              <w:rPr>
                <w:rFonts w:ascii="Arial" w:cs="Arial" w:eastAsia="Arial" w:hAnsi="Arial"/>
                <w:sz w:val="18"/>
                <w:szCs w:val="18"/>
                <w:color w:val="0000EE"/>
                <w:w w:val="92"/>
              </w:rPr>
              <w:t>PART I</w:t>
            </w:r>
          </w:p>
        </w:tc>
        <w:tc>
          <w:tcPr>
            <w:tcW w:w="40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21"/>
                <w:szCs w:val="21"/>
                <w:color w:val="auto"/>
              </w:rPr>
            </w:pPr>
          </w:p>
        </w:tc>
        <w:tc>
          <w:tcPr>
            <w:tcW w:w="1500" w:type="dxa"/>
            <w:vAlign w:val="bottom"/>
            <w:gridSpan w:val="4"/>
          </w:tcPr>
          <w:p>
            <w:pPr>
              <w:spacing w:after="0"/>
              <w:rPr>
                <w:sz w:val="20"/>
                <w:szCs w:val="20"/>
                <w:color w:val="auto"/>
              </w:rPr>
            </w:pPr>
            <w:r>
              <w:rPr>
                <w:rFonts w:ascii="Arial" w:cs="Arial" w:eastAsia="Arial" w:hAnsi="Arial"/>
                <w:sz w:val="18"/>
                <w:szCs w:val="18"/>
                <w:color w:val="0000EE"/>
                <w:w w:val="88"/>
              </w:rPr>
              <w:t>Financial Statements</w:t>
            </w:r>
          </w:p>
        </w:tc>
        <w:tc>
          <w:tcPr>
            <w:tcW w:w="7200" w:type="dxa"/>
            <w:vAlign w:val="bottom"/>
            <w:gridSpan w:val="9"/>
          </w:tcPr>
          <w:p>
            <w:pPr>
              <w:spacing w:after="0"/>
              <w:rPr>
                <w:sz w:val="21"/>
                <w:szCs w:val="21"/>
                <w:color w:val="auto"/>
              </w:rPr>
            </w:pPr>
          </w:p>
        </w:tc>
        <w:tc>
          <w:tcPr>
            <w:tcW w:w="720" w:type="dxa"/>
            <w:vAlign w:val="bottom"/>
            <w:gridSpan w:val="3"/>
          </w:tcPr>
          <w:p>
            <w:pPr>
              <w:jc w:val="center"/>
              <w:ind w:left="550"/>
              <w:spacing w:after="0"/>
              <w:rPr>
                <w:sz w:val="20"/>
                <w:szCs w:val="20"/>
                <w:color w:val="auto"/>
              </w:rPr>
            </w:pPr>
            <w:r>
              <w:rPr>
                <w:rFonts w:ascii="Arial" w:cs="Arial" w:eastAsia="Arial" w:hAnsi="Arial"/>
                <w:sz w:val="18"/>
                <w:szCs w:val="18"/>
                <w:color w:val="0000EE"/>
                <w:w w:val="79"/>
              </w:rPr>
              <w:t>2</w:t>
            </w:r>
          </w:p>
        </w:tc>
        <w:tc>
          <w:tcPr>
            <w:tcW w:w="540" w:type="dxa"/>
            <w:vAlign w:val="bottom"/>
          </w:tcPr>
          <w:p>
            <w:pPr>
              <w:spacing w:after="0"/>
              <w:rPr>
                <w:sz w:val="21"/>
                <w:szCs w:val="2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11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20" w:type="dxa"/>
            <w:vAlign w:val="bottom"/>
          </w:tcPr>
          <w:p>
            <w:pPr>
              <w:spacing w:after="0"/>
              <w:rPr>
                <w:sz w:val="20"/>
                <w:szCs w:val="20"/>
                <w:color w:val="auto"/>
              </w:rPr>
            </w:pPr>
          </w:p>
        </w:tc>
        <w:tc>
          <w:tcPr>
            <w:tcW w:w="8700" w:type="dxa"/>
            <w:vAlign w:val="bottom"/>
            <w:gridSpan w:val="13"/>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20" w:type="dxa"/>
            <w:vAlign w:val="bottom"/>
            <w:gridSpan w:val="3"/>
          </w:tcPr>
          <w:p>
            <w:pPr>
              <w:jc w:val="center"/>
              <w:ind w:left="450"/>
              <w:spacing w:after="0"/>
              <w:rPr>
                <w:sz w:val="20"/>
                <w:szCs w:val="20"/>
                <w:color w:val="auto"/>
              </w:rPr>
            </w:pPr>
            <w:r>
              <w:rPr>
                <w:rFonts w:ascii="Arial" w:cs="Arial" w:eastAsia="Arial" w:hAnsi="Arial"/>
                <w:sz w:val="18"/>
                <w:szCs w:val="18"/>
                <w:color w:val="0000EE"/>
                <w:w w:val="89"/>
              </w:rPr>
              <w:t>17</w:t>
            </w:r>
          </w:p>
        </w:tc>
        <w:tc>
          <w:tcPr>
            <w:tcW w:w="54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20" w:type="dxa"/>
            <w:vAlign w:val="bottom"/>
          </w:tcPr>
          <w:p>
            <w:pPr>
              <w:spacing w:after="0"/>
              <w:rPr>
                <w:sz w:val="21"/>
                <w:szCs w:val="21"/>
                <w:color w:val="auto"/>
              </w:rPr>
            </w:pPr>
          </w:p>
        </w:tc>
        <w:tc>
          <w:tcPr>
            <w:tcW w:w="6420" w:type="dxa"/>
            <w:vAlign w:val="bottom"/>
            <w:gridSpan w:val="12"/>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2280" w:type="dxa"/>
            <w:vAlign w:val="bottom"/>
          </w:tcPr>
          <w:p>
            <w:pPr>
              <w:spacing w:after="0"/>
              <w:rPr>
                <w:sz w:val="21"/>
                <w:szCs w:val="21"/>
                <w:color w:val="auto"/>
              </w:rPr>
            </w:pPr>
          </w:p>
        </w:tc>
        <w:tc>
          <w:tcPr>
            <w:tcW w:w="720" w:type="dxa"/>
            <w:vAlign w:val="bottom"/>
            <w:gridSpan w:val="3"/>
          </w:tcPr>
          <w:p>
            <w:pPr>
              <w:jc w:val="center"/>
              <w:ind w:left="450"/>
              <w:spacing w:after="0"/>
              <w:rPr>
                <w:sz w:val="20"/>
                <w:szCs w:val="20"/>
                <w:color w:val="auto"/>
              </w:rPr>
            </w:pPr>
            <w:r>
              <w:rPr>
                <w:rFonts w:ascii="Arial" w:cs="Arial" w:eastAsia="Arial" w:hAnsi="Arial"/>
                <w:sz w:val="18"/>
                <w:szCs w:val="18"/>
                <w:color w:val="0000EE"/>
                <w:w w:val="89"/>
              </w:rPr>
              <w:t>27</w:t>
            </w:r>
          </w:p>
        </w:tc>
        <w:tc>
          <w:tcPr>
            <w:tcW w:w="540" w:type="dxa"/>
            <w:vAlign w:val="bottom"/>
          </w:tcPr>
          <w:p>
            <w:pPr>
              <w:spacing w:after="0"/>
              <w:rPr>
                <w:sz w:val="21"/>
                <w:szCs w:val="2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r>
      <w:tr>
        <w:trPr>
          <w:trHeight w:val="237"/>
        </w:trPr>
        <w:tc>
          <w:tcPr>
            <w:tcW w:w="11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20"/>
                <w:szCs w:val="20"/>
                <w:color w:val="auto"/>
              </w:rPr>
            </w:pPr>
          </w:p>
        </w:tc>
        <w:tc>
          <w:tcPr>
            <w:tcW w:w="4300" w:type="dxa"/>
            <w:vAlign w:val="bottom"/>
            <w:gridSpan w:val="9"/>
          </w:tcPr>
          <w:p>
            <w:pPr>
              <w:spacing w:after="0"/>
              <w:rPr>
                <w:sz w:val="20"/>
                <w:szCs w:val="20"/>
                <w:color w:val="auto"/>
              </w:rPr>
            </w:pPr>
            <w:r>
              <w:rPr>
                <w:rFonts w:ascii="Arial" w:cs="Arial" w:eastAsia="Arial" w:hAnsi="Arial"/>
                <w:sz w:val="18"/>
                <w:szCs w:val="18"/>
                <w:color w:val="0000EE"/>
              </w:rPr>
              <w:t>Controls and Procedures</w:t>
            </w:r>
          </w:p>
        </w:tc>
        <w:tc>
          <w:tcPr>
            <w:tcW w:w="4400" w:type="dxa"/>
            <w:vAlign w:val="bottom"/>
            <w:gridSpan w:val="4"/>
          </w:tcPr>
          <w:p>
            <w:pPr>
              <w:spacing w:after="0"/>
              <w:rPr>
                <w:sz w:val="20"/>
                <w:szCs w:val="20"/>
                <w:color w:val="auto"/>
              </w:rPr>
            </w:pPr>
          </w:p>
        </w:tc>
        <w:tc>
          <w:tcPr>
            <w:tcW w:w="720" w:type="dxa"/>
            <w:vAlign w:val="bottom"/>
            <w:gridSpan w:val="3"/>
          </w:tcPr>
          <w:p>
            <w:pPr>
              <w:jc w:val="center"/>
              <w:ind w:left="450"/>
              <w:spacing w:after="0"/>
              <w:rPr>
                <w:sz w:val="20"/>
                <w:szCs w:val="20"/>
                <w:color w:val="auto"/>
              </w:rPr>
            </w:pPr>
            <w:r>
              <w:rPr>
                <w:rFonts w:ascii="Arial" w:cs="Arial" w:eastAsia="Arial" w:hAnsi="Arial"/>
                <w:sz w:val="18"/>
                <w:szCs w:val="18"/>
                <w:color w:val="0000EE"/>
                <w:w w:val="89"/>
              </w:rPr>
              <w:t>28</w:t>
            </w:r>
          </w:p>
        </w:tc>
        <w:tc>
          <w:tcPr>
            <w:tcW w:w="540" w:type="dxa"/>
            <w:vAlign w:val="bottom"/>
          </w:tcPr>
          <w:p>
            <w:pPr>
              <w:spacing w:after="0"/>
              <w:rPr>
                <w:sz w:val="20"/>
                <w:szCs w:val="20"/>
                <w:color w:val="auto"/>
              </w:rPr>
            </w:pPr>
          </w:p>
        </w:tc>
      </w:tr>
      <w:tr>
        <w:trPr>
          <w:trHeight w:val="236"/>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660" w:type="dxa"/>
            <w:vAlign w:val="bottom"/>
            <w:gridSpan w:val="6"/>
          </w:tcPr>
          <w:p>
            <w:pPr>
              <w:jc w:val="center"/>
              <w:ind w:right="4060"/>
              <w:spacing w:after="0"/>
              <w:rPr>
                <w:sz w:val="20"/>
                <w:szCs w:val="20"/>
                <w:color w:val="auto"/>
              </w:rPr>
            </w:pPr>
            <w:r>
              <w:rPr>
                <w:rFonts w:ascii="Arial" w:cs="Arial" w:eastAsia="Arial" w:hAnsi="Arial"/>
                <w:sz w:val="18"/>
                <w:szCs w:val="18"/>
                <w:color w:val="0000EE"/>
                <w:w w:val="95"/>
              </w:rPr>
              <w:t>PART II</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40" w:type="dxa"/>
            <w:vAlign w:val="bottom"/>
          </w:tcPr>
          <w:p>
            <w:pPr>
              <w:spacing w:after="0"/>
              <w:rPr>
                <w:sz w:val="20"/>
                <w:szCs w:val="20"/>
                <w:color w:val="auto"/>
              </w:rPr>
            </w:pPr>
          </w:p>
        </w:tc>
      </w:tr>
      <w:tr>
        <w:trPr>
          <w:trHeight w:val="237"/>
        </w:trPr>
        <w:tc>
          <w:tcPr>
            <w:tcW w:w="11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20"/>
                <w:szCs w:val="20"/>
                <w:color w:val="auto"/>
              </w:rPr>
            </w:pPr>
          </w:p>
        </w:tc>
        <w:tc>
          <w:tcPr>
            <w:tcW w:w="4040" w:type="dxa"/>
            <w:vAlign w:val="bottom"/>
            <w:gridSpan w:val="7"/>
          </w:tcPr>
          <w:p>
            <w:pPr>
              <w:spacing w:after="0"/>
              <w:rPr>
                <w:sz w:val="20"/>
                <w:szCs w:val="20"/>
                <w:color w:val="auto"/>
              </w:rPr>
            </w:pPr>
            <w:r>
              <w:rPr>
                <w:rFonts w:ascii="Arial" w:cs="Arial" w:eastAsia="Arial" w:hAnsi="Arial"/>
                <w:sz w:val="18"/>
                <w:szCs w:val="18"/>
                <w:color w:val="0000EE"/>
              </w:rPr>
              <w:t>Legal Proceedings</w:t>
            </w:r>
          </w:p>
        </w:tc>
        <w:tc>
          <w:tcPr>
            <w:tcW w:w="600" w:type="dxa"/>
            <w:vAlign w:val="bottom"/>
            <w:tcBorders>
              <w:top w:val="single" w:sz="8" w:color="0000EE"/>
            </w:tcBorders>
            <w:gridSpan w:val="4"/>
          </w:tcPr>
          <w:p>
            <w:pPr>
              <w:spacing w:after="0"/>
              <w:rPr>
                <w:sz w:val="20"/>
                <w:szCs w:val="20"/>
                <w:color w:val="auto"/>
              </w:rPr>
            </w:pPr>
          </w:p>
        </w:tc>
        <w:tc>
          <w:tcPr>
            <w:tcW w:w="4060" w:type="dxa"/>
            <w:vAlign w:val="bottom"/>
            <w:gridSpan w:val="2"/>
          </w:tcPr>
          <w:p>
            <w:pPr>
              <w:spacing w:after="0"/>
              <w:rPr>
                <w:sz w:val="20"/>
                <w:szCs w:val="20"/>
                <w:color w:val="auto"/>
              </w:rPr>
            </w:pPr>
          </w:p>
        </w:tc>
        <w:tc>
          <w:tcPr>
            <w:tcW w:w="720" w:type="dxa"/>
            <w:vAlign w:val="bottom"/>
            <w:gridSpan w:val="3"/>
          </w:tcPr>
          <w:p>
            <w:pPr>
              <w:jc w:val="center"/>
              <w:ind w:left="450"/>
              <w:spacing w:after="0"/>
              <w:rPr>
                <w:sz w:val="20"/>
                <w:szCs w:val="20"/>
                <w:color w:val="auto"/>
              </w:rPr>
            </w:pPr>
            <w:r>
              <w:rPr>
                <w:rFonts w:ascii="Arial" w:cs="Arial" w:eastAsia="Arial" w:hAnsi="Arial"/>
                <w:sz w:val="18"/>
                <w:szCs w:val="18"/>
                <w:color w:val="0000EE"/>
                <w:w w:val="89"/>
              </w:rPr>
              <w:t>29</w:t>
            </w:r>
          </w:p>
        </w:tc>
        <w:tc>
          <w:tcPr>
            <w:tcW w:w="54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r>
      <w:tr>
        <w:trPr>
          <w:trHeight w:val="237"/>
        </w:trPr>
        <w:tc>
          <w:tcPr>
            <w:tcW w:w="1160" w:type="dxa"/>
            <w:vAlign w:val="bottom"/>
          </w:tcPr>
          <w:p>
            <w:pPr>
              <w:jc w:val="center"/>
              <w:spacing w:after="0"/>
              <w:rPr>
                <w:sz w:val="20"/>
                <w:szCs w:val="20"/>
                <w:color w:val="auto"/>
              </w:rPr>
            </w:pPr>
            <w:r>
              <w:rPr>
                <w:rFonts w:ascii="Arial" w:cs="Arial" w:eastAsia="Arial" w:hAnsi="Arial"/>
                <w:sz w:val="18"/>
                <w:szCs w:val="18"/>
                <w:color w:val="auto"/>
                <w:w w:val="96"/>
              </w:rPr>
              <w:t>1A.</w:t>
            </w:r>
          </w:p>
        </w:tc>
        <w:tc>
          <w:tcPr>
            <w:tcW w:w="1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EE"/>
                <w:w w:val="87"/>
              </w:rPr>
              <w:t>Risk Factors</w:t>
            </w:r>
          </w:p>
        </w:tc>
        <w:tc>
          <w:tcPr>
            <w:tcW w:w="400" w:type="dxa"/>
            <w:vAlign w:val="bottom"/>
          </w:tcPr>
          <w:p>
            <w:pPr>
              <w:spacing w:after="0"/>
              <w:rPr>
                <w:sz w:val="20"/>
                <w:szCs w:val="20"/>
                <w:color w:val="auto"/>
              </w:rPr>
            </w:pPr>
          </w:p>
        </w:tc>
        <w:tc>
          <w:tcPr>
            <w:tcW w:w="7400" w:type="dxa"/>
            <w:vAlign w:val="bottom"/>
            <w:gridSpan w:val="10"/>
          </w:tcPr>
          <w:p>
            <w:pPr>
              <w:spacing w:after="0"/>
              <w:rPr>
                <w:sz w:val="20"/>
                <w:szCs w:val="20"/>
                <w:color w:val="auto"/>
              </w:rPr>
            </w:pPr>
          </w:p>
        </w:tc>
        <w:tc>
          <w:tcPr>
            <w:tcW w:w="720" w:type="dxa"/>
            <w:vAlign w:val="bottom"/>
            <w:gridSpan w:val="3"/>
          </w:tcPr>
          <w:p>
            <w:pPr>
              <w:jc w:val="center"/>
              <w:ind w:left="450"/>
              <w:spacing w:after="0"/>
              <w:rPr>
                <w:sz w:val="20"/>
                <w:szCs w:val="20"/>
                <w:color w:val="auto"/>
              </w:rPr>
            </w:pPr>
            <w:r>
              <w:rPr>
                <w:rFonts w:ascii="Arial" w:cs="Arial" w:eastAsia="Arial" w:hAnsi="Arial"/>
                <w:sz w:val="18"/>
                <w:szCs w:val="18"/>
                <w:color w:val="0000EE"/>
                <w:w w:val="89"/>
              </w:rPr>
              <w:t>29</w:t>
            </w:r>
          </w:p>
        </w:tc>
        <w:tc>
          <w:tcPr>
            <w:tcW w:w="54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20" w:type="dxa"/>
            <w:vAlign w:val="bottom"/>
          </w:tcPr>
          <w:p>
            <w:pPr>
              <w:spacing w:after="0"/>
              <w:rPr>
                <w:sz w:val="21"/>
                <w:szCs w:val="21"/>
                <w:color w:val="auto"/>
              </w:rPr>
            </w:pPr>
          </w:p>
        </w:tc>
        <w:tc>
          <w:tcPr>
            <w:tcW w:w="8700" w:type="dxa"/>
            <w:vAlign w:val="bottom"/>
            <w:gridSpan w:val="13"/>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720" w:type="dxa"/>
            <w:vAlign w:val="bottom"/>
            <w:gridSpan w:val="3"/>
          </w:tcPr>
          <w:p>
            <w:pPr>
              <w:jc w:val="center"/>
              <w:ind w:left="450"/>
              <w:spacing w:after="0"/>
              <w:rPr>
                <w:sz w:val="20"/>
                <w:szCs w:val="20"/>
                <w:color w:val="auto"/>
              </w:rPr>
            </w:pPr>
            <w:r>
              <w:rPr>
                <w:rFonts w:ascii="Arial" w:cs="Arial" w:eastAsia="Arial" w:hAnsi="Arial"/>
                <w:sz w:val="18"/>
                <w:szCs w:val="18"/>
                <w:color w:val="0000EE"/>
                <w:w w:val="89"/>
              </w:rPr>
              <w:t>29</w:t>
            </w:r>
          </w:p>
        </w:tc>
        <w:tc>
          <w:tcPr>
            <w:tcW w:w="540" w:type="dxa"/>
            <w:vAlign w:val="bottom"/>
          </w:tcPr>
          <w:p>
            <w:pPr>
              <w:spacing w:after="0"/>
              <w:rPr>
                <w:sz w:val="21"/>
                <w:szCs w:val="2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r>
      <w:tr>
        <w:trPr>
          <w:trHeight w:val="237"/>
        </w:trPr>
        <w:tc>
          <w:tcPr>
            <w:tcW w:w="11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20" w:type="dxa"/>
            <w:vAlign w:val="bottom"/>
          </w:tcPr>
          <w:p>
            <w:pPr>
              <w:spacing w:after="0"/>
              <w:rPr>
                <w:sz w:val="20"/>
                <w:szCs w:val="20"/>
                <w:color w:val="auto"/>
              </w:rPr>
            </w:pPr>
          </w:p>
        </w:tc>
        <w:tc>
          <w:tcPr>
            <w:tcW w:w="2320" w:type="dxa"/>
            <w:vAlign w:val="bottom"/>
            <w:gridSpan w:val="6"/>
          </w:tcPr>
          <w:p>
            <w:pPr>
              <w:spacing w:after="0"/>
              <w:rPr>
                <w:sz w:val="20"/>
                <w:szCs w:val="20"/>
                <w:color w:val="auto"/>
              </w:rPr>
            </w:pPr>
            <w:r>
              <w:rPr>
                <w:rFonts w:ascii="Arial" w:cs="Arial" w:eastAsia="Arial" w:hAnsi="Arial"/>
                <w:sz w:val="18"/>
                <w:szCs w:val="18"/>
                <w:color w:val="0000EE"/>
                <w:w w:val="90"/>
              </w:rPr>
              <w:t>Defaults Upon Senior Securities</w:t>
            </w:r>
          </w:p>
        </w:tc>
        <w:tc>
          <w:tcPr>
            <w:tcW w:w="1980" w:type="dxa"/>
            <w:vAlign w:val="bottom"/>
            <w:gridSpan w:val="3"/>
          </w:tcPr>
          <w:p>
            <w:pPr>
              <w:spacing w:after="0"/>
              <w:rPr>
                <w:sz w:val="20"/>
                <w:szCs w:val="20"/>
                <w:color w:val="auto"/>
              </w:rPr>
            </w:pPr>
          </w:p>
        </w:tc>
        <w:tc>
          <w:tcPr>
            <w:tcW w:w="4400" w:type="dxa"/>
            <w:vAlign w:val="bottom"/>
            <w:gridSpan w:val="4"/>
          </w:tcPr>
          <w:p>
            <w:pPr>
              <w:spacing w:after="0"/>
              <w:rPr>
                <w:sz w:val="20"/>
                <w:szCs w:val="20"/>
                <w:color w:val="auto"/>
              </w:rPr>
            </w:pPr>
          </w:p>
        </w:tc>
        <w:tc>
          <w:tcPr>
            <w:tcW w:w="720" w:type="dxa"/>
            <w:vAlign w:val="bottom"/>
            <w:gridSpan w:val="3"/>
          </w:tcPr>
          <w:p>
            <w:pPr>
              <w:jc w:val="center"/>
              <w:ind w:left="450"/>
              <w:spacing w:after="0"/>
              <w:rPr>
                <w:sz w:val="20"/>
                <w:szCs w:val="20"/>
                <w:color w:val="auto"/>
              </w:rPr>
            </w:pPr>
            <w:r>
              <w:rPr>
                <w:rFonts w:ascii="Arial" w:cs="Arial" w:eastAsia="Arial" w:hAnsi="Arial"/>
                <w:sz w:val="18"/>
                <w:szCs w:val="18"/>
                <w:color w:val="0000EE"/>
                <w:w w:val="89"/>
              </w:rPr>
              <w:t>29</w:t>
            </w:r>
          </w:p>
        </w:tc>
        <w:tc>
          <w:tcPr>
            <w:tcW w:w="54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21"/>
                <w:szCs w:val="21"/>
                <w:color w:val="auto"/>
              </w:rPr>
            </w:pPr>
          </w:p>
        </w:tc>
        <w:tc>
          <w:tcPr>
            <w:tcW w:w="2320" w:type="dxa"/>
            <w:vAlign w:val="bottom"/>
            <w:gridSpan w:val="6"/>
          </w:tcPr>
          <w:p>
            <w:pPr>
              <w:spacing w:after="0"/>
              <w:rPr>
                <w:sz w:val="20"/>
                <w:szCs w:val="20"/>
                <w:color w:val="auto"/>
              </w:rPr>
            </w:pPr>
            <w:r>
              <w:rPr>
                <w:rFonts w:ascii="Arial" w:cs="Arial" w:eastAsia="Arial" w:hAnsi="Arial"/>
                <w:sz w:val="18"/>
                <w:szCs w:val="18"/>
                <w:color w:val="0000EE"/>
              </w:rPr>
              <w:t>Mine Safety Disclosures</w:t>
            </w:r>
          </w:p>
        </w:tc>
        <w:tc>
          <w:tcPr>
            <w:tcW w:w="6380" w:type="dxa"/>
            <w:vAlign w:val="bottom"/>
            <w:gridSpan w:val="7"/>
          </w:tcPr>
          <w:p>
            <w:pPr>
              <w:spacing w:after="0"/>
              <w:rPr>
                <w:sz w:val="21"/>
                <w:szCs w:val="21"/>
                <w:color w:val="auto"/>
              </w:rPr>
            </w:pPr>
          </w:p>
        </w:tc>
        <w:tc>
          <w:tcPr>
            <w:tcW w:w="720" w:type="dxa"/>
            <w:vAlign w:val="bottom"/>
            <w:gridSpan w:val="3"/>
          </w:tcPr>
          <w:p>
            <w:pPr>
              <w:jc w:val="center"/>
              <w:ind w:left="450"/>
              <w:spacing w:after="0"/>
              <w:rPr>
                <w:sz w:val="20"/>
                <w:szCs w:val="20"/>
                <w:color w:val="auto"/>
              </w:rPr>
            </w:pPr>
            <w:r>
              <w:rPr>
                <w:rFonts w:ascii="Arial" w:cs="Arial" w:eastAsia="Arial" w:hAnsi="Arial"/>
                <w:sz w:val="18"/>
                <w:szCs w:val="18"/>
                <w:color w:val="0000EE"/>
                <w:w w:val="89"/>
              </w:rPr>
              <w:t>29</w:t>
            </w:r>
          </w:p>
        </w:tc>
        <w:tc>
          <w:tcPr>
            <w:tcW w:w="540" w:type="dxa"/>
            <w:vAlign w:val="bottom"/>
          </w:tcPr>
          <w:p>
            <w:pPr>
              <w:spacing w:after="0"/>
              <w:rPr>
                <w:sz w:val="21"/>
                <w:szCs w:val="2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r>
      <w:tr>
        <w:trPr>
          <w:trHeight w:val="237"/>
        </w:trPr>
        <w:tc>
          <w:tcPr>
            <w:tcW w:w="116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tcPr>
          <w:p>
            <w:pPr>
              <w:spacing w:after="0"/>
              <w:rPr>
                <w:sz w:val="20"/>
                <w:szCs w:val="20"/>
                <w:color w:val="auto"/>
              </w:rPr>
            </w:pPr>
          </w:p>
        </w:tc>
        <w:tc>
          <w:tcPr>
            <w:tcW w:w="1760" w:type="dxa"/>
            <w:vAlign w:val="bottom"/>
            <w:gridSpan w:val="5"/>
          </w:tcPr>
          <w:p>
            <w:pPr>
              <w:spacing w:after="0"/>
              <w:rPr>
                <w:sz w:val="20"/>
                <w:szCs w:val="20"/>
                <w:color w:val="auto"/>
              </w:rPr>
            </w:pPr>
            <w:r>
              <w:rPr>
                <w:rFonts w:ascii="Arial" w:cs="Arial" w:eastAsia="Arial" w:hAnsi="Arial"/>
                <w:sz w:val="18"/>
                <w:szCs w:val="18"/>
                <w:color w:val="0000EE"/>
              </w:rPr>
              <w:t>Other Information</w:t>
            </w:r>
          </w:p>
        </w:tc>
        <w:tc>
          <w:tcPr>
            <w:tcW w:w="6940" w:type="dxa"/>
            <w:vAlign w:val="bottom"/>
            <w:gridSpan w:val="8"/>
          </w:tcPr>
          <w:p>
            <w:pPr>
              <w:spacing w:after="0"/>
              <w:rPr>
                <w:sz w:val="20"/>
                <w:szCs w:val="20"/>
                <w:color w:val="auto"/>
              </w:rPr>
            </w:pPr>
          </w:p>
        </w:tc>
        <w:tc>
          <w:tcPr>
            <w:tcW w:w="720" w:type="dxa"/>
            <w:vAlign w:val="bottom"/>
            <w:gridSpan w:val="3"/>
          </w:tcPr>
          <w:p>
            <w:pPr>
              <w:jc w:val="center"/>
              <w:ind w:left="450"/>
              <w:spacing w:after="0"/>
              <w:rPr>
                <w:sz w:val="20"/>
                <w:szCs w:val="20"/>
                <w:color w:val="auto"/>
              </w:rPr>
            </w:pPr>
            <w:r>
              <w:rPr>
                <w:rFonts w:ascii="Arial" w:cs="Arial" w:eastAsia="Arial" w:hAnsi="Arial"/>
                <w:sz w:val="18"/>
                <w:szCs w:val="18"/>
                <w:color w:val="0000EE"/>
                <w:w w:val="89"/>
              </w:rPr>
              <w:t>30</w:t>
            </w:r>
          </w:p>
        </w:tc>
        <w:tc>
          <w:tcPr>
            <w:tcW w:w="54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400" w:type="dxa"/>
            <w:vAlign w:val="bottom"/>
            <w:gridSpan w:val="10"/>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r>
      <w:tr>
        <w:trPr>
          <w:trHeight w:val="23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1"/>
              </w:rPr>
              <w:t>Exhibits</w:t>
            </w:r>
          </w:p>
        </w:tc>
        <w:tc>
          <w:tcPr>
            <w:tcW w:w="700" w:type="dxa"/>
            <w:vAlign w:val="bottom"/>
            <w:gridSpan w:val="2"/>
          </w:tcPr>
          <w:p>
            <w:pPr>
              <w:spacing w:after="0"/>
              <w:rPr>
                <w:sz w:val="20"/>
                <w:szCs w:val="20"/>
                <w:color w:val="auto"/>
              </w:rPr>
            </w:pPr>
          </w:p>
        </w:tc>
        <w:tc>
          <w:tcPr>
            <w:tcW w:w="7400" w:type="dxa"/>
            <w:vAlign w:val="bottom"/>
            <w:gridSpan w:val="10"/>
          </w:tcPr>
          <w:p>
            <w:pPr>
              <w:spacing w:after="0"/>
              <w:rPr>
                <w:sz w:val="20"/>
                <w:szCs w:val="20"/>
                <w:color w:val="auto"/>
              </w:rPr>
            </w:pPr>
          </w:p>
        </w:tc>
        <w:tc>
          <w:tcPr>
            <w:tcW w:w="720" w:type="dxa"/>
            <w:vAlign w:val="bottom"/>
            <w:gridSpan w:val="3"/>
          </w:tcPr>
          <w:p>
            <w:pPr>
              <w:jc w:val="center"/>
              <w:ind w:left="450"/>
              <w:spacing w:after="0"/>
              <w:rPr>
                <w:sz w:val="20"/>
                <w:szCs w:val="20"/>
                <w:color w:val="auto"/>
              </w:rPr>
            </w:pPr>
            <w:r>
              <w:rPr>
                <w:rFonts w:ascii="Arial" w:cs="Arial" w:eastAsia="Arial" w:hAnsi="Arial"/>
                <w:sz w:val="18"/>
                <w:szCs w:val="18"/>
                <w:color w:val="0000EE"/>
                <w:w w:val="89"/>
              </w:rPr>
              <w:t>30</w:t>
            </w:r>
          </w:p>
        </w:tc>
        <w:tc>
          <w:tcPr>
            <w:tcW w:w="540" w:type="dxa"/>
            <w:vAlign w:val="bottom"/>
          </w:tcPr>
          <w:p>
            <w:pPr>
              <w:spacing w:after="0"/>
              <w:rPr>
                <w:sz w:val="20"/>
                <w:szCs w:val="20"/>
                <w:color w:val="auto"/>
              </w:rPr>
            </w:pPr>
          </w:p>
        </w:tc>
      </w:tr>
      <w:tr>
        <w:trPr>
          <w:trHeight w:val="95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20" w:type="dxa"/>
            <w:vAlign w:val="bottom"/>
            <w:gridSpan w:val="9"/>
          </w:tcPr>
          <w:p>
            <w:pPr>
              <w:jc w:val="center"/>
              <w:ind w:left="3370"/>
              <w:spacing w:after="0"/>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r>
      <w:tr>
        <w:trPr>
          <w:trHeight w:val="101"/>
        </w:trPr>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r>
      <w:tr>
        <w:trPr>
          <w:trHeight w:val="26"/>
        </w:trPr>
        <w:tc>
          <w:tcPr>
            <w:tcW w:w="8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8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9"/>
        </w:trPr>
        <w:tc>
          <w:tcPr>
            <w:tcW w:w="8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190"/>
        </w:trPr>
        <w:tc>
          <w:tcPr>
            <w:tcW w:w="81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9"/>
        </w:trPr>
        <w:tc>
          <w:tcPr>
            <w:tcW w:w="8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66,493</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56,558</w:t>
            </w:r>
          </w:p>
        </w:tc>
      </w:tr>
      <w:tr>
        <w:trPr>
          <w:trHeight w:val="190"/>
        </w:trPr>
        <w:tc>
          <w:tcPr>
            <w:tcW w:w="8160" w:type="dxa"/>
            <w:vAlign w:val="bottom"/>
          </w:tcPr>
          <w:p>
            <w:pPr>
              <w:ind w:left="180"/>
              <w:spacing w:after="0"/>
              <w:rPr>
                <w:sz w:val="20"/>
                <w:szCs w:val="20"/>
                <w:color w:val="auto"/>
              </w:rPr>
            </w:pPr>
            <w:r>
              <w:rPr>
                <w:rFonts w:ascii="Arial" w:cs="Arial" w:eastAsia="Arial" w:hAnsi="Arial"/>
                <w:sz w:val="14"/>
                <w:szCs w:val="14"/>
                <w:color w:val="auto"/>
              </w:rPr>
              <w:t>Short-term marketable securities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19,945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23,568</w:t>
            </w:r>
          </w:p>
        </w:tc>
      </w:tr>
      <w:tr>
        <w:trPr>
          <w:trHeight w:val="26"/>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4"/>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 net of allowance for doubtful accounts of $2,209 and $1,706 as of June 30, 2023, and December 31, 2022,</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1"/>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75,034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76,225</w:t>
            </w:r>
          </w:p>
        </w:tc>
      </w:tr>
      <w:tr>
        <w:trPr>
          <w:trHeight w:val="190"/>
        </w:trPr>
        <w:tc>
          <w:tcPr>
            <w:tcW w:w="816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14,311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13,578</w:t>
            </w:r>
          </w:p>
        </w:tc>
      </w:tr>
      <w:tr>
        <w:trPr>
          <w:trHeight w:val="39"/>
        </w:trPr>
        <w:tc>
          <w:tcPr>
            <w:tcW w:w="8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Income taxes receivable</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4,042</w:t>
            </w:r>
          </w:p>
        </w:tc>
      </w:tr>
      <w:tr>
        <w:trPr>
          <w:trHeight w:val="190"/>
        </w:trPr>
        <w:tc>
          <w:tcPr>
            <w:tcW w:w="8160" w:type="dxa"/>
            <w:vAlign w:val="bottom"/>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8,501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12,597</w:t>
            </w:r>
          </w:p>
        </w:tc>
      </w:tr>
      <w:tr>
        <w:trPr>
          <w:trHeight w:val="26"/>
        </w:trPr>
        <w:tc>
          <w:tcPr>
            <w:tcW w:w="8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3"/>
        </w:trPr>
        <w:tc>
          <w:tcPr>
            <w:tcW w:w="8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185,152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186,568</w:t>
            </w:r>
          </w:p>
        </w:tc>
      </w:tr>
      <w:tr>
        <w:trPr>
          <w:trHeight w:val="190"/>
        </w:trPr>
        <w:tc>
          <w:tcPr>
            <w:tcW w:w="816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248,614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257,785</w:t>
            </w:r>
          </w:p>
        </w:tc>
      </w:tr>
      <w:tr>
        <w:trPr>
          <w:trHeight w:val="39"/>
        </w:trPr>
        <w:tc>
          <w:tcPr>
            <w:tcW w:w="8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273,991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273,991</w:t>
            </w:r>
          </w:p>
        </w:tc>
      </w:tr>
      <w:tr>
        <w:trPr>
          <w:trHeight w:val="191"/>
        </w:trPr>
        <w:tc>
          <w:tcPr>
            <w:tcW w:w="8160" w:type="dxa"/>
            <w:vAlign w:val="bottom"/>
          </w:tcPr>
          <w:p>
            <w:pPr>
              <w:ind w:left="20"/>
              <w:spacing w:after="0"/>
              <w:rPr>
                <w:sz w:val="20"/>
                <w:szCs w:val="20"/>
                <w:color w:val="auto"/>
              </w:rPr>
            </w:pPr>
            <w:r>
              <w:rPr>
                <w:rFonts w:ascii="Arial" w:cs="Arial" w:eastAsia="Arial" w:hAnsi="Arial"/>
                <w:sz w:val="14"/>
                <w:szCs w:val="14"/>
                <w:color w:val="auto"/>
              </w:rPr>
              <w:t>Other intangible assets, net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28,353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31,250</w:t>
            </w:r>
          </w:p>
        </w:tc>
      </w:tr>
      <w:tr>
        <w:trPr>
          <w:trHeight w:val="39"/>
        </w:trPr>
        <w:tc>
          <w:tcPr>
            <w:tcW w:w="8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marketable securities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16,344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26,419</w:t>
            </w:r>
          </w:p>
        </w:tc>
      </w:tr>
      <w:tr>
        <w:trPr>
          <w:trHeight w:val="190"/>
        </w:trPr>
        <w:tc>
          <w:tcPr>
            <w:tcW w:w="8160" w:type="dxa"/>
            <w:vAlign w:val="bottom"/>
          </w:tcPr>
          <w:p>
            <w:pPr>
              <w:ind w:left="20"/>
              <w:spacing w:after="0"/>
              <w:rPr>
                <w:sz w:val="20"/>
                <w:szCs w:val="20"/>
                <w:color w:val="auto"/>
              </w:rPr>
            </w:pPr>
            <w:r>
              <w:rPr>
                <w:rFonts w:ascii="Arial" w:cs="Arial" w:eastAsia="Arial" w:hAnsi="Arial"/>
                <w:sz w:val="14"/>
                <w:szCs w:val="14"/>
                <w:color w:val="auto"/>
              </w:rPr>
              <w:t>Operating lease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3,084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3,844</w:t>
            </w:r>
          </w:p>
        </w:tc>
      </w:tr>
      <w:tr>
        <w:trPr>
          <w:trHeight w:val="39"/>
        </w:trPr>
        <w:tc>
          <w:tcPr>
            <w:tcW w:w="8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Finance lease assets</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16,934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17,532</w:t>
            </w:r>
          </w:p>
        </w:tc>
      </w:tr>
      <w:tr>
        <w:trPr>
          <w:trHeight w:val="190"/>
        </w:trPr>
        <w:tc>
          <w:tcPr>
            <w:tcW w:w="816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4,738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4,779</w:t>
            </w:r>
          </w:p>
        </w:tc>
      </w:tr>
      <w:tr>
        <w:trPr>
          <w:trHeight w:val="39"/>
        </w:trPr>
        <w:tc>
          <w:tcPr>
            <w:tcW w:w="81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8"/>
        </w:trPr>
        <w:tc>
          <w:tcPr>
            <w:tcW w:w="8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777,210</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802,168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8"/>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191"/>
        </w:trPr>
        <w:tc>
          <w:tcPr>
            <w:tcW w:w="81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9"/>
        </w:trPr>
        <w:tc>
          <w:tcPr>
            <w:tcW w:w="8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16,474</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17,356</w:t>
            </w:r>
          </w:p>
        </w:tc>
      </w:tr>
      <w:tr>
        <w:trPr>
          <w:trHeight w:val="190"/>
        </w:trPr>
        <w:tc>
          <w:tcPr>
            <w:tcW w:w="8160" w:type="dxa"/>
            <w:vAlign w:val="bottom"/>
          </w:tcPr>
          <w:p>
            <w:pPr>
              <w:ind w:left="180"/>
              <w:spacing w:after="0"/>
              <w:rPr>
                <w:sz w:val="20"/>
                <w:szCs w:val="20"/>
                <w:color w:val="auto"/>
              </w:rPr>
            </w:pPr>
            <w:r>
              <w:rPr>
                <w:rFonts w:ascii="Arial" w:cs="Arial" w:eastAsia="Arial" w:hAnsi="Arial"/>
                <w:sz w:val="14"/>
                <w:szCs w:val="14"/>
                <w:color w:val="auto"/>
              </w:rPr>
              <w:t>Accrued compensation</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12,486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12,743</w:t>
            </w:r>
          </w:p>
        </w:tc>
      </w:tr>
      <w:tr>
        <w:trPr>
          <w:trHeight w:val="25"/>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Accrued liabilities and other</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19,155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22,384</w:t>
            </w:r>
          </w:p>
        </w:tc>
      </w:tr>
      <w:tr>
        <w:trPr>
          <w:trHeight w:val="191"/>
        </w:trPr>
        <w:tc>
          <w:tcPr>
            <w:tcW w:w="8160" w:type="dxa"/>
            <w:vAlign w:val="bottom"/>
          </w:tcPr>
          <w:p>
            <w:pPr>
              <w:ind w:left="180"/>
              <w:spacing w:after="0"/>
              <w:rPr>
                <w:sz w:val="20"/>
                <w:szCs w:val="20"/>
                <w:color w:val="auto"/>
              </w:rPr>
            </w:pPr>
            <w:r>
              <w:rPr>
                <w:rFonts w:ascii="Arial" w:cs="Arial" w:eastAsia="Arial" w:hAnsi="Arial"/>
                <w:sz w:val="14"/>
                <w:szCs w:val="14"/>
                <w:color w:val="auto"/>
              </w:rPr>
              <w:t>Current operating lease liabilities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1,209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1,561</w:t>
            </w:r>
          </w:p>
        </w:tc>
      </w:tr>
      <w:tr>
        <w:trPr>
          <w:trHeight w:val="39"/>
        </w:trPr>
        <w:tc>
          <w:tcPr>
            <w:tcW w:w="8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Current finance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16,549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17,537</w:t>
            </w:r>
          </w:p>
        </w:tc>
      </w:tr>
      <w:tr>
        <w:trPr>
          <w:trHeight w:val="190"/>
        </w:trPr>
        <w:tc>
          <w:tcPr>
            <w:tcW w:w="816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81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9"/>
        </w:trPr>
        <w:tc>
          <w:tcPr>
            <w:tcW w:w="8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66,221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71,581</w:t>
            </w:r>
          </w:p>
        </w:tc>
      </w:tr>
      <w:tr>
        <w:trPr>
          <w:trHeight w:val="191"/>
        </w:trPr>
        <w:tc>
          <w:tcPr>
            <w:tcW w:w="8160" w:type="dxa"/>
            <w:vAlign w:val="bottom"/>
          </w:tcPr>
          <w:p>
            <w:pPr>
              <w:ind w:left="20"/>
              <w:spacing w:after="0"/>
              <w:rPr>
                <w:sz w:val="20"/>
                <w:szCs w:val="20"/>
                <w:color w:val="auto"/>
              </w:rPr>
            </w:pPr>
            <w:r>
              <w:rPr>
                <w:rFonts w:ascii="Arial" w:cs="Arial" w:eastAsia="Arial" w:hAnsi="Arial"/>
                <w:sz w:val="14"/>
                <w:szCs w:val="14"/>
                <w:color w:val="auto"/>
              </w:rPr>
              <w:t>Long-term operating lease liabilities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2,255</w:t>
            </w:r>
          </w:p>
        </w:tc>
      </w:tr>
      <w:tr>
        <w:trPr>
          <w:trHeight w:val="39"/>
        </w:trPr>
        <w:tc>
          <w:tcPr>
            <w:tcW w:w="8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finance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8160" w:type="dxa"/>
            <w:vAlign w:val="bottom"/>
          </w:tcPr>
          <w:p>
            <w:pPr>
              <w:ind w:left="20"/>
              <w:spacing w:after="0"/>
              <w:rPr>
                <w:sz w:val="20"/>
                <w:szCs w:val="20"/>
                <w:color w:val="auto"/>
              </w:rPr>
            </w:pPr>
            <w:r>
              <w:rPr>
                <w:rFonts w:ascii="Arial" w:cs="Arial" w:eastAsia="Arial" w:hAnsi="Arial"/>
                <w:sz w:val="14"/>
                <w:szCs w:val="14"/>
                <w:color w:val="auto"/>
              </w:rPr>
              <w:t>Long-term deferred tax liabilities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20,790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26,322</w:t>
            </w:r>
          </w:p>
        </w:tc>
      </w:tr>
      <w:tr>
        <w:trPr>
          <w:trHeight w:val="39"/>
        </w:trPr>
        <w:tc>
          <w:tcPr>
            <w:tcW w:w="8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4,362</w:t>
            </w:r>
          </w:p>
        </w:tc>
      </w:tr>
      <w:tr>
        <w:trPr>
          <w:trHeight w:val="184"/>
        </w:trPr>
        <w:tc>
          <w:tcPr>
            <w:tcW w:w="8160" w:type="dxa"/>
            <w:vAlign w:val="bottom"/>
          </w:tcPr>
          <w:p>
            <w:pPr>
              <w:ind w:left="60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94,525</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104,520</w:t>
            </w:r>
          </w:p>
        </w:tc>
      </w:tr>
      <w:tr>
        <w:trPr>
          <w:trHeight w:val="25"/>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95"/>
        </w:trPr>
        <w:tc>
          <w:tcPr>
            <w:tcW w:w="8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r>
      <w:tr>
        <w:trPr>
          <w:trHeight w:val="190"/>
        </w:trPr>
        <w:tc>
          <w:tcPr>
            <w:tcW w:w="816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9"/>
        </w:trPr>
        <w:tc>
          <w:tcPr>
            <w:tcW w:w="8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84"/>
        </w:trPr>
        <w:tc>
          <w:tcPr>
            <w:tcW w:w="81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Preferred stock, $0.001 par value, authorized 10,000,000 shares; issued and outstanding 0 shares as of each of June 30, 2023, and</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8"/>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December 31, 2022</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160" w:type="dxa"/>
            <w:vAlign w:val="bottom"/>
          </w:tcPr>
          <w:p>
            <w:pPr>
              <w:ind w:left="360"/>
              <w:spacing w:after="0"/>
              <w:rPr>
                <w:sz w:val="20"/>
                <w:szCs w:val="20"/>
                <w:color w:val="auto"/>
              </w:rPr>
            </w:pPr>
            <w:r>
              <w:rPr>
                <w:rFonts w:ascii="Arial" w:cs="Arial" w:eastAsia="Arial" w:hAnsi="Arial"/>
                <w:sz w:val="14"/>
                <w:szCs w:val="14"/>
                <w:color w:val="auto"/>
                <w:w w:val="95"/>
              </w:rPr>
              <w:t>Common stock, $0.001 par value, authorized 150,000,000 shares; issued and outstanding 26,095,434 and 26,888,425 shares as of</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8160" w:type="dxa"/>
            <w:vAlign w:val="bottom"/>
          </w:tcPr>
          <w:p>
            <w:pPr>
              <w:ind w:left="360"/>
              <w:spacing w:after="0"/>
              <w:rPr>
                <w:sz w:val="20"/>
                <w:szCs w:val="20"/>
                <w:color w:val="auto"/>
              </w:rPr>
            </w:pPr>
            <w:r>
              <w:rPr>
                <w:rFonts w:ascii="Arial" w:cs="Arial" w:eastAsia="Arial" w:hAnsi="Arial"/>
                <w:sz w:val="14"/>
                <w:szCs w:val="14"/>
                <w:color w:val="auto"/>
              </w:rPr>
              <w:t>June 30, 2023, and December 31, 2022, respectively</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39"/>
        </w:trPr>
        <w:tc>
          <w:tcPr>
            <w:tcW w:w="8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Additional paid-in capital</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464,950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473,740</w:t>
            </w:r>
          </w:p>
        </w:tc>
      </w:tr>
      <w:tr>
        <w:trPr>
          <w:trHeight w:val="191"/>
        </w:trPr>
        <w:tc>
          <w:tcPr>
            <w:tcW w:w="8160" w:type="dxa"/>
            <w:vAlign w:val="bottom"/>
          </w:tcPr>
          <w:p>
            <w:pPr>
              <w:ind w:left="36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246,930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258,236</w:t>
            </w:r>
          </w:p>
        </w:tc>
      </w:tr>
      <w:tr>
        <w:trPr>
          <w:trHeight w:val="39"/>
        </w:trPr>
        <w:tc>
          <w:tcPr>
            <w:tcW w:w="8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1"/>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(29,221)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(34,355)</w:t>
            </w:r>
          </w:p>
        </w:tc>
      </w:tr>
      <w:tr>
        <w:trPr>
          <w:trHeight w:val="184"/>
        </w:trPr>
        <w:tc>
          <w:tcPr>
            <w:tcW w:w="8160" w:type="dxa"/>
            <w:vAlign w:val="bottom"/>
            <w:tcBorders>
              <w:top w:val="single" w:sz="8" w:color="CCEEFF"/>
            </w:tcBorders>
          </w:tcPr>
          <w:p>
            <w:pPr>
              <w:ind w:left="600"/>
              <w:spacing w:after="0"/>
              <w:rPr>
                <w:sz w:val="20"/>
                <w:szCs w:val="20"/>
                <w:color w:val="auto"/>
              </w:rPr>
            </w:pPr>
            <w:r>
              <w:rPr>
                <w:rFonts w:ascii="Arial" w:cs="Arial" w:eastAsia="Arial" w:hAnsi="Arial"/>
                <w:sz w:val="14"/>
                <w:szCs w:val="14"/>
                <w:color w:val="auto"/>
              </w:rPr>
              <w:t>Total shareholders' equity</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682,685</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697,648</w:t>
            </w:r>
          </w:p>
        </w:tc>
      </w:tr>
      <w:tr>
        <w:trPr>
          <w:trHeight w:val="39"/>
        </w:trPr>
        <w:tc>
          <w:tcPr>
            <w:tcW w:w="81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8"/>
        </w:trPr>
        <w:tc>
          <w:tcPr>
            <w:tcW w:w="8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liabilities and shareholders' equity</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777,210</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802,168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8"/>
        </w:trPr>
        <w:tc>
          <w:tcPr>
            <w:tcW w:w="8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5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122,265</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126,902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248,124</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251,070</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69,142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137,844</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53,123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106,899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113,226</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44,181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41,641</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20,007</w:t>
            </w: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33,293</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Closure of Japan business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5,194</w:t>
            </w:r>
          </w:p>
        </w:tc>
      </w:tr>
      <w:tr>
        <w:trPr>
          <w:trHeight w:val="237"/>
        </w:trPr>
        <w:tc>
          <w:tcPr>
            <w:tcW w:w="504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47,515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97,542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100,135</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13,091</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Other (loss) income,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12,792</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5,140</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0.09</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7"/>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9"/>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to compute net (loss)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26,210,478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27,530,739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26,414,467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27,515,583</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26,210,478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27,536,823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26,445,427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27,524,019</w:t>
            </w:r>
          </w:p>
        </w:tc>
      </w:tr>
      <w:tr>
        <w:trPr>
          <w:trHeight w:val="216"/>
        </w:trPr>
        <w:tc>
          <w:tcPr>
            <w:tcW w:w="5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Comprehensive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3,890</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(11,287)</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7,410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(11,680)</w:t>
            </w:r>
          </w:p>
        </w:tc>
      </w:tr>
      <w:tr>
        <w:trPr>
          <w:trHeight w:val="27"/>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5"/>
        </w:trPr>
        <w:tc>
          <w:tcPr>
            <w:tcW w:w="50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40" w:type="dxa"/>
            <w:vAlign w:val="bottom"/>
          </w:tcPr>
          <w:p>
            <w:pPr>
              <w:spacing w:after="0"/>
              <w:rPr>
                <w:sz w:val="15"/>
                <w:szCs w:val="15"/>
                <w:color w:val="auto"/>
              </w:rPr>
            </w:pPr>
          </w:p>
        </w:tc>
        <w:tc>
          <w:tcPr>
            <w:tcW w:w="2080" w:type="dxa"/>
            <w:vAlign w:val="bottom"/>
            <w:gridSpan w:val="3"/>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center"/>
              <w:ind w:right="68"/>
              <w:spacing w:after="0" w:line="158"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vMerge w:val="restart"/>
          </w:tcPr>
          <w:p>
            <w:pPr>
              <w:jc w:val="right"/>
              <w:ind w:right="208"/>
              <w:spacing w:after="0" w:line="158"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restart"/>
          </w:tcPr>
          <w:p>
            <w:pPr>
              <w:jc w:val="center"/>
              <w:ind w:right="48"/>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38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840" w:type="dxa"/>
            <w:vAlign w:val="bottom"/>
          </w:tcPr>
          <w:p>
            <w:pPr>
              <w:spacing w:after="0"/>
              <w:rPr>
                <w:sz w:val="16"/>
                <w:szCs w:val="16"/>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4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8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26,888,425</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473,740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258,236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(34,355)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697,648</w:t>
            </w:r>
          </w:p>
        </w:tc>
        <w:tc>
          <w:tcPr>
            <w:tcW w:w="0" w:type="dxa"/>
            <w:vAlign w:val="bottom"/>
          </w:tcPr>
          <w:p>
            <w:pPr>
              <w:spacing w:after="0"/>
              <w:rPr>
                <w:sz w:val="1"/>
                <w:szCs w:val="1"/>
                <w:color w:val="auto"/>
              </w:rPr>
            </w:pPr>
          </w:p>
        </w:tc>
      </w:tr>
      <w:tr>
        <w:trPr>
          <w:trHeight w:val="184"/>
        </w:trPr>
        <w:tc>
          <w:tcPr>
            <w:tcW w:w="3840" w:type="dxa"/>
            <w:vAlign w:val="bottom"/>
          </w:tcPr>
          <w:p>
            <w:pPr>
              <w:ind w:left="20"/>
              <w:spacing w:after="0"/>
              <w:rPr>
                <w:sz w:val="20"/>
                <w:szCs w:val="20"/>
                <w:color w:val="auto"/>
              </w:rPr>
            </w:pPr>
            <w:r>
              <w:rPr>
                <w:rFonts w:ascii="Arial" w:cs="Arial" w:eastAsia="Arial" w:hAnsi="Arial"/>
                <w:sz w:val="14"/>
                <w:szCs w:val="14"/>
                <w:color w:val="auto"/>
                <w:w w:val="96"/>
              </w:rPr>
              <w:t>Common shares issued on exercise of options and other, net of</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40" w:type="dxa"/>
            <w:vAlign w:val="bottom"/>
          </w:tcPr>
          <w:p>
            <w:pPr>
              <w:ind w:left="20"/>
              <w:spacing w:after="0"/>
              <w:rPr>
                <w:sz w:val="20"/>
                <w:szCs w:val="20"/>
                <w:color w:val="auto"/>
              </w:rPr>
            </w:pPr>
            <w:r>
              <w:rPr>
                <w:rFonts w:ascii="Arial" w:cs="Arial" w:eastAsia="Arial" w:hAnsi="Arial"/>
                <w:sz w:val="14"/>
                <w:szCs w:val="14"/>
                <w:color w:val="auto"/>
              </w:rPr>
              <w:t>shares withheld for tax obligations</w:t>
            </w:r>
          </w:p>
        </w:tc>
        <w:tc>
          <w:tcPr>
            <w:tcW w:w="1120" w:type="dxa"/>
            <w:vAlign w:val="bottom"/>
          </w:tcPr>
          <w:p>
            <w:pPr>
              <w:jc w:val="right"/>
              <w:spacing w:after="0"/>
              <w:rPr>
                <w:sz w:val="20"/>
                <w:szCs w:val="20"/>
                <w:color w:val="auto"/>
              </w:rPr>
            </w:pPr>
            <w:r>
              <w:rPr>
                <w:rFonts w:ascii="Arial" w:cs="Arial" w:eastAsia="Arial" w:hAnsi="Arial"/>
                <w:sz w:val="14"/>
                <w:szCs w:val="14"/>
                <w:color w:val="auto"/>
              </w:rPr>
              <w:t>26,798</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39"/>
        </w:trPr>
        <w:tc>
          <w:tcPr>
            <w:tcW w:w="3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3,695</w:t>
            </w:r>
          </w:p>
        </w:tc>
        <w:tc>
          <w:tcPr>
            <w:tcW w:w="0" w:type="dxa"/>
            <w:vAlign w:val="bottom"/>
          </w:tcPr>
          <w:p>
            <w:pPr>
              <w:spacing w:after="0"/>
              <w:rPr>
                <w:sz w:val="1"/>
                <w:szCs w:val="1"/>
                <w:color w:val="auto"/>
              </w:rPr>
            </w:pPr>
          </w:p>
        </w:tc>
      </w:tr>
      <w:tr>
        <w:trPr>
          <w:trHeight w:val="190"/>
        </w:trPr>
        <w:tc>
          <w:tcPr>
            <w:tcW w:w="3840" w:type="dxa"/>
            <w:vAlign w:val="bottom"/>
          </w:tcPr>
          <w:p>
            <w:pPr>
              <w:ind w:left="180"/>
              <w:spacing w:after="0"/>
              <w:rPr>
                <w:sz w:val="20"/>
                <w:szCs w:val="20"/>
                <w:color w:val="auto"/>
              </w:rPr>
            </w:pPr>
            <w:r>
              <w:rPr>
                <w:rFonts w:ascii="Arial" w:cs="Arial" w:eastAsia="Arial" w:hAnsi="Arial"/>
                <w:sz w:val="14"/>
                <w:szCs w:val="14"/>
                <w:color w:val="auto"/>
              </w:rPr>
              <w:t>Repurchases of common stock and other</w:t>
            </w:r>
          </w:p>
        </w:tc>
        <w:tc>
          <w:tcPr>
            <w:tcW w:w="1120" w:type="dxa"/>
            <w:vAlign w:val="bottom"/>
          </w:tcPr>
          <w:p>
            <w:pPr>
              <w:jc w:val="right"/>
              <w:spacing w:after="0"/>
              <w:rPr>
                <w:sz w:val="20"/>
                <w:szCs w:val="20"/>
                <w:color w:val="auto"/>
              </w:rPr>
            </w:pPr>
            <w:r>
              <w:rPr>
                <w:rFonts w:ascii="Arial" w:cs="Arial" w:eastAsia="Arial" w:hAnsi="Arial"/>
                <w:sz w:val="14"/>
                <w:szCs w:val="14"/>
                <w:color w:val="auto"/>
              </w:rPr>
              <w:t>(712,500)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(21,325)</w:t>
            </w:r>
          </w:p>
        </w:tc>
        <w:tc>
          <w:tcPr>
            <w:tcW w:w="0" w:type="dxa"/>
            <w:vAlign w:val="bottom"/>
          </w:tcPr>
          <w:p>
            <w:pPr>
              <w:spacing w:after="0"/>
              <w:rPr>
                <w:sz w:val="1"/>
                <w:szCs w:val="1"/>
                <w:color w:val="auto"/>
              </w:rPr>
            </w:pPr>
          </w:p>
        </w:tc>
      </w:tr>
      <w:tr>
        <w:trPr>
          <w:trHeight w:val="39"/>
        </w:trPr>
        <w:tc>
          <w:tcPr>
            <w:tcW w:w="3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2,659</w:t>
            </w:r>
          </w:p>
        </w:tc>
        <w:tc>
          <w:tcPr>
            <w:tcW w:w="0" w:type="dxa"/>
            <w:vAlign w:val="bottom"/>
          </w:tcPr>
          <w:p>
            <w:pPr>
              <w:spacing w:after="0"/>
              <w:rPr>
                <w:sz w:val="1"/>
                <w:szCs w:val="1"/>
                <w:color w:val="auto"/>
              </w:rPr>
            </w:pPr>
          </w:p>
        </w:tc>
      </w:tr>
      <w:tr>
        <w:trPr>
          <w:trHeight w:val="190"/>
        </w:trPr>
        <w:tc>
          <w:tcPr>
            <w:tcW w:w="3840" w:type="dxa"/>
            <w:vAlign w:val="bottom"/>
          </w:tcPr>
          <w:p>
            <w:pPr>
              <w:ind w:left="180"/>
              <w:spacing w:after="0"/>
              <w:rPr>
                <w:sz w:val="20"/>
                <w:szCs w:val="20"/>
                <w:color w:val="auto"/>
              </w:rPr>
            </w:pPr>
            <w:r>
              <w:rPr>
                <w:rFonts w:ascii="Arial" w:cs="Arial" w:eastAsia="Arial" w:hAnsi="Arial"/>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Arial" w:cs="Arial" w:eastAsia="Arial" w:hAnsi="Arial"/>
                <w:sz w:val="14"/>
                <w:szCs w:val="14"/>
                <w:color w:val="auto"/>
              </w:rPr>
              <w:t>Net unrealized gains (losses) on investments in securities</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39"/>
        </w:trPr>
        <w:tc>
          <w:tcPr>
            <w:tcW w:w="384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Comprehensive income</w:t>
            </w: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3,520</w:t>
            </w: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26,202,723</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465,185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251,420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(33,494)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683,137</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84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w w:val="96"/>
              </w:rPr>
              <w:t>Common shares issued on exercise of options and other, net of</w:t>
            </w: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shares withheld for tax obligations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169,229</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3,675</w:t>
            </w:r>
          </w:p>
        </w:tc>
        <w:tc>
          <w:tcPr>
            <w:tcW w:w="0" w:type="dxa"/>
            <w:vAlign w:val="bottom"/>
          </w:tcPr>
          <w:p>
            <w:pPr>
              <w:spacing w:after="0"/>
              <w:rPr>
                <w:sz w:val="1"/>
                <w:szCs w:val="1"/>
                <w:color w:val="auto"/>
              </w:rPr>
            </w:pPr>
          </w:p>
        </w:tc>
      </w:tr>
      <w:tr>
        <w:trPr>
          <w:trHeight w:val="39"/>
        </w:trPr>
        <w:tc>
          <w:tcPr>
            <w:tcW w:w="3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Repurchases of common stock and other</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(276,518)</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(4,107)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(8,979)</w:t>
            </w: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i w:val="1"/>
                <w:iCs w:val="1"/>
                <w:color w:val="auto"/>
              </w:rPr>
              <w:t>Other 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4,254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4,254</w:t>
            </w:r>
          </w:p>
        </w:tc>
        <w:tc>
          <w:tcPr>
            <w:tcW w:w="0" w:type="dxa"/>
            <w:vAlign w:val="bottom"/>
          </w:tcPr>
          <w:p>
            <w:pPr>
              <w:spacing w:after="0"/>
              <w:rPr>
                <w:sz w:val="1"/>
                <w:szCs w:val="1"/>
                <w:color w:val="auto"/>
              </w:rPr>
            </w:pPr>
          </w:p>
        </w:tc>
      </w:tr>
      <w:tr>
        <w:trPr>
          <w:trHeight w:val="39"/>
        </w:trPr>
        <w:tc>
          <w:tcPr>
            <w:tcW w:w="3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unrealized gains (losses) on investments in securities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4"/>
        </w:trPr>
        <w:tc>
          <w:tcPr>
            <w:tcW w:w="3840" w:type="dxa"/>
            <w:vAlign w:val="bottom"/>
          </w:tcPr>
          <w:p>
            <w:pPr>
              <w:ind w:left="180"/>
              <w:spacing w:after="0"/>
              <w:rPr>
                <w:sz w:val="20"/>
                <w:szCs w:val="20"/>
                <w:color w:val="auto"/>
              </w:rPr>
            </w:pPr>
            <w:r>
              <w:rPr>
                <w:rFonts w:ascii="Arial" w:cs="Arial" w:eastAsia="Arial" w:hAnsi="Arial"/>
                <w:sz w:val="14"/>
                <w:szCs w:val="14"/>
                <w:color w:val="auto"/>
              </w:rPr>
              <w:t>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3,890</w:t>
            </w:r>
          </w:p>
        </w:tc>
        <w:tc>
          <w:tcPr>
            <w:tcW w:w="0" w:type="dxa"/>
            <w:vAlign w:val="bottom"/>
          </w:tcPr>
          <w:p>
            <w:pPr>
              <w:spacing w:after="0"/>
              <w:rPr>
                <w:sz w:val="1"/>
                <w:szCs w:val="1"/>
                <w:color w:val="auto"/>
              </w:rPr>
            </w:pPr>
          </w:p>
        </w:tc>
      </w:tr>
      <w:tr>
        <w:trPr>
          <w:trHeight w:val="39"/>
        </w:trPr>
        <w:tc>
          <w:tcPr>
            <w:tcW w:w="38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26,095,434</w:t>
            </w:r>
          </w:p>
        </w:tc>
        <w:tc>
          <w:tcPr>
            <w:tcW w:w="960" w:type="dxa"/>
            <w:vAlign w:val="bottom"/>
            <w:gridSpan w:val="2"/>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464,950</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246,930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(29,221)</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682,685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3840" w:type="dxa"/>
            <w:vAlign w:val="bottom"/>
          </w:tcPr>
          <w:p>
            <w:pPr>
              <w:spacing w:after="0"/>
              <w:rPr>
                <w:sz w:val="24"/>
                <w:szCs w:val="24"/>
                <w:color w:val="auto"/>
              </w:rPr>
            </w:pPr>
          </w:p>
        </w:tc>
        <w:tc>
          <w:tcPr>
            <w:tcW w:w="2080" w:type="dxa"/>
            <w:vAlign w:val="bottom"/>
            <w:gridSpan w:val="3"/>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center"/>
              <w:ind w:right="68"/>
              <w:spacing w:after="0" w:line="158"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vMerge w:val="restart"/>
          </w:tcPr>
          <w:p>
            <w:pPr>
              <w:jc w:val="right"/>
              <w:ind w:right="208"/>
              <w:spacing w:after="0" w:line="158"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restart"/>
          </w:tcPr>
          <w:p>
            <w:pPr>
              <w:jc w:val="center"/>
              <w:ind w:right="48"/>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38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840" w:type="dxa"/>
            <w:vAlign w:val="bottom"/>
          </w:tcPr>
          <w:p>
            <w:pPr>
              <w:spacing w:after="0"/>
              <w:rPr>
                <w:sz w:val="16"/>
                <w:szCs w:val="16"/>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4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38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3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27,465,945</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468,548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376,734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(16,817)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828,493</w:t>
            </w:r>
          </w:p>
        </w:tc>
        <w:tc>
          <w:tcPr>
            <w:tcW w:w="0" w:type="dxa"/>
            <w:vAlign w:val="bottom"/>
          </w:tcPr>
          <w:p>
            <w:pPr>
              <w:spacing w:after="0"/>
              <w:rPr>
                <w:sz w:val="1"/>
                <w:szCs w:val="1"/>
                <w:color w:val="auto"/>
              </w:rPr>
            </w:pPr>
          </w:p>
        </w:tc>
      </w:tr>
      <w:tr>
        <w:trPr>
          <w:trHeight w:val="184"/>
        </w:trPr>
        <w:tc>
          <w:tcPr>
            <w:tcW w:w="3840" w:type="dxa"/>
            <w:vAlign w:val="bottom"/>
          </w:tcPr>
          <w:p>
            <w:pPr>
              <w:ind w:left="180"/>
              <w:spacing w:after="0"/>
              <w:rPr>
                <w:sz w:val="20"/>
                <w:szCs w:val="20"/>
                <w:color w:val="auto"/>
              </w:rPr>
            </w:pPr>
            <w:r>
              <w:rPr>
                <w:rFonts w:ascii="Arial" w:cs="Arial" w:eastAsia="Arial" w:hAnsi="Arial"/>
                <w:sz w:val="14"/>
                <w:szCs w:val="14"/>
                <w:color w:val="auto"/>
                <w:w w:val="92"/>
              </w:rPr>
              <w:t>Common shares issued on exercise of options and other, net of</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40" w:type="dxa"/>
            <w:vAlign w:val="bottom"/>
          </w:tcPr>
          <w:p>
            <w:pPr>
              <w:ind w:left="180"/>
              <w:spacing w:after="0"/>
              <w:rPr>
                <w:sz w:val="20"/>
                <w:szCs w:val="20"/>
                <w:color w:val="auto"/>
              </w:rPr>
            </w:pPr>
            <w:r>
              <w:rPr>
                <w:rFonts w:ascii="Arial" w:cs="Arial" w:eastAsia="Arial" w:hAnsi="Arial"/>
                <w:sz w:val="14"/>
                <w:szCs w:val="14"/>
                <w:color w:val="auto"/>
              </w:rPr>
              <w:t>shares withheld for tax obligations</w:t>
            </w:r>
          </w:p>
        </w:tc>
        <w:tc>
          <w:tcPr>
            <w:tcW w:w="1120" w:type="dxa"/>
            <w:vAlign w:val="bottom"/>
          </w:tcPr>
          <w:p>
            <w:pPr>
              <w:jc w:val="right"/>
              <w:spacing w:after="0"/>
              <w:rPr>
                <w:sz w:val="20"/>
                <w:szCs w:val="20"/>
                <w:color w:val="auto"/>
              </w:rPr>
            </w:pPr>
            <w:r>
              <w:rPr>
                <w:rFonts w:ascii="Arial" w:cs="Arial" w:eastAsia="Arial" w:hAnsi="Arial"/>
                <w:sz w:val="14"/>
                <w:szCs w:val="14"/>
                <w:color w:val="auto"/>
              </w:rPr>
              <w:t>27,716</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4,397</w:t>
            </w:r>
          </w:p>
        </w:tc>
        <w:tc>
          <w:tcPr>
            <w:tcW w:w="0" w:type="dxa"/>
            <w:vAlign w:val="bottom"/>
          </w:tcPr>
          <w:p>
            <w:pPr>
              <w:spacing w:after="0"/>
              <w:rPr>
                <w:sz w:val="1"/>
                <w:szCs w:val="1"/>
                <w:color w:val="auto"/>
              </w:rPr>
            </w:pPr>
          </w:p>
        </w:tc>
      </w:tr>
      <w:tr>
        <w:trPr>
          <w:trHeight w:val="190"/>
        </w:trPr>
        <w:tc>
          <w:tcPr>
            <w:tcW w:w="384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3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5,095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5,095</w:t>
            </w:r>
          </w:p>
        </w:tc>
        <w:tc>
          <w:tcPr>
            <w:tcW w:w="0" w:type="dxa"/>
            <w:vAlign w:val="bottom"/>
          </w:tcPr>
          <w:p>
            <w:pPr>
              <w:spacing w:after="0"/>
              <w:rPr>
                <w:sz w:val="1"/>
                <w:szCs w:val="1"/>
                <w:color w:val="auto"/>
              </w:rPr>
            </w:pPr>
          </w:p>
        </w:tc>
      </w:tr>
      <w:tr>
        <w:trPr>
          <w:trHeight w:val="191"/>
        </w:trPr>
        <w:tc>
          <w:tcPr>
            <w:tcW w:w="3840" w:type="dxa"/>
            <w:vAlign w:val="bottom"/>
          </w:tcPr>
          <w:p>
            <w:pPr>
              <w:ind w:left="180"/>
              <w:spacing w:after="0"/>
              <w:rPr>
                <w:sz w:val="20"/>
                <w:szCs w:val="20"/>
                <w:color w:val="auto"/>
              </w:rPr>
            </w:pPr>
            <w:r>
              <w:rPr>
                <w:rFonts w:ascii="Arial" w:cs="Arial" w:eastAsia="Arial" w:hAnsi="Arial"/>
                <w:sz w:val="14"/>
                <w:szCs w:val="14"/>
                <w:i w:val="1"/>
                <w:iCs w:val="1"/>
                <w:color w:val="auto"/>
              </w:rPr>
              <w:t>Other comprehensive loss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(4,972)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(4,972)</w:t>
            </w:r>
          </w:p>
        </w:tc>
        <w:tc>
          <w:tcPr>
            <w:tcW w:w="0" w:type="dxa"/>
            <w:vAlign w:val="bottom"/>
          </w:tcPr>
          <w:p>
            <w:pPr>
              <w:spacing w:after="0"/>
              <w:rPr>
                <w:sz w:val="1"/>
                <w:szCs w:val="1"/>
                <w:color w:val="auto"/>
              </w:rPr>
            </w:pPr>
          </w:p>
        </w:tc>
      </w:tr>
      <w:tr>
        <w:trPr>
          <w:trHeight w:val="204"/>
        </w:trPr>
        <w:tc>
          <w:tcPr>
            <w:tcW w:w="3840" w:type="dxa"/>
            <w:vAlign w:val="bottom"/>
          </w:tcPr>
          <w:p>
            <w:pPr>
              <w:ind w:left="360"/>
              <w:spacing w:after="0"/>
              <w:rPr>
                <w:sz w:val="20"/>
                <w:szCs w:val="20"/>
                <w:color w:val="auto"/>
              </w:rPr>
            </w:pPr>
            <w:r>
              <w:rPr>
                <w:rFonts w:ascii="Arial" w:cs="Arial" w:eastAsia="Arial" w:hAnsi="Arial"/>
                <w:sz w:val="14"/>
                <w:szCs w:val="14"/>
                <w:color w:val="auto"/>
                <w:w w:val="97"/>
              </w:rPr>
              <w:t>Net unrealized gains (losses) on investments in securities</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Comprehensive loss</w:t>
            </w: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17"/>
        </w:trPr>
        <w:tc>
          <w:tcPr>
            <w:tcW w:w="384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27,493,661</w:t>
            </w: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472,483</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381,829</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(22,305)</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832,035</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4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w w:val="92"/>
              </w:rPr>
              <w:t>Common shares issued on exercise of options and other, net of</w:t>
            </w: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shares withheld for tax obligations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122,705</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191"/>
        </w:trPr>
        <w:tc>
          <w:tcPr>
            <w:tcW w:w="38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4,031</w:t>
            </w:r>
          </w:p>
        </w:tc>
        <w:tc>
          <w:tcPr>
            <w:tcW w:w="0" w:type="dxa"/>
            <w:vAlign w:val="bottom"/>
          </w:tcPr>
          <w:p>
            <w:pPr>
              <w:spacing w:after="0"/>
              <w:rPr>
                <w:sz w:val="1"/>
                <w:szCs w:val="1"/>
                <w:color w:val="auto"/>
              </w:rPr>
            </w:pPr>
          </w:p>
        </w:tc>
      </w:tr>
      <w:tr>
        <w:trPr>
          <w:trHeight w:val="39"/>
        </w:trPr>
        <w:tc>
          <w:tcPr>
            <w:tcW w:w="3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(113,266)</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(5,239)</w:t>
            </w:r>
          </w:p>
        </w:tc>
        <w:tc>
          <w:tcPr>
            <w:tcW w:w="0" w:type="dxa"/>
            <w:vAlign w:val="bottom"/>
          </w:tcPr>
          <w:p>
            <w:pPr>
              <w:spacing w:after="0"/>
              <w:rPr>
                <w:sz w:val="1"/>
                <w:szCs w:val="1"/>
                <w:color w:val="auto"/>
              </w:rPr>
            </w:pPr>
          </w:p>
        </w:tc>
      </w:tr>
      <w:tr>
        <w:trPr>
          <w:trHeight w:val="191"/>
        </w:trPr>
        <w:tc>
          <w:tcPr>
            <w:tcW w:w="38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2,557</w:t>
            </w:r>
          </w:p>
        </w:tc>
        <w:tc>
          <w:tcPr>
            <w:tcW w:w="0" w:type="dxa"/>
            <w:vAlign w:val="bottom"/>
          </w:tcPr>
          <w:p>
            <w:pPr>
              <w:spacing w:after="0"/>
              <w:rPr>
                <w:sz w:val="1"/>
                <w:szCs w:val="1"/>
                <w:color w:val="auto"/>
              </w:rPr>
            </w:pPr>
          </w:p>
        </w:tc>
      </w:tr>
      <w:tr>
        <w:trPr>
          <w:trHeight w:val="39"/>
        </w:trPr>
        <w:tc>
          <w:tcPr>
            <w:tcW w:w="3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i w:val="1"/>
                <w:iCs w:val="1"/>
                <w:color w:val="auto"/>
              </w:rPr>
              <w:t>Other comprehensive loss</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36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(13,515)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(13,515)</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w w:val="97"/>
              </w:rPr>
              <w:t>Net unrealized gains (losses) on investments in securities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98"/>
        </w:trPr>
        <w:tc>
          <w:tcPr>
            <w:tcW w:w="3840" w:type="dxa"/>
            <w:vAlign w:val="bottom"/>
            <w:tcBorders>
              <w:top w:val="single" w:sz="8" w:color="CCEEFF"/>
            </w:tcBorders>
          </w:tcPr>
          <w:p>
            <w:pPr>
              <w:ind w:left="180"/>
              <w:spacing w:after="0"/>
              <w:rPr>
                <w:sz w:val="20"/>
                <w:szCs w:val="20"/>
                <w:color w:val="auto"/>
              </w:rPr>
            </w:pPr>
            <w:r>
              <w:rPr>
                <w:rFonts w:ascii="Arial" w:cs="Arial" w:eastAsia="Arial" w:hAnsi="Arial"/>
                <w:sz w:val="14"/>
                <w:szCs w:val="14"/>
                <w:color w:val="auto"/>
              </w:rPr>
              <w:t>Comprehensive loss</w:t>
            </w: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(11,287)</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27,503,100</w:t>
            </w:r>
          </w:p>
        </w:tc>
        <w:tc>
          <w:tcPr>
            <w:tcW w:w="960" w:type="dxa"/>
            <w:vAlign w:val="bottom"/>
            <w:gridSpan w:val="2"/>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475,740</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381,079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(36,149)</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820,698</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22860</wp:posOffset>
            </wp:positionV>
            <wp:extent cx="1954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5"/>
        </w:trPr>
        <w:tc>
          <w:tcPr>
            <w:tcW w:w="8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2,276</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7,652</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20,274</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8,428</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(5,653)</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finance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Loss on foreign currency translation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Impairments related to closure of Japan business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Gain on disposal of property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8160" w:type="dxa"/>
            <w:vAlign w:val="bottom"/>
          </w:tcPr>
          <w:p>
            <w:pPr>
              <w:ind w:left="5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(5,748)</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(1,783)</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Accrued liabilities and 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8,115</w:t>
            </w:r>
          </w:p>
        </w:tc>
      </w:tr>
      <w:tr>
        <w:trPr>
          <w:trHeight w:val="27"/>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31,040</w:t>
            </w:r>
          </w:p>
        </w:tc>
      </w:tr>
      <w:tr>
        <w:trPr>
          <w:trHeight w:val="142"/>
        </w:trPr>
        <w:tc>
          <w:tcPr>
            <w:tcW w:w="81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Purchases of property, equipment and other capital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(6,030)</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 of property, equipment and other capital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(38,882)</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64"/>
        </w:trPr>
        <w:tc>
          <w:tcPr>
            <w:tcW w:w="8160" w:type="dxa"/>
            <w:vAlign w:val="bottom"/>
          </w:tcPr>
          <w:p>
            <w:pPr>
              <w:ind w:left="20"/>
              <w:spacing w:after="0"/>
              <w:rPr>
                <w:sz w:val="20"/>
                <w:szCs w:val="20"/>
                <w:color w:val="auto"/>
              </w:rPr>
            </w:pPr>
            <w:r>
              <w:rPr>
                <w:rFonts w:ascii="Arial" w:cs="Arial" w:eastAsia="Arial" w:hAnsi="Arial"/>
                <w:sz w:val="18"/>
                <w:szCs w:val="18"/>
                <w:color w:val="auto"/>
              </w:rPr>
              <w:t>Proceeds from call redemptions and maturities of marketable securities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14,020</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w:t>
            </w:r>
          </w:p>
        </w:tc>
      </w:tr>
      <w:tr>
        <w:trPr>
          <w:trHeight w:val="263"/>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(36,516)</w:t>
            </w:r>
          </w:p>
        </w:tc>
      </w:tr>
      <w:tr>
        <w:trPr>
          <w:trHeight w:val="162"/>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Proceeds from exercises of stock options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2,311</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shares withheld for tax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(5,239)</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repayments of finance lease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36"/>
        </w:trPr>
        <w:tc>
          <w:tcPr>
            <w:tcW w:w="8160" w:type="dxa"/>
            <w:vAlign w:val="bottom"/>
          </w:tcPr>
          <w:p>
            <w:pPr>
              <w:ind w:left="36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(29,666)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(4,821)</w:t>
            </w:r>
          </w:p>
        </w:tc>
      </w:tr>
      <w:tr>
        <w:trPr>
          <w:trHeight w:val="27"/>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(11,263)</w:t>
            </w:r>
          </w:p>
        </w:tc>
      </w:tr>
      <w:tr>
        <w:trPr>
          <w:trHeight w:val="27"/>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65,929</w:t>
            </w:r>
          </w:p>
        </w:tc>
      </w:tr>
      <w:tr>
        <w:trPr>
          <w:trHeight w:val="26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66,493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54,666</w:t>
            </w:r>
          </w:p>
        </w:tc>
      </w:tr>
      <w:tr>
        <w:trPr>
          <w:trHeight w:val="21"/>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15"/>
        </w:trPr>
        <w:tc>
          <w:tcPr>
            <w:tcW w:w="8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w:t>
      </w:r>
      <w:r>
        <w:rPr>
          <w:rFonts w:ascii="Arial" w:cs="Arial" w:eastAsia="Arial" w:hAnsi="Arial"/>
          <w:sz w:val="18"/>
          <w:szCs w:val="18"/>
          <w:i w:val="1"/>
          <w:iCs w:val="1"/>
          <w:color w:val="auto"/>
        </w:rPr>
        <w:t>.</w:t>
      </w:r>
      <w:r>
        <w:rPr>
          <w:rFonts w:ascii="Arial" w:cs="Arial" w:eastAsia="Arial" w:hAnsi="Arial"/>
          <w:sz w:val="18"/>
          <w:szCs w:val="18"/>
          <w:color w:val="auto"/>
        </w:rPr>
        <w:t xml:space="preserve">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 be expected for the fiscal year as a whole.</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2022, as filed with the Securities and Exchange Commission (SEC) on February 21, 2023</w:t>
      </w:r>
      <w:r>
        <w:rPr>
          <w:rFonts w:ascii="Arial" w:cs="Arial" w:eastAsia="Arial" w:hAnsi="Arial"/>
          <w:sz w:val="18"/>
          <w:szCs w:val="18"/>
          <w:i w:val="1"/>
          <w:iCs w:val="1"/>
          <w:color w:val="auto"/>
        </w:rPr>
        <w:t>.</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accompanying Consolidated Balance Sheet as of December 31, 2022 was derived from the audited Consolidated Financial Statements but does not include all disclosures required by U.S. GAAP for a full set of financial statements. This Quarterly Report on Form 10-Q should be read in conjunction with the Company’s Consolidated Financial Statements and Notes included in the Company's Annual Report on Form 10-K filed on February 21, 2023 as referenced above.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recently adopt any accounting pronouncements that had a material impact on the Company's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There are no pending accounting pronouncements that are expected to have a material impact on the Company's Consolidated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Net (Loss) Income per Common Share</w:t>
      </w:r>
    </w:p>
    <w:p>
      <w:pPr>
        <w:spacing w:after="0" w:line="18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Basic net (loss) income per share is computed based on the weighted-average number of common shares outstanding. Diluted net (loss)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Performance stock units are excluded from the calculation of dilutive potential common shares until the performance conditions have been satisfied. Anti-dilutive options were excluded from the calculation of diluted weighted average shares outstanding and were 380,848 and 220,776 for the three months ended June 30, 2023 and 2022</w:t>
      </w:r>
      <w:r>
        <w:rPr>
          <w:rFonts w:ascii="Arial" w:cs="Arial" w:eastAsia="Arial" w:hAnsi="Arial"/>
          <w:sz w:val="16"/>
          <w:szCs w:val="16"/>
          <w:i w:val="1"/>
          <w:iCs w:val="1"/>
          <w:color w:val="auto"/>
        </w:rPr>
        <w:t>,</w:t>
      </w:r>
      <w:r>
        <w:rPr>
          <w:rFonts w:ascii="Arial" w:cs="Arial" w:eastAsia="Arial" w:hAnsi="Arial"/>
          <w:sz w:val="16"/>
          <w:szCs w:val="16"/>
          <w:color w:val="auto"/>
        </w:rPr>
        <w:t xml:space="preserve"> respectively, and 407,119 and 208,840 for the six months ended June 30, 2023 and 2022, respectively.</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computation of basic and diluted net (loss)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 except share and per share amounts)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5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w:t>
            </w:r>
          </w:p>
        </w:tc>
      </w:tr>
      <w:tr>
        <w:trPr>
          <w:trHeight w:val="270"/>
        </w:trPr>
        <w:tc>
          <w:tcPr>
            <w:tcW w:w="4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 weighted-average shares outstanding:</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26,210,478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27,530,739</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26,414,467</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27,515,583</w:t>
            </w: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4860" w:type="dxa"/>
            <w:vAlign w:val="bottom"/>
            <w:tcBorders>
              <w:bottom w:val="single" w:sz="8" w:color="CCEEFF"/>
            </w:tcBorders>
            <w:shd w:val="clear" w:color="auto" w:fill="CCEEFF"/>
          </w:tcPr>
          <w:p>
            <w:pPr>
              <w:ind w:left="360"/>
              <w:spacing w:after="0" w:line="263" w:lineRule="exact"/>
              <w:rPr>
                <w:sz w:val="20"/>
                <w:szCs w:val="20"/>
                <w:color w:val="auto"/>
              </w:rPr>
            </w:pPr>
            <w:r>
              <w:rPr>
                <w:rFonts w:ascii="Arial" w:cs="Arial" w:eastAsia="Arial" w:hAnsi="Arial"/>
                <w:sz w:val="18"/>
                <w:szCs w:val="18"/>
                <w:color w:val="auto"/>
              </w:rPr>
              <w:t>Employee stock options and other</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6,084</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30,960</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8,436</w:t>
            </w:r>
          </w:p>
        </w:tc>
      </w:tr>
      <w:tr>
        <w:trPr>
          <w:trHeight w:val="263"/>
        </w:trPr>
        <w:tc>
          <w:tcPr>
            <w:tcW w:w="4860" w:type="dxa"/>
            <w:vAlign w:val="bottom"/>
          </w:tcPr>
          <w:p>
            <w:pPr>
              <w:ind w:left="20"/>
              <w:spacing w:after="0"/>
              <w:rPr>
                <w:sz w:val="20"/>
                <w:szCs w:val="20"/>
                <w:color w:val="auto"/>
              </w:rPr>
            </w:pPr>
            <w:r>
              <w:rPr>
                <w:rFonts w:ascii="Arial" w:cs="Arial" w:eastAsia="Arial" w:hAnsi="Arial"/>
                <w:sz w:val="18"/>
                <w:szCs w:val="18"/>
                <w:color w:val="auto"/>
              </w:rPr>
              <w:t>Diluted - weighted-average shares outstanding:</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26,210,478</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27,536,823</w:t>
            </w:r>
          </w:p>
        </w:tc>
        <w:tc>
          <w:tcPr>
            <w:tcW w:w="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26,445,427</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27,524,019</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per share: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486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0.09</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0.09</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exact"/>
        <w:rPr>
          <w:sz w:val="20"/>
          <w:szCs w:val="20"/>
          <w:color w:val="auto"/>
        </w:rPr>
      </w:pPr>
    </w:p>
    <w:p>
      <w:pPr>
        <w:ind w:left="20" w:right="240" w:firstLine="6"/>
        <w:spacing w:after="0" w:line="227" w:lineRule="auto"/>
        <w:tabs>
          <w:tab w:leader="none" w:pos="123"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June 30, 2023, 14,084 of dilutive securities for employee stock options and other were not included in the diluted weighted average shares outstanding due to the net loss for the three months ended June 30, 2023.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and Other Intangible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the carrying amount of goodwill during the three and six months ended June 30,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at June 30, 2023 and December 31,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4"/>
              </w:rPr>
              <w:t>June 30, 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0"/>
              </w:rPr>
              <w:t>December 31, 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43"/>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center"/>
              <w:spacing w:after="0" w:line="176" w:lineRule="exact"/>
              <w:rPr>
                <w:sz w:val="20"/>
                <w:szCs w:val="20"/>
                <w:color w:val="auto"/>
              </w:rPr>
            </w:pPr>
            <w:r>
              <w:rPr>
                <w:rFonts w:ascii="Arial" w:cs="Arial" w:eastAsia="Arial" w:hAnsi="Arial"/>
                <w:sz w:val="16"/>
                <w:szCs w:val="16"/>
                <w:b w:val="1"/>
                <w:bCs w:val="1"/>
                <w:color w:val="auto"/>
                <w:w w:val="92"/>
              </w:rPr>
              <w:t>Useful Life</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139"/>
              <w:spacing w:after="0" w:line="182" w:lineRule="exact"/>
              <w:rPr>
                <w:sz w:val="20"/>
                <w:szCs w:val="20"/>
                <w:color w:val="auto"/>
              </w:rPr>
            </w:pPr>
            <w:r>
              <w:rPr>
                <w:rFonts w:ascii="Arial" w:cs="Arial" w:eastAsia="Arial" w:hAnsi="Arial"/>
                <w:sz w:val="16"/>
                <w:szCs w:val="16"/>
                <w:b w:val="1"/>
                <w:bCs w:val="1"/>
                <w:color w:val="auto"/>
                <w:w w:val="95"/>
              </w:rPr>
              <w:t>Accumulated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19"/>
              <w:spacing w:after="0" w:line="182" w:lineRule="exact"/>
              <w:rPr>
                <w:sz w:val="20"/>
                <w:szCs w:val="20"/>
                <w:color w:val="auto"/>
              </w:rPr>
            </w:pPr>
            <w:r>
              <w:rPr>
                <w:rFonts w:ascii="Arial" w:cs="Arial" w:eastAsia="Arial" w:hAnsi="Arial"/>
                <w:sz w:val="16"/>
                <w:szCs w:val="16"/>
                <w:b w:val="1"/>
                <w:bCs w:val="1"/>
                <w:color w:val="auto"/>
                <w:w w:val="95"/>
              </w:rPr>
              <w:t>Accumulated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Useful</w:t>
            </w:r>
          </w:p>
        </w:tc>
        <w:tc>
          <w:tcPr>
            <w:tcW w:w="100" w:type="dxa"/>
            <w:vAlign w:val="bottom"/>
          </w:tcPr>
          <w:p>
            <w:pPr>
              <w:spacing w:after="0"/>
              <w:rPr>
                <w:sz w:val="15"/>
                <w:szCs w:val="15"/>
                <w:color w:val="auto"/>
              </w:rPr>
            </w:pPr>
          </w:p>
        </w:tc>
        <w:tc>
          <w:tcPr>
            <w:tcW w:w="12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2"/>
              </w:rPr>
              <w:t>Remaining</w:t>
            </w:r>
          </w:p>
        </w:tc>
        <w:tc>
          <w:tcPr>
            <w:tcW w:w="0" w:type="dxa"/>
            <w:vAlign w:val="bottom"/>
          </w:tcPr>
          <w:p>
            <w:pPr>
              <w:spacing w:after="0"/>
              <w:rPr>
                <w:sz w:val="1"/>
                <w:szCs w:val="1"/>
                <w:color w:val="auto"/>
              </w:rPr>
            </w:pPr>
          </w:p>
        </w:tc>
      </w:tr>
      <w:tr>
        <w:trPr>
          <w:trHeight w:val="223"/>
        </w:trPr>
        <w:tc>
          <w:tcPr>
            <w:tcW w:w="19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Gross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Gross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8"/>
              </w:rPr>
              <w:t>Amortization</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 (in years)</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years)</w:t>
            </w:r>
          </w:p>
        </w:tc>
        <w:tc>
          <w:tcPr>
            <w:tcW w:w="0" w:type="dxa"/>
            <w:vAlign w:val="bottom"/>
          </w:tcPr>
          <w:p>
            <w:pPr>
              <w:spacing w:after="0"/>
              <w:rPr>
                <w:sz w:val="1"/>
                <w:szCs w:val="1"/>
                <w:color w:val="auto"/>
              </w:rPr>
            </w:pPr>
          </w:p>
        </w:tc>
      </w:tr>
      <w:tr>
        <w:trPr>
          <w:trHeight w:val="193"/>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with finite</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lives: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20"/>
              <w:spacing w:after="0"/>
              <w:rPr>
                <w:sz w:val="20"/>
                <w:szCs w:val="20"/>
                <w:color w:val="auto"/>
              </w:rPr>
            </w:pPr>
            <w:r>
              <w:rPr>
                <w:rFonts w:ascii="Arial" w:cs="Arial" w:eastAsia="Arial" w:hAnsi="Arial"/>
                <w:sz w:val="16"/>
                <w:szCs w:val="16"/>
                <w:color w:val="auto"/>
              </w:rPr>
              <w:t>Marketing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930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(852)</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930</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(806)</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124</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89"/>
              </w:rPr>
              <w:t>10.0</w:t>
            </w:r>
          </w:p>
        </w:tc>
        <w:tc>
          <w:tcPr>
            <w:tcW w:w="1320" w:type="dxa"/>
            <w:vAlign w:val="bottom"/>
            <w:gridSpan w:val="2"/>
          </w:tcPr>
          <w:p>
            <w:pPr>
              <w:jc w:val="center"/>
              <w:spacing w:after="0"/>
              <w:rPr>
                <w:sz w:val="20"/>
                <w:szCs w:val="20"/>
                <w:color w:val="auto"/>
              </w:rPr>
            </w:pPr>
            <w:r>
              <w:rPr>
                <w:rFonts w:ascii="Arial" w:cs="Arial" w:eastAsia="Arial" w:hAnsi="Arial"/>
                <w:sz w:val="16"/>
                <w:szCs w:val="16"/>
                <w:color w:val="auto"/>
                <w:w w:val="89"/>
              </w:rPr>
              <w:t>0.8</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Non-compete agreement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1"/>
              </w:rPr>
              <w:t>2.0 - 5.0</w:t>
            </w:r>
          </w:p>
        </w:tc>
        <w:tc>
          <w:tcPr>
            <w:tcW w:w="1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1.8</w:t>
            </w:r>
          </w:p>
        </w:tc>
        <w:tc>
          <w:tcPr>
            <w:tcW w:w="0" w:type="dxa"/>
            <w:vAlign w:val="bottom"/>
          </w:tcPr>
          <w:p>
            <w:pPr>
              <w:spacing w:after="0"/>
              <w:rPr>
                <w:sz w:val="1"/>
                <w:szCs w:val="1"/>
                <w:color w:val="auto"/>
              </w:rPr>
            </w:pPr>
          </w:p>
        </w:tc>
      </w:tr>
      <w:tr>
        <w:trPr>
          <w:trHeight w:val="220"/>
        </w:trPr>
        <w:tc>
          <w:tcPr>
            <w:tcW w:w="1960" w:type="dxa"/>
            <w:vAlign w:val="bottom"/>
          </w:tcPr>
          <w:p>
            <w:pPr>
              <w:ind w:left="20"/>
              <w:spacing w:after="0"/>
              <w:rPr>
                <w:sz w:val="20"/>
                <w:szCs w:val="20"/>
                <w:color w:val="auto"/>
              </w:rPr>
            </w:pPr>
            <w:r>
              <w:rPr>
                <w:rFonts w:ascii="Arial" w:cs="Arial" w:eastAsia="Arial" w:hAnsi="Arial"/>
                <w:sz w:val="16"/>
                <w:szCs w:val="16"/>
                <w:color w:val="auto"/>
              </w:rPr>
              <w:t>Software technology</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13,229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13,229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6,846</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89"/>
              </w:rPr>
              <w:t>10.0</w:t>
            </w:r>
          </w:p>
        </w:tc>
        <w:tc>
          <w:tcPr>
            <w:tcW w:w="1320" w:type="dxa"/>
            <w:vAlign w:val="bottom"/>
            <w:gridSpan w:val="2"/>
          </w:tcPr>
          <w:p>
            <w:pPr>
              <w:jc w:val="center"/>
              <w:spacing w:after="0"/>
              <w:rPr>
                <w:sz w:val="20"/>
                <w:szCs w:val="20"/>
                <w:color w:val="auto"/>
              </w:rPr>
            </w:pPr>
            <w:r>
              <w:rPr>
                <w:rFonts w:ascii="Arial" w:cs="Arial" w:eastAsia="Arial" w:hAnsi="Arial"/>
                <w:sz w:val="16"/>
                <w:szCs w:val="16"/>
                <w:color w:val="auto"/>
                <w:w w:val="89"/>
              </w:rPr>
              <w:t>4.5</w:t>
            </w:r>
          </w:p>
        </w:tc>
        <w:tc>
          <w:tcPr>
            <w:tcW w:w="0" w:type="dxa"/>
            <w:vAlign w:val="bottom"/>
          </w:tcPr>
          <w:p>
            <w:pPr>
              <w:spacing w:after="0"/>
              <w:rPr>
                <w:sz w:val="1"/>
                <w:szCs w:val="1"/>
                <w:color w:val="auto"/>
              </w:rPr>
            </w:pPr>
          </w:p>
        </w:tc>
      </w:tr>
      <w:tr>
        <w:trPr>
          <w:trHeight w:val="233"/>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Software platform</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21,717</w:t>
            </w:r>
          </w:p>
        </w:tc>
        <w:tc>
          <w:tcPr>
            <w:tcW w:w="12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12.0</w:t>
            </w:r>
          </w:p>
        </w:tc>
        <w:tc>
          <w:tcPr>
            <w:tcW w:w="1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9.6</w:t>
            </w:r>
          </w:p>
        </w:tc>
        <w:tc>
          <w:tcPr>
            <w:tcW w:w="0" w:type="dxa"/>
            <w:vAlign w:val="bottom"/>
          </w:tcPr>
          <w:p>
            <w:pPr>
              <w:spacing w:after="0"/>
              <w:rPr>
                <w:sz w:val="1"/>
                <w:szCs w:val="1"/>
                <w:color w:val="auto"/>
              </w:rPr>
            </w:pPr>
          </w:p>
        </w:tc>
      </w:tr>
      <w:tr>
        <w:trPr>
          <w:trHeight w:val="210"/>
        </w:trPr>
        <w:tc>
          <w:tcPr>
            <w:tcW w:w="1960" w:type="dxa"/>
            <w:vAlign w:val="bottom"/>
          </w:tcPr>
          <w:p>
            <w:pPr>
              <w:ind w:left="20"/>
              <w:spacing w:after="0"/>
              <w:rPr>
                <w:sz w:val="20"/>
                <w:szCs w:val="20"/>
                <w:color w:val="auto"/>
              </w:rPr>
            </w:pPr>
            <w:r>
              <w:rPr>
                <w:rFonts w:ascii="Arial" w:cs="Arial" w:eastAsia="Arial" w:hAnsi="Arial"/>
                <w:sz w:val="16"/>
                <w:szCs w:val="16"/>
                <w:color w:val="auto"/>
              </w:rPr>
              <w:t>Tradenames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123</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89"/>
              </w:rPr>
              <w:t>3.0</w:t>
            </w:r>
          </w:p>
        </w:tc>
        <w:tc>
          <w:tcPr>
            <w:tcW w:w="1320" w:type="dxa"/>
            <w:vAlign w:val="bottom"/>
            <w:gridSpan w:val="2"/>
          </w:tcPr>
          <w:p>
            <w:pPr>
              <w:jc w:val="center"/>
              <w:spacing w:after="0"/>
              <w:rPr>
                <w:sz w:val="20"/>
                <w:szCs w:val="20"/>
                <w:color w:val="auto"/>
              </w:rPr>
            </w:pPr>
            <w:r>
              <w:rPr>
                <w:rFonts w:ascii="Arial" w:cs="Arial" w:eastAsia="Arial" w:hAnsi="Arial"/>
                <w:sz w:val="16"/>
                <w:szCs w:val="16"/>
                <w:color w:val="auto"/>
                <w:w w:val="89"/>
              </w:rPr>
              <w:t>0.6</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2,099</w:t>
            </w:r>
          </w:p>
        </w:tc>
        <w:tc>
          <w:tcPr>
            <w:tcW w:w="12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1"/>
              </w:rPr>
              <w:t>3.0 - 9.0</w:t>
            </w:r>
          </w:p>
        </w:tc>
        <w:tc>
          <w:tcPr>
            <w:tcW w:w="1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0.4</w:t>
            </w:r>
          </w:p>
        </w:tc>
        <w:tc>
          <w:tcPr>
            <w:tcW w:w="0" w:type="dxa"/>
            <w:vAlign w:val="bottom"/>
          </w:tcPr>
          <w:p>
            <w:pPr>
              <w:spacing w:after="0"/>
              <w:rPr>
                <w:sz w:val="1"/>
                <w:szCs w:val="1"/>
                <w:color w:val="auto"/>
              </w:rPr>
            </w:pPr>
          </w:p>
        </w:tc>
      </w:tr>
      <w:tr>
        <w:trPr>
          <w:trHeight w:val="240"/>
        </w:trPr>
        <w:tc>
          <w:tcPr>
            <w:tcW w:w="196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53,803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(25,450)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28,353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53,588</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(22,338)</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31,250</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19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Intangible assets allocated to the acquired Hubs entities consisted of intangible assets of €11.6 million in Europe and $16.6 million in the United States as of the date of the acquisition. The Euro denominated intangible assets are translated at the end of each period using the current exchange rates resulting in a foreign currency translation adjustment that is recorded as a component of Other Comprehensive Income. Foreign currency losses related to intangible assets were $1.5 million and $1.7 million as of June 30, 2023 and December 31, 2022, respectively. Amortization expense for intangible assets was $1.5 million for each of the three months ended June 30, 2023 and 2022 and $3.1 million for each of the six months ended June 30, 2023 and 2022,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Estimated aggregated amortization expense based on the current carrying value of the amortizable intangible assets and current exchange rates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9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Amortization</w:t>
            </w:r>
          </w:p>
        </w:tc>
      </w:tr>
      <w:tr>
        <w:trPr>
          <w:trHeight w:val="255"/>
        </w:trPr>
        <w:tc>
          <w:tcPr>
            <w:tcW w:w="97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Expense</w:t>
            </w:r>
          </w:p>
        </w:tc>
      </w:tr>
      <w:tr>
        <w:trPr>
          <w:trHeight w:val="256"/>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3,741</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r>
      <w:tr>
        <w:trPr>
          <w:trHeight w:val="250"/>
        </w:trPr>
        <w:tc>
          <w:tcPr>
            <w:tcW w:w="972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3,542</w:t>
            </w:r>
          </w:p>
        </w:tc>
      </w:tr>
      <w:tr>
        <w:trPr>
          <w:trHeight w:val="263"/>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r>
      <w:tr>
        <w:trPr>
          <w:trHeight w:val="256"/>
        </w:trPr>
        <w:tc>
          <w:tcPr>
            <w:tcW w:w="97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10,999</w:t>
            </w:r>
          </w:p>
        </w:tc>
      </w:tr>
      <w:tr>
        <w:trPr>
          <w:trHeight w:val="275"/>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estimated amortization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28,353</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97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02" w:lineRule="exact"/>
        <w:rPr>
          <w:sz w:val="20"/>
          <w:szCs w:val="20"/>
          <w:color w:val="auto"/>
        </w:rPr>
      </w:pPr>
    </w:p>
    <w:p>
      <w:pPr>
        <w:jc w:val="both"/>
        <w:ind w:right="320"/>
        <w:spacing w:after="0" w:line="279" w:lineRule="auto"/>
        <w:rPr>
          <w:sz w:val="20"/>
          <w:szCs w:val="20"/>
          <w:color w:val="auto"/>
        </w:rPr>
      </w:pPr>
      <w:r>
        <w:rPr>
          <w:rFonts w:ascii="Arial" w:cs="Arial" w:eastAsia="Arial" w:hAnsi="Arial"/>
          <w:sz w:val="17"/>
          <w:szCs w:val="17"/>
          <w:color w:val="auto"/>
        </w:rPr>
        <w:t xml:space="preserve">Accounting Standards Codification, </w:t>
      </w:r>
      <w:r>
        <w:rPr>
          <w:rFonts w:ascii="Arial" w:cs="Arial" w:eastAsia="Arial" w:hAnsi="Arial"/>
          <w:sz w:val="17"/>
          <w:szCs w:val="17"/>
          <w:i w:val="1"/>
          <w:iCs w:val="1"/>
          <w:color w:val="auto"/>
        </w:rPr>
        <w:t>Fair Value Measuremen</w:t>
      </w:r>
      <w:r>
        <w:rPr>
          <w:rFonts w:ascii="Arial" w:cs="Arial" w:eastAsia="Arial" w:hAnsi="Arial"/>
          <w:sz w:val="17"/>
          <w:szCs w:val="17"/>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 be used to measure fair value: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w:t>
      </w:r>
      <w:r>
        <w:rPr>
          <w:rFonts w:ascii="Arial" w:cs="Arial" w:eastAsia="Arial" w:hAnsi="Arial"/>
          <w:sz w:val="18"/>
          <w:szCs w:val="18"/>
          <w:color w:val="auto"/>
        </w:rPr>
        <w:t>1</w:t>
      </w:r>
      <w:r>
        <w:rPr>
          <w:rFonts w:ascii="Arial" w:cs="Arial" w:eastAsia="Arial" w:hAnsi="Arial"/>
          <w:sz w:val="18"/>
          <w:szCs w:val="18"/>
          <w:i w:val="1"/>
          <w:iCs w:val="1"/>
          <w:color w:val="auto"/>
        </w:rPr>
        <w:t>—</w:t>
      </w:r>
      <w:r>
        <w:rPr>
          <w:rFonts w:ascii="Arial" w:cs="Arial" w:eastAsia="Arial" w:hAnsi="Arial"/>
          <w:sz w:val="18"/>
          <w:szCs w:val="18"/>
          <w:color w:val="auto"/>
        </w:rPr>
        <w:t>Quoted prices in active markets for identical assets or liabilities.</w:t>
      </w:r>
    </w:p>
    <w:p>
      <w:pPr>
        <w:spacing w:after="0" w:line="18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 xml:space="preserve">Level </w:t>
      </w:r>
      <w:r>
        <w:rPr>
          <w:rFonts w:ascii="Arial" w:cs="Arial" w:eastAsia="Arial" w:hAnsi="Arial"/>
          <w:sz w:val="16"/>
          <w:szCs w:val="16"/>
          <w:color w:val="auto"/>
        </w:rPr>
        <w:t>2</w:t>
      </w:r>
      <w:r>
        <w:rPr>
          <w:rFonts w:ascii="Arial" w:cs="Arial" w:eastAsia="Arial" w:hAnsi="Arial"/>
          <w:sz w:val="16"/>
          <w:szCs w:val="16"/>
          <w:i w:val="1"/>
          <w:iCs w:val="1"/>
          <w:color w:val="auto"/>
        </w:rPr>
        <w:t>—</w:t>
      </w:r>
      <w:r>
        <w:rPr>
          <w:rFonts w:ascii="Arial" w:cs="Arial" w:eastAsia="Arial" w:hAnsi="Arial"/>
          <w:sz w:val="16"/>
          <w:szCs w:val="16"/>
          <w:color w:val="auto"/>
        </w:rPr>
        <w:t>Observable inputs other than Level 1 prices such as quoted prices for similar assets or liabilities; quoted prices in markets that are</w:t>
      </w:r>
      <w:r>
        <w:rPr>
          <w:rFonts w:ascii="Arial" w:cs="Arial" w:eastAsia="Arial" w:hAnsi="Arial"/>
          <w:sz w:val="16"/>
          <w:szCs w:val="16"/>
          <w:i w:val="1"/>
          <w:iCs w:val="1"/>
          <w:color w:val="auto"/>
        </w:rPr>
        <w:t xml:space="preserve"> not </w:t>
      </w:r>
      <w:r>
        <w:rPr>
          <w:rFonts w:ascii="Arial" w:cs="Arial" w:eastAsia="Arial" w:hAnsi="Arial"/>
          <w:sz w:val="16"/>
          <w:szCs w:val="16"/>
          <w:color w:val="auto"/>
        </w:rPr>
        <w:t>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w:t>
      </w:r>
      <w:r>
        <w:rPr>
          <w:rFonts w:ascii="Arial" w:cs="Arial" w:eastAsia="Arial" w:hAnsi="Arial"/>
          <w:sz w:val="17"/>
          <w:szCs w:val="17"/>
          <w:color w:val="auto"/>
        </w:rPr>
        <w:t>3</w:t>
      </w:r>
      <w:r>
        <w:rPr>
          <w:rFonts w:ascii="Arial" w:cs="Arial" w:eastAsia="Arial" w:hAnsi="Arial"/>
          <w:sz w:val="17"/>
          <w:szCs w:val="17"/>
          <w:i w:val="1"/>
          <w:iCs w:val="1"/>
          <w:color w:val="auto"/>
        </w:rPr>
        <w:t>—</w:t>
      </w:r>
      <w:r>
        <w:rPr>
          <w:rFonts w:ascii="Arial" w:cs="Arial" w:eastAsia="Arial" w:hAnsi="Arial"/>
          <w:sz w:val="17"/>
          <w:szCs w:val="17"/>
          <w:color w:val="auto"/>
        </w:rPr>
        <w:t>Unobservable inputs that are supported by little or</w:t>
      </w:r>
      <w:r>
        <w:rPr>
          <w:rFonts w:ascii="Arial" w:cs="Arial" w:eastAsia="Arial" w:hAnsi="Arial"/>
          <w:sz w:val="17"/>
          <w:szCs w:val="17"/>
          <w:i w:val="1"/>
          <w:iCs w:val="1"/>
          <w:color w:val="auto"/>
        </w:rPr>
        <w:t xml:space="preserve"> no </w:t>
      </w:r>
      <w:r>
        <w:rPr>
          <w:rFonts w:ascii="Arial" w:cs="Arial" w:eastAsia="Arial" w:hAnsi="Arial"/>
          <w:sz w:val="17"/>
          <w:szCs w:val="17"/>
          <w:color w:val="auto"/>
        </w:rPr>
        <w:t>market activity and that are significant to the fair value of the assets or liabilities.</w:t>
      </w:r>
    </w:p>
    <w:p>
      <w:pPr>
        <w:spacing w:after="0" w:line="19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Company's assets and liabilities that are required to be measured or disclosed at fair value on a recurring basis include cash and cash equivalents and marketable securities. The Company’s cash consists of bank deposits and cash equivalents consist primarily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assets as of June 30, 2023 and December 31, 2022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June 30, 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December 31, 2022</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336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2"/>
                <w:szCs w:val="22"/>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Level 2</w:t>
            </w:r>
          </w:p>
        </w:tc>
        <w:tc>
          <w:tcPr>
            <w:tcW w:w="200" w:type="dxa"/>
            <w:vAlign w:val="bottom"/>
          </w:tcPr>
          <w:p>
            <w:pPr>
              <w:spacing w:after="0"/>
              <w:rPr>
                <w:sz w:val="22"/>
                <w:szCs w:val="22"/>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56,768</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38,862</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mutual fund</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9,881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71,950</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66,439</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40,106</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3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Marketable Securities</w:t>
      </w:r>
    </w:p>
    <w:p>
      <w:pPr>
        <w:spacing w:after="0" w:line="1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invests in short-term and long-term agency, municipal, corporate and other debt securities. The securities are categorized as available-for-sale and are recorded at fair value. The following table summarizes information regarding the Company’s short-term and long-term marketable securities as of June 30,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June 30, 2023</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Unrealized Gains</w:t>
            </w:r>
          </w:p>
        </w:tc>
        <w:tc>
          <w:tcPr>
            <w:tcW w:w="1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Unrealized Losses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municipal securities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68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11,936</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3,957</w:t>
            </w: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20,150</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Certificates of deposit/time deposits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37,315</w:t>
            </w:r>
          </w:p>
        </w:tc>
        <w:tc>
          <w:tcPr>
            <w:tcW w:w="68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36,289</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96"/>
        </w:trPr>
        <w:tc>
          <w:tcPr>
            <w:tcW w:w="49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r>
        <w:trPr>
          <w:trHeight w:val="290"/>
        </w:trPr>
        <w:tc>
          <w:tcPr>
            <w:tcW w:w="4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December 31, 2022</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Unrealized Gains</w:t>
            </w:r>
          </w:p>
        </w:tc>
        <w:tc>
          <w:tcPr>
            <w:tcW w:w="1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Unrealized Losses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municipal securities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15,574</w:t>
            </w:r>
          </w:p>
        </w:tc>
        <w:tc>
          <w:tcPr>
            <w:tcW w:w="56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15,157</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9,373</w:t>
            </w: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24,525</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Certificates of deposit/time deposits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932</w:t>
            </w:r>
          </w:p>
        </w:tc>
      </w:tr>
      <w:tr>
        <w:trPr>
          <w:trHeight w:val="27"/>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51,366</w:t>
            </w:r>
          </w:p>
        </w:tc>
        <w:tc>
          <w:tcPr>
            <w:tcW w:w="56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49,987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49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bl>
    <w:p>
      <w:pPr>
        <w:spacing w:after="0" w:line="25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Classification of marketable securities as current or non-current is based upon the security’s maturity date as of the date of these financial statements.</w:t>
      </w:r>
    </w:p>
    <w:p>
      <w:pPr>
        <w:spacing w:after="0" w:line="20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June 30, 2023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97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r>
      <w:tr>
        <w:trPr>
          <w:trHeight w:val="27"/>
        </w:trPr>
        <w:tc>
          <w:tcPr>
            <w:tcW w:w="9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19,945</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16,344</w:t>
            </w:r>
          </w:p>
        </w:tc>
      </w:tr>
      <w:tr>
        <w:trPr>
          <w:trHeight w:val="27"/>
        </w:trPr>
        <w:tc>
          <w:tcPr>
            <w:tcW w:w="9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36,289</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9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Inventory</w:t>
      </w:r>
    </w:p>
    <w:p>
      <w:pPr>
        <w:spacing w:after="0" w:line="189"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inventory consisted of the following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December 31,</w:t>
            </w:r>
          </w:p>
        </w:tc>
      </w:tr>
      <w:tr>
        <w:trPr>
          <w:trHeight w:val="255"/>
        </w:trPr>
        <w:tc>
          <w:tcPr>
            <w:tcW w:w="816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13,965</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Allowance for obsolescence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7"/>
        </w:trPr>
        <w:tc>
          <w:tcPr>
            <w:tcW w:w="8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net of allowance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8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18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Company’s 2012 Long-Term Incentive Plan, as amended (the 2012 Plan), the Company had the ability to grant stock options, stock appreciation rights (SARs), restricted stock, restricted stock units, other stock-based awards and cash incentive awards through February 23, 2022</w:t>
      </w:r>
      <w:r>
        <w:rPr>
          <w:rFonts w:ascii="Arial" w:cs="Arial" w:eastAsia="Arial" w:hAnsi="Arial"/>
          <w:sz w:val="16"/>
          <w:szCs w:val="16"/>
          <w:i w:val="1"/>
          <w:iCs w:val="1"/>
          <w:color w:val="auto"/>
        </w:rPr>
        <w:t>.</w:t>
      </w:r>
      <w:r>
        <w:rPr>
          <w:rFonts w:ascii="Arial" w:cs="Arial" w:eastAsia="Arial" w:hAnsi="Arial"/>
          <w:sz w:val="16"/>
          <w:szCs w:val="16"/>
          <w:color w:val="auto"/>
        </w:rPr>
        <w:t xml:space="preserve"> On July 8, 2022</w:t>
      </w:r>
      <w:r>
        <w:rPr>
          <w:rFonts w:ascii="Arial" w:cs="Arial" w:eastAsia="Arial" w:hAnsi="Arial"/>
          <w:sz w:val="16"/>
          <w:szCs w:val="16"/>
          <w:i w:val="1"/>
          <w:iCs w:val="1"/>
          <w:color w:val="auto"/>
        </w:rPr>
        <w:t>,</w:t>
      </w:r>
      <w:r>
        <w:rPr>
          <w:rFonts w:ascii="Arial" w:cs="Arial" w:eastAsia="Arial" w:hAnsi="Arial"/>
          <w:sz w:val="16"/>
          <w:szCs w:val="16"/>
          <w:color w:val="auto"/>
        </w:rPr>
        <w:t xml:space="preserve"> the board of directors approved the Proto Labs, Inc. 2022 Long-Term Incentive Plan (the 2022 Plan), which was approved by the Company's shareholders at a Special Meeting of Shareholders on August 29, 2022</w:t>
      </w:r>
      <w:r>
        <w:rPr>
          <w:rFonts w:ascii="Arial" w:cs="Arial" w:eastAsia="Arial" w:hAnsi="Arial"/>
          <w:sz w:val="16"/>
          <w:szCs w:val="16"/>
          <w:i w:val="1"/>
          <w:iCs w:val="1"/>
          <w:color w:val="auto"/>
        </w:rPr>
        <w:t>.</w:t>
      </w:r>
      <w:r>
        <w:rPr>
          <w:rFonts w:ascii="Arial" w:cs="Arial" w:eastAsia="Arial" w:hAnsi="Arial"/>
          <w:sz w:val="16"/>
          <w:szCs w:val="16"/>
          <w:color w:val="auto"/>
        </w:rPr>
        <w:t xml:space="preserve"> No awards were granted from February 23, 2022 to August 29, 2022</w:t>
      </w:r>
      <w:r>
        <w:rPr>
          <w:rFonts w:ascii="Arial" w:cs="Arial" w:eastAsia="Arial" w:hAnsi="Arial"/>
          <w:sz w:val="16"/>
          <w:szCs w:val="16"/>
          <w:i w:val="1"/>
          <w:iCs w:val="1"/>
          <w:color w:val="auto"/>
        </w:rPr>
        <w:t>.</w:t>
      </w:r>
      <w:r>
        <w:rPr>
          <w:rFonts w:ascii="Arial" w:cs="Arial" w:eastAsia="Arial" w:hAnsi="Arial"/>
          <w:sz w:val="16"/>
          <w:szCs w:val="16"/>
          <w:color w:val="auto"/>
        </w:rPr>
        <w:t xml:space="preserve"> Awards outstanding under the 2012 Plan as of August 29, 2022 will continue to be subject to the terms of the 2012 Plan, but if those awards subsequently expire, are forfeited or cancelled or are settled in cash, the shares subject to those awards will become available for awards under the 2022 Plan. Under the 2022 Plan, the Company has the ability to grant stock options, stock appreciation rights (SARs), restricted stock, restricted stock units, other stock-based awards and cash incentive awards. Awards under the 2022 Plan have a maximum term of ten years from the date of grant. The compensation committee may 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per-share exercise price of stock options and SARs granted under the 2022 Plan generally may not be less than the fair market value of a share of our common stock on the date of the grant.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Stock-based compensation expense was $3.7 million and $4.0 million for the three months ended June 30, 2023 and 2022, respectively, and $7.4 million and $8.4 million for the six months ended June 30, 2023 and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8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8140" w:type="dxa"/>
            <w:vAlign w:val="bottom"/>
          </w:tcPr>
          <w:p>
            <w:pPr>
              <w:spacing w:after="0"/>
              <w:rPr>
                <w:sz w:val="20"/>
                <w:szCs w:val="20"/>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Stock Options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Exercise Price</w:t>
            </w:r>
          </w:p>
        </w:tc>
      </w:tr>
      <w:tr>
        <w:trPr>
          <w:trHeight w:val="27"/>
        </w:trPr>
        <w:tc>
          <w:tcPr>
            <w:tcW w:w="81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2022</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263,992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79.07</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186,804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33.36</w:t>
            </w:r>
          </w:p>
        </w:tc>
      </w:tr>
      <w:tr>
        <w:trPr>
          <w:trHeight w:val="27"/>
        </w:trPr>
        <w:tc>
          <w:tcPr>
            <w:tcW w:w="8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(35,702)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63.70</w:t>
            </w:r>
          </w:p>
        </w:tc>
      </w:tr>
      <w:tr>
        <w:trPr>
          <w:trHeight w:val="27"/>
        </w:trPr>
        <w:tc>
          <w:tcPr>
            <w:tcW w:w="8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55.67</w:t>
            </w:r>
          </w:p>
        </w:tc>
      </w:tr>
      <w:tr>
        <w:trPr>
          <w:trHeight w:val="270"/>
        </w:trPr>
        <w:tc>
          <w:tcPr>
            <w:tcW w:w="8140" w:type="dxa"/>
            <w:vAlign w:val="bottom"/>
          </w:tcPr>
          <w:p>
            <w:pPr>
              <w:ind w:left="20"/>
              <w:spacing w:after="0"/>
              <w:rPr>
                <w:sz w:val="20"/>
                <w:szCs w:val="20"/>
                <w:color w:val="auto"/>
              </w:rPr>
            </w:pPr>
            <w:r>
              <w:rPr>
                <w:rFonts w:ascii="Arial" w:cs="Arial" w:eastAsia="Arial" w:hAnsi="Arial"/>
                <w:sz w:val="18"/>
                <w:szCs w:val="18"/>
                <w:color w:val="auto"/>
              </w:rPr>
              <w:t>Options outstanding at June 30, 2023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399,246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59.99</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183"/>
        </w:trPr>
        <w:tc>
          <w:tcPr>
            <w:tcW w:w="8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70"/>
        </w:trPr>
        <w:tc>
          <w:tcPr>
            <w:tcW w:w="8140" w:type="dxa"/>
            <w:vAlign w:val="bottom"/>
          </w:tcPr>
          <w:p>
            <w:pPr>
              <w:ind w:left="20"/>
              <w:spacing w:after="0"/>
              <w:rPr>
                <w:sz w:val="20"/>
                <w:szCs w:val="20"/>
                <w:color w:val="auto"/>
              </w:rPr>
            </w:pPr>
            <w:r>
              <w:rPr>
                <w:rFonts w:ascii="Arial" w:cs="Arial" w:eastAsia="Arial" w:hAnsi="Arial"/>
                <w:sz w:val="18"/>
                <w:szCs w:val="18"/>
                <w:color w:val="auto"/>
              </w:rPr>
              <w:t>Exercisable at June 30, 2023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90.81</w:t>
            </w:r>
          </w:p>
        </w:tc>
      </w:tr>
      <w:tr>
        <w:trPr>
          <w:trHeight w:val="20"/>
        </w:trPr>
        <w:tc>
          <w:tcPr>
            <w:tcW w:w="8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29"/>
        </w:trPr>
        <w:tc>
          <w:tcPr>
            <w:tcW w:w="8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r>
    </w:tbl>
    <w:p>
      <w:pPr>
        <w:spacing w:after="0" w:line="25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outstanding options generally have a term of ten years. For employees, options granted become exercisable ratably over the vesting period, which is generally a period of four years, beginning on the first anniversary of the grant date, subject to the employee’s continuing service to the 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 date fair value of options that were granted during the six months ended June 30, 2023 was $16.36.</w:t>
      </w:r>
    </w:p>
    <w:p>
      <w:pPr>
        <w:spacing w:after="0" w:line="1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the assumptions used in the Black-Scholes pricing model valuation of options during the six months ended June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3080" w:type="dxa"/>
            <w:vAlign w:val="bottom"/>
            <w:gridSpan w:val="4"/>
          </w:tcPr>
          <w:p>
            <w:pPr>
              <w:ind w:left="48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816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8160" w:type="dxa"/>
            <w:vAlign w:val="bottom"/>
          </w:tcPr>
          <w:p>
            <w:pPr>
              <w:spacing w:after="0"/>
              <w:rPr>
                <w:sz w:val="20"/>
                <w:szCs w:val="20"/>
                <w:color w:val="auto"/>
              </w:rPr>
            </w:pPr>
          </w:p>
        </w:tc>
        <w:tc>
          <w:tcPr>
            <w:tcW w:w="14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2022</w:t>
            </w:r>
          </w:p>
        </w:tc>
      </w:tr>
      <w:tr>
        <w:trPr>
          <w:trHeight w:val="27"/>
        </w:trPr>
        <w:tc>
          <w:tcPr>
            <w:tcW w:w="8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- 4.55%</w:t>
            </w:r>
          </w:p>
        </w:tc>
        <w:tc>
          <w:tcPr>
            <w:tcW w:w="16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1.94%</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c>
          <w:tcPr>
            <w:tcW w:w="800" w:type="dxa"/>
            <w:vAlign w:val="bottom"/>
          </w:tcPr>
          <w:p>
            <w:pPr>
              <w:ind w:left="40"/>
              <w:spacing w:after="0"/>
              <w:rPr>
                <w:sz w:val="20"/>
                <w:szCs w:val="20"/>
                <w:color w:val="auto"/>
              </w:rPr>
            </w:pPr>
            <w:r>
              <w:rPr>
                <w:rFonts w:ascii="Arial" w:cs="Arial" w:eastAsia="Arial" w:hAnsi="Arial"/>
                <w:sz w:val="18"/>
                <w:szCs w:val="18"/>
                <w:color w:val="auto"/>
              </w:rPr>
              <w:t>- 6.25</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6.25</w:t>
            </w:r>
          </w:p>
        </w:tc>
      </w:tr>
      <w:tr>
        <w:trPr>
          <w:trHeight w:val="27"/>
        </w:trPr>
        <w:tc>
          <w:tcPr>
            <w:tcW w:w="8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- 55.92%</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45.95%</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80" w:type="dxa"/>
            <w:vAlign w:val="bottom"/>
            <w:gridSpan w:val="2"/>
          </w:tcPr>
          <w:p>
            <w:pPr>
              <w:jc w:val="right"/>
              <w:ind w:right="530"/>
              <w:spacing w:after="0"/>
              <w:rPr>
                <w:sz w:val="20"/>
                <w:szCs w:val="20"/>
                <w:color w:val="auto"/>
              </w:rPr>
            </w:pPr>
            <w:r>
              <w:rPr>
                <w:rFonts w:ascii="Arial" w:cs="Arial" w:eastAsia="Arial" w:hAnsi="Arial"/>
                <w:sz w:val="18"/>
                <w:szCs w:val="18"/>
                <w:color w:val="auto"/>
              </w:rPr>
              <w:t>0%</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0%</w:t>
            </w:r>
          </w:p>
        </w:tc>
      </w:tr>
      <w:tr>
        <w:trPr>
          <w:trHeight w:val="189"/>
        </w:trPr>
        <w:tc>
          <w:tcPr>
            <w:tcW w:w="8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bl>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June 30, 2023, there was $5.3 million of unrecognized compensation expense related to unvested stock options, which is expected to be recognized over a weighted-average period of 2.8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0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Restricted stock awards are share-settled awards and restrictions lapse ratably over the vesting period, which is generally a period from three to four years, beginning on the first anniversary of the grant date, subject to the employee's continuing service to the Company. For the board of directors, restrictions generally lapse in full on the first anniversary of the grant date.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during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8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Grant Date</w:t>
            </w:r>
          </w:p>
        </w:tc>
      </w:tr>
      <w:tr>
        <w:trPr>
          <w:trHeight w:val="216"/>
        </w:trPr>
        <w:tc>
          <w:tcPr>
            <w:tcW w:w="814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rPr>
              <w:t>Restricted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8140" w:type="dxa"/>
            <w:vAlign w:val="bottom"/>
          </w:tcPr>
          <w:p>
            <w:pPr>
              <w:spacing w:after="0"/>
              <w:rPr>
                <w:sz w:val="20"/>
                <w:szCs w:val="20"/>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Per Share</w:t>
            </w:r>
          </w:p>
        </w:tc>
      </w:tr>
      <w:tr>
        <w:trPr>
          <w:trHeight w:val="27"/>
        </w:trPr>
        <w:tc>
          <w:tcPr>
            <w:tcW w:w="81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at December 31, 2022</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478,596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70.36</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406,150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27"/>
        </w:trPr>
        <w:tc>
          <w:tcPr>
            <w:tcW w:w="8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80.02</w:t>
            </w:r>
          </w:p>
        </w:tc>
      </w:tr>
      <w:tr>
        <w:trPr>
          <w:trHeight w:val="263"/>
        </w:trPr>
        <w:tc>
          <w:tcPr>
            <w:tcW w:w="81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70.09</w:t>
            </w:r>
          </w:p>
        </w:tc>
      </w:tr>
      <w:tr>
        <w:trPr>
          <w:trHeight w:val="295"/>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at June 30,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683,238</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09"/>
        </w:trPr>
        <w:tc>
          <w:tcPr>
            <w:tcW w:w="81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r>
    </w:tbl>
    <w:p>
      <w:pPr>
        <w:spacing w:after="0" w:line="25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June 30, 2023, there was $25.3 million of unrecognized compensation expense related to non-vested restricted stock, which is expected to be recognized over a weighted-average period of 2.9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Performance stock units (PSUs) are expressed in terms of a target number of PSUs, with anywhere between 0 percent and 200 percent of that target number capable of being earned and vesting at the end of a three-year performance period depending on the Company’s performance in the final year of the performance period and the award recipient’s continued employment. Certain PSUs granted by the Company in 2021 are based on performance conditions and the related compensation cost is based on the probability that the performance conditions will be achieved. The Company’s PSUs granted in 2020, 2022, 2023 and certain PSUs granted in 2021 are based on market conditions and the related compensation cost is based on the fair value at grant date calculated using a Monte Carlo pricing model.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performance stock activity during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8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Grant Date</w:t>
            </w:r>
          </w:p>
        </w:tc>
      </w:tr>
      <w:tr>
        <w:trPr>
          <w:trHeight w:val="216"/>
        </w:trPr>
        <w:tc>
          <w:tcPr>
            <w:tcW w:w="8140" w:type="dxa"/>
            <w:vAlign w:val="bottom"/>
          </w:tcPr>
          <w:p>
            <w:pPr>
              <w:spacing w:after="0"/>
              <w:rPr>
                <w:sz w:val="18"/>
                <w:szCs w:val="18"/>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Performance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8140" w:type="dxa"/>
            <w:vAlign w:val="bottom"/>
          </w:tcPr>
          <w:p>
            <w:pPr>
              <w:spacing w:after="0"/>
              <w:rPr>
                <w:sz w:val="20"/>
                <w:szCs w:val="20"/>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Per Share</w:t>
            </w:r>
          </w:p>
        </w:tc>
      </w:tr>
      <w:tr>
        <w:trPr>
          <w:trHeight w:val="27"/>
        </w:trPr>
        <w:tc>
          <w:tcPr>
            <w:tcW w:w="81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stock at December 31, 2022</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71,295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57.79</w:t>
            </w:r>
          </w:p>
        </w:tc>
      </w:tr>
      <w:tr>
        <w:trPr>
          <w:trHeight w:val="27"/>
        </w:trPr>
        <w:tc>
          <w:tcPr>
            <w:tcW w:w="8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Performance change</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40" w:type="dxa"/>
            <w:vAlign w:val="bottom"/>
          </w:tcPr>
          <w:p>
            <w:pPr>
              <w:ind w:left="20"/>
              <w:spacing w:after="0"/>
              <w:rPr>
                <w:sz w:val="20"/>
                <w:szCs w:val="20"/>
                <w:color w:val="auto"/>
              </w:rPr>
            </w:pPr>
            <w:r>
              <w:rPr>
                <w:rFonts w:ascii="Arial" w:cs="Arial" w:eastAsia="Arial" w:hAnsi="Arial"/>
                <w:sz w:val="18"/>
                <w:szCs w:val="18"/>
                <w:color w:val="auto"/>
              </w:rPr>
              <w:t>Performance stock at June 30, 2023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107,097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74.08</w:t>
            </w:r>
          </w:p>
        </w:tc>
      </w:tr>
      <w:tr>
        <w:trPr>
          <w:trHeight w:val="20"/>
        </w:trPr>
        <w:tc>
          <w:tcPr>
            <w:tcW w:w="8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29"/>
        </w:trPr>
        <w:tc>
          <w:tcPr>
            <w:tcW w:w="8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provides the assumptions used in the Monte Carlo pricing model valuation of PSUs during the six months ended June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5"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22860</wp:posOffset>
            </wp:positionV>
            <wp:extent cx="1954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2022</w:t>
            </w:r>
          </w:p>
        </w:tc>
      </w:tr>
      <w:tr>
        <w:trPr>
          <w:trHeight w:val="27"/>
        </w:trPr>
        <w:tc>
          <w:tcPr>
            <w:tcW w:w="81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4.35%</w:t>
            </w:r>
          </w:p>
        </w:tc>
        <w:tc>
          <w:tcPr>
            <w:tcW w:w="16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1.76%</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2.88</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2.87</w:t>
            </w:r>
          </w:p>
        </w:tc>
      </w:tr>
      <w:tr>
        <w:trPr>
          <w:trHeight w:val="27"/>
        </w:trPr>
        <w:tc>
          <w:tcPr>
            <w:tcW w:w="8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58.00%</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53.50%</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0%</w:t>
            </w:r>
          </w:p>
        </w:tc>
      </w:tr>
      <w:tr>
        <w:trPr>
          <w:trHeight w:val="189"/>
        </w:trPr>
        <w:tc>
          <w:tcPr>
            <w:tcW w:w="8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bl>
    <w:p>
      <w:pPr>
        <w:spacing w:after="0" w:line="2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June 30, 2023, there was $5.5 million of unrecognized compensation expense related to non-vested performance stock, which is expected to be recognized over a weighted-average period of 2.3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assumptions used to estimate the fair value of the ESPP during the six months ended June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22860</wp:posOffset>
            </wp:positionV>
            <wp:extent cx="1954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2023</w:t>
            </w:r>
          </w:p>
        </w:tc>
        <w:tc>
          <w:tcPr>
            <w:tcW w:w="160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89"/>
              </w:rPr>
              <w:t>2022</w:t>
            </w:r>
          </w:p>
        </w:tc>
      </w:tr>
      <w:tr>
        <w:trPr>
          <w:trHeight w:val="27"/>
        </w:trPr>
        <w:tc>
          <w:tcPr>
            <w:tcW w:w="8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4.82%</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2.06%</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Expected life (months)</w:t>
            </w: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91"/>
              </w:rPr>
              <w:t>6.00</w:t>
            </w:r>
          </w:p>
        </w:tc>
        <w:tc>
          <w:tcPr>
            <w:tcW w:w="1600" w:type="dxa"/>
            <w:vAlign w:val="bottom"/>
            <w:gridSpan w:val="4"/>
          </w:tcPr>
          <w:p>
            <w:pPr>
              <w:jc w:val="center"/>
              <w:ind w:left="30"/>
              <w:spacing w:after="0"/>
              <w:rPr>
                <w:sz w:val="20"/>
                <w:szCs w:val="20"/>
                <w:color w:val="auto"/>
              </w:rPr>
            </w:pPr>
            <w:r>
              <w:rPr>
                <w:rFonts w:ascii="Arial" w:cs="Arial" w:eastAsia="Arial" w:hAnsi="Arial"/>
                <w:sz w:val="18"/>
                <w:szCs w:val="18"/>
                <w:color w:val="auto"/>
                <w:w w:val="91"/>
              </w:rPr>
              <w:t>6.00</w:t>
            </w:r>
          </w:p>
        </w:tc>
      </w:tr>
      <w:tr>
        <w:trPr>
          <w:trHeight w:val="27"/>
        </w:trPr>
        <w:tc>
          <w:tcPr>
            <w:tcW w:w="8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67.84%</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53.44%</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600" w:type="dxa"/>
            <w:vAlign w:val="bottom"/>
          </w:tcPr>
          <w:p>
            <w:pPr>
              <w:spacing w:after="0"/>
              <w:rPr>
                <w:sz w:val="21"/>
                <w:szCs w:val="21"/>
                <w:color w:val="auto"/>
              </w:rPr>
            </w:pPr>
          </w:p>
        </w:tc>
        <w:tc>
          <w:tcPr>
            <w:tcW w:w="880" w:type="dxa"/>
            <w:vAlign w:val="bottom"/>
            <w:gridSpan w:val="2"/>
          </w:tcPr>
          <w:p>
            <w:pPr>
              <w:jc w:val="center"/>
              <w:ind w:right="510"/>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gridSpan w:val="2"/>
          </w:tcPr>
          <w:p>
            <w:pPr>
              <w:jc w:val="center"/>
              <w:ind w:right="510"/>
              <w:spacing w:after="0"/>
              <w:rPr>
                <w:sz w:val="20"/>
                <w:szCs w:val="20"/>
                <w:color w:val="auto"/>
              </w:rPr>
            </w:pPr>
            <w:r>
              <w:rPr>
                <w:rFonts w:ascii="Arial" w:cs="Arial" w:eastAsia="Arial" w:hAnsi="Arial"/>
                <w:sz w:val="18"/>
                <w:szCs w:val="18"/>
                <w:color w:val="auto"/>
                <w:w w:val="92"/>
              </w:rPr>
              <w:t>0%</w:t>
            </w:r>
          </w:p>
        </w:tc>
      </w:tr>
      <w:tr>
        <w:trPr>
          <w:trHeight w:val="189"/>
        </w:trPr>
        <w:tc>
          <w:tcPr>
            <w:tcW w:w="8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Accumulated Other Comprehensive Income (Loss)</w:t>
      </w:r>
    </w:p>
    <w:p>
      <w:pPr>
        <w:spacing w:after="0" w:line="18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Other comprehensive income (loss) is comprised of foreign currency translation adjustments and net unrealized gains (losses) on investments in securities. During the three and six months ended June 30, 2023 we recognized a $3.9 million foreign currency translation loss from the substantial completion on the closure of our Japan business.</w:t>
      </w:r>
    </w:p>
    <w:p>
      <w:pPr>
        <w:spacing w:after="0" w:line="143"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following table presents the changes in accumulated other comprehensive income (loss) balances during the three and six months ended June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84"/>
              </w:rPr>
              <w:t>2022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(33,494)</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(22,305)</w:t>
            </w:r>
          </w:p>
        </w:tc>
        <w:tc>
          <w:tcPr>
            <w:tcW w:w="48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(34,355)</w:t>
            </w:r>
          </w:p>
        </w:tc>
        <w:tc>
          <w:tcPr>
            <w:tcW w:w="7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(16,817)</w:t>
            </w: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i w:val="1"/>
                <w:iCs w:val="1"/>
                <w:color w:val="auto"/>
              </w:rPr>
              <w:t>Foreign currency translation adjustments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Other comprehensive income (loss) before reclassifications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(18,487)</w:t>
            </w:r>
          </w:p>
        </w:tc>
        <w:tc>
          <w:tcPr>
            <w:tcW w:w="0" w:type="dxa"/>
            <w:vAlign w:val="bottom"/>
          </w:tcPr>
          <w:p>
            <w:pPr>
              <w:spacing w:after="0"/>
              <w:rPr>
                <w:sz w:val="1"/>
                <w:szCs w:val="1"/>
                <w:color w:val="auto"/>
              </w:rPr>
            </w:pPr>
          </w:p>
        </w:tc>
      </w:tr>
      <w:tr>
        <w:trPr>
          <w:trHeight w:val="229"/>
        </w:trPr>
        <w:tc>
          <w:tcPr>
            <w:tcW w:w="4620" w:type="dxa"/>
            <w:vAlign w:val="bottom"/>
          </w:tcPr>
          <w:p>
            <w:pPr>
              <w:ind w:left="520"/>
              <w:spacing w:after="0"/>
              <w:rPr>
                <w:sz w:val="20"/>
                <w:szCs w:val="20"/>
                <w:color w:val="auto"/>
              </w:rPr>
            </w:pPr>
            <w:r>
              <w:rPr>
                <w:rFonts w:ascii="Arial" w:cs="Arial" w:eastAsia="Arial" w:hAnsi="Arial"/>
                <w:sz w:val="18"/>
                <w:szCs w:val="18"/>
                <w:color w:val="auto"/>
              </w:rPr>
              <w:t>Amounts reclassified from accumulated other</w:t>
            </w:r>
          </w:p>
        </w:tc>
        <w:tc>
          <w:tcPr>
            <w:tcW w:w="32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3,906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3,906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tcPr>
          <w:p>
            <w:pPr>
              <w:ind w:left="5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1"/>
              </w:rPr>
              <w:t>Net current-period other comprehensive income (loss)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(18,487)</w:t>
            </w:r>
          </w:p>
        </w:tc>
        <w:tc>
          <w:tcPr>
            <w:tcW w:w="0" w:type="dxa"/>
            <w:vAlign w:val="bottom"/>
          </w:tcPr>
          <w:p>
            <w:pPr>
              <w:spacing w:after="0"/>
              <w:rPr>
                <w:sz w:val="1"/>
                <w:szCs w:val="1"/>
                <w:color w:val="auto"/>
              </w:rPr>
            </w:pPr>
          </w:p>
        </w:tc>
      </w:tr>
      <w:tr>
        <w:trPr>
          <w:trHeight w:val="237"/>
        </w:trPr>
        <w:tc>
          <w:tcPr>
            <w:tcW w:w="4620" w:type="dxa"/>
            <w:vAlign w:val="bottom"/>
            <w:tcBorders>
              <w:top w:val="single" w:sz="8" w:color="CCEEFF"/>
            </w:tcBorders>
          </w:tcPr>
          <w:p>
            <w:pPr>
              <w:ind w:left="180"/>
              <w:spacing w:after="0"/>
              <w:rPr>
                <w:sz w:val="20"/>
                <w:szCs w:val="20"/>
                <w:color w:val="auto"/>
              </w:rPr>
            </w:pPr>
            <w:r>
              <w:rPr>
                <w:rFonts w:ascii="Arial" w:cs="Arial" w:eastAsia="Arial" w:hAnsi="Arial"/>
                <w:sz w:val="18"/>
                <w:szCs w:val="18"/>
                <w:i w:val="1"/>
                <w:iCs w:val="1"/>
                <w:color w:val="auto"/>
                <w:w w:val="96"/>
              </w:rPr>
              <w:t>Net unrealized gains (losses) on investments in securities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Other comprehensive income (loss) before reclassifications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9"/>
        </w:trPr>
        <w:tc>
          <w:tcPr>
            <w:tcW w:w="4620" w:type="dxa"/>
            <w:vAlign w:val="bottom"/>
          </w:tcPr>
          <w:p>
            <w:pPr>
              <w:ind w:left="520"/>
              <w:spacing w:after="0"/>
              <w:rPr>
                <w:sz w:val="20"/>
                <w:szCs w:val="20"/>
                <w:color w:val="auto"/>
              </w:rPr>
            </w:pPr>
            <w:r>
              <w:rPr>
                <w:rFonts w:ascii="Arial" w:cs="Arial" w:eastAsia="Arial" w:hAnsi="Arial"/>
                <w:sz w:val="18"/>
                <w:szCs w:val="18"/>
                <w:color w:val="auto"/>
              </w:rPr>
              <w:t>Amounts reclassified from accumulated other</w:t>
            </w:r>
          </w:p>
        </w:tc>
        <w:tc>
          <w:tcPr>
            <w:tcW w:w="32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tcPr>
          <w:p>
            <w:pPr>
              <w:ind w:left="5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1"/>
              </w:rPr>
              <w:t>Net current-period other comprehensive income (loss)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7"/>
        </w:trPr>
        <w:tc>
          <w:tcPr>
            <w:tcW w:w="46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(29,221)</w:t>
            </w:r>
          </w:p>
        </w:tc>
        <w:tc>
          <w:tcPr>
            <w:tcW w:w="120" w:type="dxa"/>
            <w:vAlign w:val="bottom"/>
            <w:tcBorders>
              <w:top w:val="single" w:sz="8" w:color="CCEEFF"/>
            </w:tcBorders>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(36,149)</w:t>
            </w:r>
          </w:p>
        </w:tc>
        <w:tc>
          <w:tcPr>
            <w:tcW w:w="100" w:type="dxa"/>
            <w:vAlign w:val="bottom"/>
            <w:tcBorders>
              <w:top w:val="single" w:sz="8" w:color="CCEEFF"/>
            </w:tcBorders>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(29,221)</w:t>
            </w:r>
          </w:p>
        </w:tc>
        <w:tc>
          <w:tcPr>
            <w:tcW w:w="78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(36,149)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46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is subject to income tax in multiple jurisdictions and the use of estimates is required to determine the provision for income taxes. For the three months ended June 30, 2023 and 2022, the Company recorded an income tax provision of $2.6 million and $2.6 million, respectively. For the six months ended June 30, 2023 and 2022, the Company recorded an income tax provision of $5.0 million and $5.1 million, respectively. The income tax provision is based on the estimated annual effective tax rate for the year applied to pre-tax income. The effective income tax rate for the three months ended June 30, 2023 was 117.1 percent compared to 50.8 percent in the same period of the prior year. The effective tax rate increased by 66.3 percent for the three months ended June 30, 2023 when compared to the same period in 2022, primarily due to the tax impact of the foreign currency translation loss from the substantial completion on the closure of our Japan business. The effective income tax rate for the six months ended June 30, 2023 was 68.7 percent compared to 40.2 percent in the same period of the prior year. The effective tax rate increased by 28.5 percent for the six months ended June 30, 2023 when compared to the same period in 2022, primarily due to the tax impact of the foreign currency translation loss from the substantial completion on the closure of our Japan business.</w:t>
      </w:r>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effective income tax rate for the three and six months ended June 30, 2023 differs from the U.S. federal statutory rate of 21.0 percent due to various factors, including operating in multiple state and foreign jurisdictions and tax credits for which the Company qualifies.</w:t>
      </w:r>
    </w:p>
    <w:p>
      <w:pPr>
        <w:spacing w:after="0" w:line="13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had unrecognized tax benefits totaling $3.6 million as of June 30, 2023 and $3.2 million as of December 31, 2022, respectively, that if recognized would result in a reduction of the Company’s effective tax rate. The liabilities are classified as other long-term liabilities in the accompanying consolidated balance sheets. The Company recognizes interest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and penalties related to income tax matters in income tax expense and reports the liability in current or long-term income taxes payable as appropriate.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Reporting</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reportable segments are based on the internal reporting used by the Company’s Chief Executive Officer, who is the chief operating decision maker (CODM), to assess operating performance and make decisions about the allocation of resources. The Corporate Unallocated and Japan category includes non-reportable segments, as well as research and development and general and administrative costs, that the Company does not allocate directly to its operating segments.</w:t>
      </w:r>
    </w:p>
    <w:p>
      <w:pPr>
        <w:spacing w:after="0" w:line="16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Revenue and income from operations by reportable segment for the three and six months ended June 30,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40" w:type="dxa"/>
            <w:vAlign w:val="bottom"/>
          </w:tcPr>
          <w:p>
            <w:pPr>
              <w:spacing w:after="0"/>
              <w:rPr>
                <w:sz w:val="18"/>
                <w:szCs w:val="18"/>
                <w:color w:val="auto"/>
              </w:rPr>
            </w:pPr>
          </w:p>
        </w:tc>
      </w:tr>
      <w:tr>
        <w:trPr>
          <w:trHeight w:val="234"/>
        </w:trPr>
        <w:tc>
          <w:tcPr>
            <w:tcW w:w="4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(dollars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ind w:right="570"/>
              <w:spacing w:after="0"/>
              <w:rPr>
                <w:sz w:val="20"/>
                <w:szCs w:val="20"/>
                <w:color w:val="auto"/>
              </w:rPr>
            </w:pPr>
            <w:r>
              <w:rPr>
                <w:rFonts w:ascii="Arial" w:cs="Arial" w:eastAsia="Arial" w:hAnsi="Arial"/>
                <w:sz w:val="18"/>
                <w:szCs w:val="18"/>
                <w:b w:val="1"/>
                <w:bCs w:val="1"/>
                <w:color w:val="auto"/>
                <w:w w:val="89"/>
              </w:rPr>
              <w:t>2022</w:t>
            </w:r>
          </w:p>
        </w:tc>
      </w:tr>
      <w:tr>
        <w:trPr>
          <w:trHeight w:val="27"/>
        </w:trPr>
        <w:tc>
          <w:tcPr>
            <w:tcW w:w="4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96,321</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100,655</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194,067</w:t>
            </w:r>
          </w:p>
        </w:tc>
        <w:tc>
          <w:tcPr>
            <w:tcW w:w="7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196,151</w:t>
            </w:r>
          </w:p>
        </w:tc>
      </w:tr>
      <w:tr>
        <w:trPr>
          <w:trHeight w:val="27"/>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54,057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47,977</w:t>
            </w:r>
          </w:p>
        </w:tc>
      </w:tr>
      <w:tr>
        <w:trPr>
          <w:trHeight w:val="263"/>
        </w:trPr>
        <w:tc>
          <w:tcPr>
            <w:tcW w:w="4600" w:type="dxa"/>
            <w:vAlign w:val="bottom"/>
          </w:tcPr>
          <w:p>
            <w:pPr>
              <w:ind w:left="20"/>
              <w:spacing w:after="0"/>
              <w:rPr>
                <w:sz w:val="20"/>
                <w:szCs w:val="20"/>
                <w:color w:val="auto"/>
              </w:rPr>
            </w:pPr>
            <w:r>
              <w:rPr>
                <w:rFonts w:ascii="Arial" w:cs="Arial" w:eastAsia="Arial" w:hAnsi="Arial"/>
                <w:sz w:val="18"/>
                <w:szCs w:val="18"/>
                <w:color w:val="auto"/>
              </w:rPr>
              <w:t>Japan</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6,942</w:t>
            </w:r>
          </w:p>
        </w:tc>
      </w:tr>
      <w:tr>
        <w:trPr>
          <w:trHeight w:val="290"/>
        </w:trPr>
        <w:tc>
          <w:tcPr>
            <w:tcW w:w="4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122,265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126,902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248,124</w:t>
            </w:r>
          </w:p>
        </w:tc>
        <w:tc>
          <w:tcPr>
            <w:tcW w:w="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251,070</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6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r>
      <w:tr>
        <w:trPr>
          <w:trHeight w:val="290"/>
        </w:trPr>
        <w:tc>
          <w:tcPr>
            <w:tcW w:w="4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6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84"/>
              </w:rPr>
              <w:t>2022</w:t>
            </w: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22,053</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26,168</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42,534</w:t>
            </w:r>
          </w:p>
        </w:tc>
        <w:tc>
          <w:tcPr>
            <w:tcW w:w="7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48,691</w:t>
            </w:r>
          </w:p>
        </w:tc>
      </w:tr>
      <w:tr>
        <w:trPr>
          <w:trHeight w:val="27"/>
        </w:trPr>
        <w:tc>
          <w:tcPr>
            <w:tcW w:w="4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Corporate Unallocated and Japan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(27,314)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(31,672)</w:t>
            </w:r>
          </w:p>
        </w:tc>
      </w:tr>
      <w:tr>
        <w:trPr>
          <w:trHeight w:val="27"/>
        </w:trPr>
        <w:tc>
          <w:tcPr>
            <w:tcW w:w="4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4"/>
        </w:trPr>
        <w:tc>
          <w:tcPr>
            <w:tcW w:w="4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Income from Operations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4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Total long-lived assets at June 30, 2023 and December 31,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long-lived assets: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Europe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Japan</w:t>
      </w:r>
    </w:p>
    <w:p>
      <w:pPr>
        <w:spacing w:after="0" w:line="104" w:lineRule="exact"/>
        <w:rPr>
          <w:sz w:val="20"/>
          <w:szCs w:val="20"/>
          <w:color w:val="auto"/>
        </w:rPr>
      </w:pPr>
    </w:p>
    <w:p>
      <w:pPr>
        <w:jc w:val="right"/>
        <w:ind w:right="5220"/>
        <w:spacing w:after="0"/>
        <w:rPr>
          <w:sz w:val="20"/>
          <w:szCs w:val="20"/>
          <w:color w:val="auto"/>
        </w:rPr>
      </w:pPr>
      <w:r>
        <w:rPr>
          <w:rFonts w:ascii="Arial" w:cs="Arial" w:eastAsia="Arial" w:hAnsi="Arial"/>
          <w:sz w:val="18"/>
          <w:szCs w:val="18"/>
          <w:color w:val="auto"/>
        </w:rPr>
        <w:t>Total Long-lived Assets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507"/>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194,656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203,816</w:t>
            </w:r>
          </w:p>
        </w:tc>
      </w:tr>
      <w:tr>
        <w:trPr>
          <w:trHeight w:val="270"/>
        </w:trPr>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53,958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53,835</w:t>
            </w:r>
          </w:p>
        </w:tc>
      </w:tr>
      <w:tr>
        <w:trPr>
          <w:trHeight w:val="270"/>
        </w:trPr>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6"/>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248,614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257,785</w:t>
            </w:r>
          </w:p>
        </w:tc>
      </w:tr>
      <w:tr>
        <w:trPr>
          <w:trHeight w:val="27"/>
        </w:trPr>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-5175885</wp:posOffset>
            </wp:positionH>
            <wp:positionV relativeFrom="paragraph">
              <wp:posOffset>-899795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-5175885</wp:posOffset>
            </wp:positionH>
            <wp:positionV relativeFrom="paragraph">
              <wp:posOffset>-556895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-5175885</wp:posOffset>
            </wp:positionH>
            <wp:positionV relativeFrom="paragraph">
              <wp:posOffset>-213995</wp:posOffset>
            </wp:positionV>
            <wp:extent cx="7132320" cy="196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-5175885</wp:posOffset>
            </wp:positionH>
            <wp:positionV relativeFrom="paragraph">
              <wp:posOffset>76835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40" w:space="720"/>
            <w:col w:w="30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line for the three and six months ended June 30,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40" w:type="dxa"/>
            <w:vAlign w:val="bottom"/>
          </w:tcPr>
          <w:p>
            <w:pPr>
              <w:spacing w:after="0"/>
              <w:rPr>
                <w:sz w:val="18"/>
                <w:szCs w:val="18"/>
                <w:color w:val="auto"/>
              </w:rPr>
            </w:pPr>
          </w:p>
        </w:tc>
      </w:tr>
      <w:tr>
        <w:trPr>
          <w:trHeight w:val="234"/>
        </w:trPr>
        <w:tc>
          <w:tcPr>
            <w:tcW w:w="4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600" w:type="dxa"/>
            <w:vAlign w:val="bottom"/>
          </w:tcPr>
          <w:p>
            <w:pPr>
              <w:ind w:left="20"/>
              <w:spacing w:after="0"/>
              <w:rPr>
                <w:sz w:val="20"/>
                <w:szCs w:val="20"/>
                <w:color w:val="auto"/>
              </w:rPr>
            </w:pPr>
            <w:r>
              <w:rPr>
                <w:rFonts w:ascii="Arial" w:cs="Arial" w:eastAsia="Arial" w:hAnsi="Arial"/>
                <w:sz w:val="18"/>
                <w:szCs w:val="18"/>
                <w:color w:val="auto"/>
              </w:rPr>
              <w:t>(dollars in thousands)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89"/>
              </w:rPr>
              <w:t>2022</w:t>
            </w: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Injection Molding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48,819</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53,355</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100,767</w:t>
            </w:r>
          </w:p>
        </w:tc>
        <w:tc>
          <w:tcPr>
            <w:tcW w:w="7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106,753</w:t>
            </w:r>
          </w:p>
        </w:tc>
      </w:tr>
      <w:tr>
        <w:trPr>
          <w:trHeight w:val="27"/>
        </w:trPr>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CNC Machining</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96,401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94,320</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3D Printing</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42,330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39,635</w:t>
            </w:r>
          </w:p>
        </w:tc>
      </w:tr>
      <w:tr>
        <w:trPr>
          <w:trHeight w:val="27"/>
        </w:trPr>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Sheet Metal</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7"/>
        </w:trPr>
        <w:tc>
          <w:tcPr>
            <w:tcW w:w="4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122,265</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126,902</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248,124</w:t>
            </w:r>
          </w:p>
        </w:tc>
        <w:tc>
          <w:tcPr>
            <w:tcW w:w="76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251,070</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96"/>
        </w:trPr>
        <w:tc>
          <w:tcPr>
            <w:tcW w:w="4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Form 10-Q, as well as our most recent Annual Report on Form 10-K as filed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one of the world’s largest and fastest digital manufacturers of custom prototypes and on-demand production parts. Our mission is to empower companies to bring new ideas to market by offering the fastest and most comprehensive digital manufacturing service in the world. Our automated quoting and manufacturing systems allow us to produce commercial-grade plastic, metal, and liquid silicone rubber parts in as fast as one day. We manufacture prototype and low volume production parts for companies worldwide, who are under increasing pressure to bring their finished products to market faster than their competition. We utilize injection molding, computer numerical control (CNC) machining, 3D printing and sheet metal fabrication to manufacture custom parts for our customers. For most of our offerings, our proprietary technology eliminates most of the time-consuming and expensive skilled labor conventionally required to quote and manufacture parts. Our customers conduct nearly all of their business with us over the Internet. We target our products to the millions of product developers and engineers who use three-dimensional computer-aided design (3D CAD) software to design products across a diverse range of end-markets. In addition, we serve procurement and supply chain professionals seeking to manufacture custom parts on-demand. Through the acquisition of Hubs (formerly 3D Hubs, Inc.) (Hubs) in 2021, we are able to provide our customers access to a global network of premium manufacturing partners who reside across North America, Europe and Asia, complementing our in-house manufacturing. We believe our use of advanced technology enables us to offer significant advantages at competitive prices to many customers and is the primary reason we have become a leading supplier of custom parts.</w:t>
      </w:r>
    </w:p>
    <w:p>
      <w:pPr>
        <w:spacing w:after="0" w:line="14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On May 27, 2022, our board of directors approved a plan for the closure of our manufacturing facility in Japan and announced an intention to cease operations in the region. Affected employees in Japan will receive severance and other transition assistance that meet or exceed local requirements. We expect to complete the closure plan within the year.</w:t>
      </w:r>
    </w:p>
    <w:p>
      <w:pPr>
        <w:spacing w:after="0" w:line="157"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in order to better serve the evolving preferences and needs of product developers and engineers. In 2021, we augmented our internal manufacturing operations through our acquisition of Hubs to expand the envelope of custom parts we can provide to our customers through a network of premium manufacturing partners in each of our product lines.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Injection Molding</w:t>
      </w:r>
    </w:p>
    <w:p>
      <w:pPr>
        <w:spacing w:after="0" w:line="18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Our Injection Molding product line uses our 3D CAD-to-CNC machining technology for the automated design and manufacture of molds, which are then used to produce custom plastic and liquid silicone rubber injection-molded parts and over-molded and insert-molded injection-molded parts on commercially available equipment. Our Injection Molding product line works best for on-demand production, bridge tooling, pilot runs and functional prototyping. Our affordable molds and quick turnaround times help reduce design risk and limit overall production costs for product developers and engineers. Because we retain possession of the molds, customers who need short-run production often come back to Proto</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Labs’ Injection Molding product line for additional quantities. They do so to support pilot production for product testing, while their tooling for high-volume production is being prepared, because they need on-demand manufacturing due to disruptions in their manufacturing process, because their product requires limited annual quantity or because they need end-of-life production support. In 2017, we launched an on-demand manufacturing injection molding service. This service utilizes our existing processes, but is designed to fulfill the needs of customers with on-going production needs.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CNC Machining</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CNC Machining product line uses commercially available CNC machines to offer milling and turning. CNC milling is a manufacturing process that cuts plastic and metal blocks into one or more custom parts based on the 3D CAD model uploaded by the customer. CNC turning is a subtractive manufacturing process that rotates a metal rod while a cutting tool is used to remove material and create final parts. Quick-turn CNC machining works best for prototyping, form and fit testing, jigs and fixtures and functional components for end-use applications.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3D Printing</w:t>
      </w:r>
    </w:p>
    <w:p>
      <w:pPr>
        <w:spacing w:after="0" w:line="19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Our Industrial 3D Printing product line includes SL, SLS, DMLS, MJF, PolyJet, Carbon DLS and fused deposition modeling (FDM) processes, which offers customers a wide-variety of high-quality, precision rapid prototyping and low volume production. These processes create parts with a high level of accuracy, detail, strength and durability. Industrial 3D Printing is best suited for functional prototypes, complex designs and end-use applications.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Sheet Metal</w:t>
      </w:r>
    </w:p>
    <w:p>
      <w:pPr>
        <w:spacing w:after="0" w:line="185"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Our Sheet Metal product line includes quick-turn and e-commerce-enabled custom sheet metal parts, providing customers with prototype and low-volume production parts. The rapid prototype sheet metal process is most often used when form, fit and function are all a priority. Our manufacturing process uses customer 3D CAD models uploaded by the customer to fabricate rapid prototyping sheet metal or end-use production parts and assemblies.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Measures and Trends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operations are comprised of three geographic operating segments in the United States, Europe and Japan. On May 27, 2022, our board of directors approved a plan for the closure of our manufacturing facility in Japan and announced an intention to cease operations in the region. 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3D-printed parts. Sheet Metal revenue consists of sales of fabricated sheet metal custom parts. Our historical and current efforts to increase revenue have been directed at gaining new customers and selling to our existing customer base by increasing marketing and selling activities, including:</w:t>
      </w:r>
    </w:p>
    <w:p>
      <w:pPr>
        <w:spacing w:after="0" w:line="13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the breadth and scope of our products by adding more sizes and materials to our offerings;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introduction of our 3D Printing product line through our acquisition of FineLine in 2014;</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3D Printing to Europe through our acquisition of Alphaform in 2015;</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introduction of our Sheet Metal product line through our acquisition of Rapid Manufacturing Group, LLC in 2017;</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continuously improving the usability of our product lines such as our web-centric applications;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providing customers with on-demand access to a global network of premium manufacturing partners through our acquisition of Hubs in 2021.</w:t>
      </w:r>
    </w:p>
    <w:p>
      <w:pPr>
        <w:spacing w:after="0" w:line="221"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During the three months ended June 30, 2023, we served 23,377 unique product developers and engineers who purchased our products through our web-based customer interface, a decrease of 2.8% over the same period in 2022. During the six months ended June 30, 2023, we served 35,743 unique product developers and engineers who purchased our products through our web-based customer interface, a decrease of 3.1% over the same period in 2022.</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9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Cost of revenue consists primarily of raw materials, equipment depreciation, employee compensation, benefits, stock-based compensation, facilities costs and overhead allocations associated with the manufacturing process for molds and customer parts. We expect our personnel-related costs to increase in order to retain and attract top talent and remain competitive in the market. Overall, we expect cost of revenue to increase in absolute dollars.</w:t>
      </w:r>
    </w:p>
    <w:p>
      <w:pPr>
        <w:spacing w:after="0" w:line="10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the mix between revenue produced in our internal manufacturing operations and outsourced to our external manufacturing partners, the mix between premium expedited manufacturing and longer lead times, and foreign currency exchange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expenses consist of marketing and sales, research and development and general and administrative expenses. Personnel-related costs are the most significant component in each of these categories.</w:t>
      </w:r>
    </w:p>
    <w:p>
      <w:pPr>
        <w:spacing w:after="0" w:line="130"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Our business strategy is to continue to be a leading online and technology-enabled manufacturer of quick-turn, on-demand injection-molded, CNC-machined, 3D-printed and sheet metal custom parts for prototyping and low-volume production. In order to achieve our goals, we anticipate continued substantial investments in technology and personnel, resulting in increased operating expenses in the future.</w:t>
      </w:r>
    </w:p>
    <w:p>
      <w:pPr>
        <w:spacing w:after="0" w:line="1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Marketing and sales expense consists primarily of employee compensation, benefits, commissions,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programs such as electronic, print and pay-per-click advertising, trade shows and other related overhead, which includes an allocation of information technology expense including amortization of Protolabs 2.0 software assets. We expect sales and marketing expense to increase in the future as we increase the number of marketing and sales professionals and marketing programs targeted to increase our customer base and grow revenue.</w:t>
      </w:r>
    </w:p>
    <w:p>
      <w:pPr>
        <w:spacing w:after="0" w:line="130"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and outside service costs related to the development of new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Arial" w:cs="Arial" w:eastAsia="Arial" w:hAnsi="Arial"/>
          <w:sz w:val="16"/>
          <w:szCs w:val="16"/>
          <w:i w:val="1"/>
          <w:iCs w:val="1"/>
          <w:color w:val="auto"/>
        </w:rPr>
        <w:t>Intangibles — Goodwill and Other, Internal-Use Software</w:t>
      </w:r>
      <w:r>
        <w:rPr>
          <w:rFonts w:ascii="Arial" w:cs="Arial" w:eastAsia="Arial" w:hAnsi="Arial"/>
          <w:sz w:val="16"/>
          <w:szCs w:val="16"/>
          <w:color w:val="auto"/>
        </w:rPr>
        <w:t>. We expect research and development expense to increase in the future as we seek to enhance our</w:t>
      </w:r>
      <w:r>
        <w:rPr>
          <w:rFonts w:ascii="Arial" w:cs="Arial" w:eastAsia="Arial" w:hAnsi="Arial"/>
          <w:sz w:val="16"/>
          <w:szCs w:val="16"/>
          <w:i w:val="1"/>
          <w:iCs w:val="1"/>
          <w:color w:val="auto"/>
        </w:rPr>
        <w:t xml:space="preserve"> </w:t>
      </w:r>
      <w:r>
        <w:rPr>
          <w:rFonts w:ascii="Arial" w:cs="Arial" w:eastAsia="Arial" w:hAnsi="Arial"/>
          <w:sz w:val="16"/>
          <w:szCs w:val="16"/>
          <w:color w:val="auto"/>
        </w:rPr>
        <w:t>e-commerce interface technology, internal software and supporting business systems, and continue to expand our product lines.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primarily of employee compensation, benefits,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 fees related to accounting, tax and legal, and other related overhead, which includes an allocation of information technology expense including amortization of Protolabs 2.0 software assets. We expect general and administrative expense to increase in the future as we continue to grow and expand as a global organization.</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Closure of Japan business. </w:t>
      </w:r>
      <w:r>
        <w:rPr>
          <w:rFonts w:ascii="Arial" w:cs="Arial" w:eastAsia="Arial" w:hAnsi="Arial"/>
          <w:sz w:val="18"/>
          <w:szCs w:val="18"/>
          <w:color w:val="auto"/>
        </w:rPr>
        <w:t>Closure of Japan business expense is driven by our decision to close the Japan manufacturing facility and exit the Japan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expenses consist primarily of operating expense, including employee severance, write-down of fixed assets, facility-related charges and goodwill impairment charges.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Other income (loss), net primarily consists of foreign currency-related gains and losses and interest income on cash balances and investments. Our foreign currency-related gains and losses will vary depending upon movements in underlying foreign currency exchange rates. Our interest income will vary each reporting period depending on our average cash balances during the period, composition of our marketable security portfolio and the current level of interest rates.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Provision for income taxes is comprised of federal, state, local and foreign taxes based on pre-tax income. Overall, our effective tax rate for 2023 and beyond may differ from historical effective tax rates due to increases in losses in foreign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operations that are not eligible for tax benefits on account of valuation allowances, as well as any future tax law changes that may impact our effective tax rate.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0808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8"/>
          </w:tcPr>
          <w:p>
            <w:pPr>
              <w:jc w:val="right"/>
              <w:ind w:right="33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0"/>
                <w:szCs w:val="20"/>
                <w:color w:val="auto"/>
              </w:rPr>
            </w:pPr>
          </w:p>
        </w:tc>
        <w:tc>
          <w:tcPr>
            <w:tcW w:w="178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3100" w:type="dxa"/>
            <w:vAlign w:val="bottom"/>
            <w:gridSpan w:val="8"/>
          </w:tcPr>
          <w:p>
            <w:pPr>
              <w:jc w:val="right"/>
              <w:ind w:right="410"/>
              <w:spacing w:after="0"/>
              <w:rPr>
                <w:sz w:val="20"/>
                <w:szCs w:val="20"/>
                <w:color w:val="auto"/>
              </w:rPr>
            </w:pPr>
            <w:r>
              <w:rPr>
                <w:rFonts w:ascii="Arial" w:cs="Arial" w:eastAsia="Arial" w:hAnsi="Arial"/>
                <w:sz w:val="18"/>
                <w:szCs w:val="18"/>
                <w:b w:val="1"/>
                <w:bCs w:val="1"/>
                <w:color w:val="auto"/>
              </w:rPr>
              <w:t>Six Months Ended June 30,</w:t>
            </w:r>
          </w:p>
        </w:tc>
        <w:tc>
          <w:tcPr>
            <w:tcW w:w="80" w:type="dxa"/>
            <w:vAlign w:val="bottom"/>
          </w:tcPr>
          <w:p>
            <w:pPr>
              <w:spacing w:after="0"/>
              <w:rPr>
                <w:sz w:val="20"/>
                <w:szCs w:val="20"/>
                <w:color w:val="auto"/>
              </w:rPr>
            </w:pPr>
          </w:p>
        </w:tc>
        <w:tc>
          <w:tcPr>
            <w:tcW w:w="14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1460" w:type="dxa"/>
            <w:vAlign w:val="bottom"/>
            <w:vMerge w:val="restart"/>
          </w:tcPr>
          <w:p>
            <w:pPr>
              <w:ind w:left="20"/>
              <w:spacing w:after="0"/>
              <w:rPr>
                <w:sz w:val="20"/>
                <w:szCs w:val="20"/>
                <w:color w:val="auto"/>
              </w:rPr>
            </w:pPr>
            <w:r>
              <w:rPr>
                <w:rFonts w:ascii="Arial" w:cs="Arial" w:eastAsia="Arial" w:hAnsi="Arial"/>
                <w:sz w:val="18"/>
                <w:szCs w:val="18"/>
                <w:color w:val="auto"/>
              </w:rPr>
              <w:t>(dollars in</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vMerge w:val="restart"/>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vMerge w:val="restart"/>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740" w:type="dxa"/>
            <w:vAlign w:val="bottom"/>
            <w:gridSpan w:val="2"/>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4"/>
            <w:vMerge w:val="restart"/>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vMerge w:val="restart"/>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740" w:type="dxa"/>
            <w:vAlign w:val="bottom"/>
            <w:gridSpan w:val="2"/>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48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58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122,265</w:t>
            </w:r>
          </w:p>
        </w:tc>
        <w:tc>
          <w:tcPr>
            <w:tcW w:w="8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126,902</w:t>
            </w:r>
          </w:p>
        </w:tc>
        <w:tc>
          <w:tcPr>
            <w:tcW w:w="7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1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$248,124</w:t>
            </w:r>
          </w:p>
        </w:tc>
        <w:tc>
          <w:tcPr>
            <w:tcW w:w="7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251,070</w:t>
            </w:r>
          </w:p>
        </w:tc>
        <w:tc>
          <w:tcPr>
            <w:tcW w:w="7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7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14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69,142</w:t>
            </w: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69,480</w:t>
            </w:r>
          </w:p>
        </w:tc>
        <w:tc>
          <w:tcPr>
            <w:tcW w:w="740" w:type="dxa"/>
            <w:vAlign w:val="bottom"/>
            <w:gridSpan w:val="2"/>
          </w:tcPr>
          <w:p>
            <w:pPr>
              <w:jc w:val="right"/>
              <w:ind w:right="130"/>
              <w:spacing w:after="0"/>
              <w:rPr>
                <w:sz w:val="20"/>
                <w:szCs w:val="20"/>
                <w:color w:val="auto"/>
              </w:rPr>
            </w:pPr>
            <w:r>
              <w:rPr>
                <w:rFonts w:ascii="Arial" w:cs="Arial" w:eastAsia="Arial" w:hAnsi="Arial"/>
                <w:sz w:val="18"/>
                <w:szCs w:val="18"/>
                <w:color w:val="auto"/>
              </w:rPr>
              <w:t>54.8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(338)</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(0.5)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141,225</w:t>
            </w: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137,844</w:t>
            </w:r>
          </w:p>
        </w:tc>
        <w:tc>
          <w:tcPr>
            <w:tcW w:w="740" w:type="dxa"/>
            <w:vAlign w:val="bottom"/>
            <w:gridSpan w:val="2"/>
          </w:tcPr>
          <w:p>
            <w:pPr>
              <w:jc w:val="right"/>
              <w:ind w:right="130"/>
              <w:spacing w:after="0"/>
              <w:rPr>
                <w:sz w:val="20"/>
                <w:szCs w:val="20"/>
                <w:color w:val="auto"/>
              </w:rPr>
            </w:pPr>
            <w:r>
              <w:rPr>
                <w:rFonts w:ascii="Arial" w:cs="Arial" w:eastAsia="Arial" w:hAnsi="Arial"/>
                <w:sz w:val="18"/>
                <w:szCs w:val="18"/>
                <w:color w:val="auto"/>
              </w:rPr>
              <w:t>54.9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3,381</w:t>
            </w: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53,123</w:t>
            </w:r>
          </w:p>
        </w:tc>
        <w:tc>
          <w:tcPr>
            <w:tcW w:w="8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43.4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57,422</w:t>
            </w:r>
          </w:p>
        </w:tc>
        <w:tc>
          <w:tcPr>
            <w:tcW w:w="7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45.2</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11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106,899</w:t>
            </w:r>
          </w:p>
        </w:tc>
        <w:tc>
          <w:tcPr>
            <w:tcW w:w="7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43.1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113,226</w:t>
            </w:r>
          </w:p>
        </w:tc>
        <w:tc>
          <w:tcPr>
            <w:tcW w:w="7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45.1</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7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1460" w:type="dxa"/>
            <w:vAlign w:val="bottom"/>
          </w:tcPr>
          <w:p>
            <w:pPr>
              <w:ind w:left="2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Marketing and</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21,730</w:t>
            </w:r>
          </w:p>
        </w:tc>
        <w:tc>
          <w:tcPr>
            <w:tcW w:w="8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17.8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21,055</w:t>
            </w:r>
          </w:p>
        </w:tc>
        <w:tc>
          <w:tcPr>
            <w:tcW w:w="7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16.6</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1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44,181</w:t>
            </w:r>
          </w:p>
        </w:tc>
        <w:tc>
          <w:tcPr>
            <w:tcW w:w="7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41,641</w:t>
            </w:r>
          </w:p>
        </w:tc>
        <w:tc>
          <w:tcPr>
            <w:tcW w:w="7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16.6</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7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1460" w:type="dxa"/>
            <w:vAlign w:val="bottom"/>
          </w:tcPr>
          <w:p>
            <w:pPr>
              <w:ind w:left="360"/>
              <w:spacing w:after="0"/>
              <w:rPr>
                <w:sz w:val="20"/>
                <w:szCs w:val="20"/>
                <w:color w:val="auto"/>
              </w:rPr>
            </w:pPr>
            <w:r>
              <w:rPr>
                <w:rFonts w:ascii="Arial" w:cs="Arial" w:eastAsia="Arial" w:hAnsi="Arial"/>
                <w:sz w:val="18"/>
                <w:szCs w:val="18"/>
                <w:color w:val="auto"/>
                <w:w w:val="96"/>
              </w:rPr>
              <w:t>Research and</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development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9,865</w:t>
            </w: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9,450</w:t>
            </w:r>
          </w:p>
        </w:tc>
        <w:tc>
          <w:tcPr>
            <w:tcW w:w="740" w:type="dxa"/>
            <w:vAlign w:val="bottom"/>
            <w:gridSpan w:val="2"/>
          </w:tcPr>
          <w:p>
            <w:pPr>
              <w:jc w:val="right"/>
              <w:ind w:right="130"/>
              <w:spacing w:after="0"/>
              <w:rPr>
                <w:sz w:val="20"/>
                <w:szCs w:val="20"/>
                <w:color w:val="auto"/>
              </w:rPr>
            </w:pPr>
            <w:r>
              <w:rPr>
                <w:rFonts w:ascii="Arial" w:cs="Arial" w:eastAsia="Arial" w:hAnsi="Arial"/>
                <w:sz w:val="18"/>
                <w:szCs w:val="18"/>
                <w:color w:val="auto"/>
              </w:rPr>
              <w:t>7.4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4.4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20,542</w:t>
            </w: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20,007</w:t>
            </w:r>
          </w:p>
        </w:tc>
        <w:tc>
          <w:tcPr>
            <w:tcW w:w="740" w:type="dxa"/>
            <w:vAlign w:val="bottom"/>
            <w:gridSpan w:val="2"/>
          </w:tcPr>
          <w:p>
            <w:pPr>
              <w:jc w:val="right"/>
              <w:ind w:right="130"/>
              <w:spacing w:after="0"/>
              <w:rPr>
                <w:sz w:val="20"/>
                <w:szCs w:val="20"/>
                <w:color w:val="auto"/>
              </w:rPr>
            </w:pPr>
            <w:r>
              <w:rPr>
                <w:rFonts w:ascii="Arial" w:cs="Arial" w:eastAsia="Arial" w:hAnsi="Arial"/>
                <w:sz w:val="18"/>
                <w:szCs w:val="18"/>
                <w:color w:val="auto"/>
              </w:rPr>
              <w:t>8.0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administrative</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15,822</w:t>
            </w:r>
          </w:p>
        </w:tc>
        <w:tc>
          <w:tcPr>
            <w:tcW w:w="8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16,522</w:t>
            </w:r>
          </w:p>
        </w:tc>
        <w:tc>
          <w:tcPr>
            <w:tcW w:w="7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1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32,655</w:t>
            </w:r>
          </w:p>
        </w:tc>
        <w:tc>
          <w:tcPr>
            <w:tcW w:w="7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33,293</w:t>
            </w:r>
          </w:p>
        </w:tc>
        <w:tc>
          <w:tcPr>
            <w:tcW w:w="7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13.3</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7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1460" w:type="dxa"/>
            <w:vAlign w:val="bottom"/>
          </w:tcPr>
          <w:p>
            <w:pPr>
              <w:ind w:left="360"/>
              <w:spacing w:after="0"/>
              <w:rPr>
                <w:sz w:val="20"/>
                <w:szCs w:val="20"/>
                <w:color w:val="auto"/>
              </w:rPr>
            </w:pPr>
            <w:r>
              <w:rPr>
                <w:rFonts w:ascii="Arial" w:cs="Arial" w:eastAsia="Arial" w:hAnsi="Arial"/>
                <w:sz w:val="18"/>
                <w:szCs w:val="18"/>
                <w:color w:val="auto"/>
              </w:rPr>
              <w:t>Closure of</w:t>
            </w:r>
          </w:p>
        </w:tc>
        <w:tc>
          <w:tcPr>
            <w:tcW w:w="10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80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5,194</w:t>
            </w:r>
          </w:p>
        </w:tc>
        <w:tc>
          <w:tcPr>
            <w:tcW w:w="74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4.1</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(5,096)</w:t>
            </w:r>
          </w:p>
        </w:tc>
        <w:tc>
          <w:tcPr>
            <w:tcW w:w="112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(98.1)</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164</w:t>
            </w:r>
          </w:p>
        </w:tc>
        <w:tc>
          <w:tcPr>
            <w:tcW w:w="72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5,194</w:t>
            </w:r>
          </w:p>
        </w:tc>
        <w:tc>
          <w:tcPr>
            <w:tcW w:w="74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2.1</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(5,030)</w:t>
            </w:r>
          </w:p>
        </w:tc>
        <w:tc>
          <w:tcPr>
            <w:tcW w:w="76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37"/>
        </w:trPr>
        <w:tc>
          <w:tcPr>
            <w:tcW w:w="1460" w:type="dxa"/>
            <w:vAlign w:val="bottom"/>
          </w:tcPr>
          <w:p>
            <w:pPr>
              <w:ind w:left="360"/>
              <w:spacing w:after="0"/>
              <w:rPr>
                <w:sz w:val="20"/>
                <w:szCs w:val="20"/>
                <w:color w:val="auto"/>
              </w:rPr>
            </w:pPr>
            <w:r>
              <w:rPr>
                <w:rFonts w:ascii="Arial" w:cs="Arial" w:eastAsia="Arial" w:hAnsi="Arial"/>
                <w:sz w:val="18"/>
                <w:szCs w:val="18"/>
                <w:color w:val="auto"/>
                <w:w w:val="86"/>
              </w:rPr>
              <w:t>Japan business</w:t>
            </w:r>
          </w:p>
        </w:tc>
        <w:tc>
          <w:tcPr>
            <w:tcW w:w="1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47,515</w:t>
            </w:r>
          </w:p>
        </w:tc>
        <w:tc>
          <w:tcPr>
            <w:tcW w:w="800" w:type="dxa"/>
            <w:vAlign w:val="bottom"/>
            <w:gridSpan w:val="2"/>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52,221</w:t>
            </w:r>
          </w:p>
        </w:tc>
        <w:tc>
          <w:tcPr>
            <w:tcW w:w="74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41.2</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12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(9.0)</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97,542</w:t>
            </w:r>
          </w:p>
        </w:tc>
        <w:tc>
          <w:tcPr>
            <w:tcW w:w="72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100,135</w:t>
            </w:r>
          </w:p>
        </w:tc>
        <w:tc>
          <w:tcPr>
            <w:tcW w:w="74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39.9</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76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14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8"/>
              </w:rPr>
              <w:t>expenses</w:t>
            </w:r>
          </w:p>
        </w:tc>
        <w:tc>
          <w:tcPr>
            <w:tcW w:w="1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Income from</w:t>
            </w: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5,608</w:t>
            </w: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5,201</w:t>
            </w:r>
          </w:p>
        </w:tc>
        <w:tc>
          <w:tcPr>
            <w:tcW w:w="740" w:type="dxa"/>
            <w:vAlign w:val="bottom"/>
            <w:gridSpan w:val="2"/>
          </w:tcPr>
          <w:p>
            <w:pPr>
              <w:jc w:val="right"/>
              <w:ind w:right="130"/>
              <w:spacing w:after="0"/>
              <w:rPr>
                <w:sz w:val="20"/>
                <w:szCs w:val="20"/>
                <w:color w:val="auto"/>
              </w:rPr>
            </w:pPr>
            <w:r>
              <w:rPr>
                <w:rFonts w:ascii="Arial" w:cs="Arial" w:eastAsia="Arial" w:hAnsi="Arial"/>
                <w:sz w:val="18"/>
                <w:szCs w:val="18"/>
                <w:color w:val="auto"/>
              </w:rPr>
              <w:t>4.1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7.8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9,357</w:t>
            </w: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13,091</w:t>
            </w:r>
          </w:p>
        </w:tc>
        <w:tc>
          <w:tcPr>
            <w:tcW w:w="740" w:type="dxa"/>
            <w:vAlign w:val="bottom"/>
            <w:gridSpan w:val="2"/>
          </w:tcPr>
          <w:p>
            <w:pPr>
              <w:jc w:val="right"/>
              <w:ind w:right="130"/>
              <w:spacing w:after="0"/>
              <w:rPr>
                <w:sz w:val="20"/>
                <w:szCs w:val="20"/>
                <w:color w:val="auto"/>
              </w:rPr>
            </w:pPr>
            <w:r>
              <w:rPr>
                <w:rFonts w:ascii="Arial" w:cs="Arial" w:eastAsia="Arial" w:hAnsi="Arial"/>
                <w:sz w:val="18"/>
                <w:szCs w:val="18"/>
                <w:color w:val="auto"/>
              </w:rPr>
              <w:t>5.2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(3,734)</w:t>
            </w: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w:t>
            </w:r>
          </w:p>
        </w:tc>
        <w:tc>
          <w:tcPr>
            <w:tcW w:w="10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80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112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(336,900.0)</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72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74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76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37"/>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net</w:t>
            </w:r>
          </w:p>
        </w:tc>
        <w:tc>
          <w:tcPr>
            <w:tcW w:w="1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Income before</w:t>
            </w: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2,240</w:t>
            </w: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5,202</w:t>
            </w:r>
          </w:p>
        </w:tc>
        <w:tc>
          <w:tcPr>
            <w:tcW w:w="740" w:type="dxa"/>
            <w:vAlign w:val="bottom"/>
            <w:gridSpan w:val="2"/>
          </w:tcPr>
          <w:p>
            <w:pPr>
              <w:jc w:val="right"/>
              <w:ind w:right="130"/>
              <w:spacing w:after="0"/>
              <w:rPr>
                <w:sz w:val="20"/>
                <w:szCs w:val="20"/>
                <w:color w:val="auto"/>
              </w:rPr>
            </w:pPr>
            <w:r>
              <w:rPr>
                <w:rFonts w:ascii="Arial" w:cs="Arial" w:eastAsia="Arial" w:hAnsi="Arial"/>
                <w:sz w:val="18"/>
                <w:szCs w:val="18"/>
                <w:color w:val="auto"/>
              </w:rPr>
              <w:t>4.1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(2,962)</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(56.9)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7,279</w:t>
            </w: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12,792</w:t>
            </w:r>
          </w:p>
        </w:tc>
        <w:tc>
          <w:tcPr>
            <w:tcW w:w="740" w:type="dxa"/>
            <w:vAlign w:val="bottom"/>
            <w:gridSpan w:val="2"/>
          </w:tcPr>
          <w:p>
            <w:pPr>
              <w:jc w:val="right"/>
              <w:ind w:right="130"/>
              <w:spacing w:after="0"/>
              <w:rPr>
                <w:sz w:val="20"/>
                <w:szCs w:val="20"/>
                <w:color w:val="auto"/>
              </w:rPr>
            </w:pPr>
            <w:r>
              <w:rPr>
                <w:rFonts w:ascii="Arial" w:cs="Arial" w:eastAsia="Arial" w:hAnsi="Arial"/>
                <w:sz w:val="18"/>
                <w:szCs w:val="18"/>
                <w:color w:val="auto"/>
              </w:rPr>
              <w:t>5.1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(5,513)</w:t>
            </w: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w:t>
            </w:r>
          </w:p>
        </w:tc>
        <w:tc>
          <w:tcPr>
            <w:tcW w:w="10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80" w:type="dxa"/>
            <w:vAlign w:val="bottom"/>
            <w:vMerge w:val="restart"/>
            <w:shd w:val="clear" w:color="auto" w:fill="CCEEFF"/>
          </w:tcPr>
          <w:p>
            <w:pPr>
              <w:spacing w:after="0"/>
              <w:rPr>
                <w:sz w:val="19"/>
                <w:szCs w:val="19"/>
                <w:color w:val="auto"/>
              </w:rPr>
            </w:pPr>
          </w:p>
        </w:tc>
        <w:tc>
          <w:tcPr>
            <w:tcW w:w="7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80" w:type="dxa"/>
            <w:vAlign w:val="bottom"/>
            <w:vMerge w:val="restart"/>
            <w:shd w:val="clear" w:color="auto" w:fill="CCEEFF"/>
          </w:tcPr>
          <w:p>
            <w:pPr>
              <w:spacing w:after="0"/>
              <w:rPr>
                <w:sz w:val="19"/>
                <w:szCs w:val="19"/>
                <w:color w:val="auto"/>
              </w:rPr>
            </w:pPr>
          </w:p>
        </w:tc>
        <w:tc>
          <w:tcPr>
            <w:tcW w:w="6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80" w:type="dxa"/>
            <w:vAlign w:val="bottom"/>
            <w:vMerge w:val="restart"/>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vMerge w:val="restart"/>
            <w:shd w:val="clear" w:color="auto" w:fill="CCEEFF"/>
          </w:tcPr>
          <w:p>
            <w:pPr>
              <w:spacing w:after="0"/>
              <w:rPr>
                <w:sz w:val="19"/>
                <w:szCs w:val="19"/>
                <w:color w:val="auto"/>
              </w:rPr>
            </w:pP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80" w:type="dxa"/>
            <w:vAlign w:val="bottom"/>
            <w:vMerge w:val="restart"/>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80" w:type="dxa"/>
            <w:vAlign w:val="bottom"/>
            <w:vMerge w:val="restart"/>
            <w:shd w:val="clear" w:color="auto" w:fill="CCEEFF"/>
          </w:tcPr>
          <w:p>
            <w:pPr>
              <w:spacing w:after="0"/>
              <w:rPr>
                <w:sz w:val="19"/>
                <w:szCs w:val="19"/>
                <w:color w:val="auto"/>
              </w:rPr>
            </w:pPr>
          </w:p>
        </w:tc>
        <w:tc>
          <w:tcPr>
            <w:tcW w:w="6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80" w:type="dxa"/>
            <w:vAlign w:val="bottom"/>
            <w:vMerge w:val="restart"/>
            <w:shd w:val="clear" w:color="auto" w:fill="CCEEFF"/>
          </w:tcPr>
          <w:p>
            <w:pPr>
              <w:spacing w:after="0"/>
              <w:rPr>
                <w:sz w:val="19"/>
                <w:szCs w:val="19"/>
                <w:color w:val="auto"/>
              </w:rPr>
            </w:pPr>
          </w:p>
        </w:tc>
        <w:tc>
          <w:tcPr>
            <w:tcW w:w="6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80" w:type="dxa"/>
            <w:vAlign w:val="bottom"/>
            <w:vMerge w:val="restart"/>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vMerge w:val="restart"/>
            <w:shd w:val="clear" w:color="auto" w:fill="CCEEFF"/>
          </w:tcPr>
          <w:p>
            <w:pPr>
              <w:spacing w:after="0"/>
              <w:rPr>
                <w:sz w:val="19"/>
                <w:szCs w:val="19"/>
                <w:color w:val="auto"/>
              </w:rPr>
            </w:pPr>
          </w:p>
        </w:tc>
        <w:tc>
          <w:tcPr>
            <w:tcW w:w="6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2,557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$(2,940)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(115.0)%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2,276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7,652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$(5,376)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Stock-based compensation expense included in the statements of operations data above for the three and six months June 30,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7"/>
              </w:rPr>
              <w:t>Three Months Ended June 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7"/>
        </w:trPr>
        <w:tc>
          <w:tcPr>
            <w:tcW w:w="4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(dollars in thousands)</w:t>
            </w:r>
          </w:p>
        </w:tc>
        <w:tc>
          <w:tcPr>
            <w:tcW w:w="28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7"/>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restricted stock and performance stock</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6,588</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7,674</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7"/>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7,370</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Marketing and sales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7"/>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r>
      <w:tr>
        <w:trPr>
          <w:trHeight w:val="263"/>
        </w:trPr>
        <w:tc>
          <w:tcPr>
            <w:tcW w:w="46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7,370</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8,428</w:t>
            </w:r>
          </w:p>
        </w:tc>
      </w:tr>
      <w:tr>
        <w:trPr>
          <w:trHeight w:val="21"/>
        </w:trPr>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79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79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2023 and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Revenue by reportable segment and the related changes for the three months ended June 30,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94"/>
              </w:rPr>
              <w:t>Three Months Ended June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8"/>
        </w:trPr>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 of Total</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 of Total</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3700" w:type="dxa"/>
            <w:vAlign w:val="bottom"/>
          </w:tcPr>
          <w:p>
            <w:pPr>
              <w:ind w:left="20"/>
              <w:spacing w:after="0"/>
              <w:rPr>
                <w:sz w:val="20"/>
                <w:szCs w:val="20"/>
                <w:color w:val="auto"/>
              </w:rPr>
            </w:pPr>
            <w:r>
              <w:rPr>
                <w:rFonts w:ascii="Arial" w:cs="Arial" w:eastAsia="Arial" w:hAnsi="Arial"/>
                <w:sz w:val="18"/>
                <w:szCs w:val="18"/>
                <w:color w:val="auto"/>
              </w:rPr>
              <w:t>(dollars in thousands)</w:t>
            </w:r>
          </w:p>
        </w:tc>
        <w:tc>
          <w:tcPr>
            <w:tcW w:w="280" w:type="dxa"/>
            <w:vAlign w:val="bottom"/>
          </w:tcPr>
          <w:p>
            <w:pPr>
              <w:spacing w:after="0"/>
              <w:rPr>
                <w:sz w:val="20"/>
                <w:szCs w:val="20"/>
                <w:color w:val="auto"/>
              </w:rPr>
            </w:pPr>
          </w:p>
        </w:tc>
        <w:tc>
          <w:tcPr>
            <w:tcW w:w="8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Revenue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Revenue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3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78.8 %</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100,655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79.3 %</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110"/>
              <w:spacing w:after="0"/>
              <w:rPr>
                <w:sz w:val="20"/>
                <w:szCs w:val="20"/>
                <w:color w:val="auto"/>
              </w:rPr>
            </w:pPr>
            <w:r>
              <w:rPr>
                <w:rFonts w:ascii="Arial" w:cs="Arial" w:eastAsia="Arial" w:hAnsi="Arial"/>
                <w:sz w:val="18"/>
                <w:szCs w:val="18"/>
                <w:color w:val="auto"/>
                <w:w w:val="91"/>
              </w:rPr>
              <w:t>(4,334)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w w:val="88"/>
              </w:rPr>
              <w:t>2,553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10.9</w:t>
            </w:r>
          </w:p>
        </w:tc>
      </w:tr>
      <w:tr>
        <w:trPr>
          <w:trHeight w:val="263"/>
        </w:trPr>
        <w:tc>
          <w:tcPr>
            <w:tcW w:w="3700" w:type="dxa"/>
            <w:vAlign w:val="bottom"/>
          </w:tcPr>
          <w:p>
            <w:pPr>
              <w:ind w:left="20"/>
              <w:spacing w:after="0"/>
              <w:rPr>
                <w:sz w:val="20"/>
                <w:szCs w:val="20"/>
                <w:color w:val="auto"/>
              </w:rPr>
            </w:pPr>
            <w:r>
              <w:rPr>
                <w:rFonts w:ascii="Arial" w:cs="Arial" w:eastAsia="Arial" w:hAnsi="Arial"/>
                <w:sz w:val="18"/>
                <w:szCs w:val="18"/>
                <w:color w:val="auto"/>
              </w:rPr>
              <w:t>Japan</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1"/>
              </w:rPr>
              <w:t>(2,856)</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(100.0)</w:t>
            </w:r>
          </w:p>
        </w:tc>
      </w:tr>
      <w:tr>
        <w:trPr>
          <w:trHeight w:val="290"/>
        </w:trPr>
        <w:tc>
          <w:tcPr>
            <w:tcW w:w="3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126,902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(4,637)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37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r>
    </w:tbl>
    <w:p>
      <w:pPr>
        <w:spacing w:after="0" w:line="25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revenue decreased $4.6 million, or 3.7%, for the three months ended June 30, 2023 compared to the same period in 2022. By reportable segment, revenue in the United States decreased $4.3 million, or 4.3%, for the three months ended June 30, 2023 compared to the same period in 2022. Revenue in Europe increased $2.6 million, or 10.9%, and revenue in Japan decreased $2.9 million, or 100.0% in each case for the three months ended June 30, 2023 compared to the same period in 2022. The decrease in Japan revenue was driven by our decision in the second quarter of 2022 to close our Japan operations. Revenue generated from our digital network powered by Hubs was $20.2 million and $11.3 million for the three months ended June 30, 2023 and 2022, respectively. International revenue was negatively impacted by $0.5 million during three months ended June 30, 2023 compared to the same period in 2022 as a result of foreign currency movements, primarily the weakening of the British Pound and Euro relative to the United States Dollar.</w:t>
      </w:r>
    </w:p>
    <w:p>
      <w:pPr>
        <w:spacing w:after="0" w:line="12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During the three months ended June 30, 2023, we served 23,377 unique product developers and engineers, which is a decrease of 2.8% from the same period in 2022. Our decline in product developers and engineers served decreased at a lesser rate than our revenue decline, resulting in an increase in the average spend per product developer and engineer.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line and the related changes for the three months ended June 30,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b w:val="1"/>
                <w:bCs w:val="1"/>
                <w:color w:val="auto"/>
                <w:w w:val="98"/>
              </w:rPr>
              <w:t>Three Months Ended June 30,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00" w:type="dxa"/>
            <w:vAlign w:val="bottom"/>
            <w:gridSpan w:val="3"/>
          </w:tcPr>
          <w:p>
            <w:pPr>
              <w:jc w:val="right"/>
              <w:ind w:right="1050"/>
              <w:spacing w:after="0"/>
              <w:rPr>
                <w:sz w:val="20"/>
                <w:szCs w:val="20"/>
                <w:color w:val="auto"/>
              </w:rPr>
            </w:pPr>
            <w:r>
              <w:rPr>
                <w:rFonts w:ascii="Arial" w:cs="Arial" w:eastAsia="Arial" w:hAnsi="Arial"/>
                <w:sz w:val="18"/>
                <w:szCs w:val="18"/>
                <w:b w:val="1"/>
                <w:bCs w:val="1"/>
                <w:color w:val="auto"/>
                <w:w w:val="84"/>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gridSpan w:val="3"/>
          </w:tcPr>
          <w:p>
            <w:pPr>
              <w:jc w:val="right"/>
              <w:ind w:right="1050"/>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8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3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Total</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Total</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5"/>
        </w:trPr>
        <w:tc>
          <w:tcPr>
            <w:tcW w:w="3180" w:type="dxa"/>
            <w:vAlign w:val="bottom"/>
          </w:tcPr>
          <w:p>
            <w:pPr>
              <w:ind w:left="20"/>
              <w:spacing w:after="0"/>
              <w:rPr>
                <w:sz w:val="20"/>
                <w:szCs w:val="20"/>
                <w:color w:val="auto"/>
              </w:rPr>
            </w:pPr>
            <w:r>
              <w:rPr>
                <w:rFonts w:ascii="Arial" w:cs="Arial" w:eastAsia="Arial" w:hAnsi="Arial"/>
                <w:sz w:val="18"/>
                <w:szCs w:val="18"/>
                <w:color w:val="auto"/>
              </w:rPr>
              <w:t>(dollars in thousands)</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Injection Molding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48,819</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39.9 %</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53,355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42.0 %</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CNC Machining</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48,297</w:t>
            </w:r>
          </w:p>
        </w:tc>
        <w:tc>
          <w:tcPr>
            <w:tcW w:w="1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39.5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48,222</w:t>
            </w:r>
          </w:p>
        </w:tc>
        <w:tc>
          <w:tcPr>
            <w:tcW w:w="1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3D Printing</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21,005</w:t>
            </w:r>
          </w:p>
        </w:tc>
        <w:tc>
          <w:tcPr>
            <w:tcW w:w="1500" w:type="dxa"/>
            <w:vAlign w:val="bottom"/>
            <w:gridSpan w:val="3"/>
          </w:tcPr>
          <w:p>
            <w:pPr>
              <w:jc w:val="right"/>
              <w:ind w:right="13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19,963</w:t>
            </w:r>
          </w:p>
        </w:tc>
        <w:tc>
          <w:tcPr>
            <w:tcW w:w="1500" w:type="dxa"/>
            <w:vAlign w:val="bottom"/>
            <w:gridSpan w:val="3"/>
          </w:tcPr>
          <w:p>
            <w:pPr>
              <w:jc w:val="right"/>
              <w:ind w:right="1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5.2</w:t>
            </w:r>
          </w:p>
        </w:tc>
      </w:tr>
      <w:tr>
        <w:trPr>
          <w:trHeight w:val="27"/>
        </w:trPr>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Sheet Metal</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1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(23.7)</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w:t>
            </w:r>
          </w:p>
        </w:tc>
        <w:tc>
          <w:tcPr>
            <w:tcW w:w="1500" w:type="dxa"/>
            <w:vAlign w:val="bottom"/>
            <w:gridSpan w:val="3"/>
          </w:tcPr>
          <w:p>
            <w:pPr>
              <w:jc w:val="right"/>
              <w:ind w:right="13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w:t>
            </w:r>
          </w:p>
        </w:tc>
        <w:tc>
          <w:tcPr>
            <w:tcW w:w="1500" w:type="dxa"/>
            <w:vAlign w:val="bottom"/>
            <w:gridSpan w:val="3"/>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1.5</w:t>
            </w:r>
          </w:p>
        </w:tc>
      </w:tr>
      <w:tr>
        <w:trPr>
          <w:trHeight w:val="27"/>
        </w:trPr>
        <w:tc>
          <w:tcPr>
            <w:tcW w:w="3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122,265</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126,902</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96"/>
        </w:trPr>
        <w:tc>
          <w:tcPr>
            <w:tcW w:w="3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bl>
    <w:p>
      <w:pPr>
        <w:spacing w:after="0" w:line="25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By product line, our revenue decrease was driven by a 8.5% decrease in Injection Molding revenue and a 23.7% decrease in Sheet Metal revenue, which was partially offset by a 0.2% increase in CNC Machining revenue, a 5.2% increase in 3D Printing revenue and a 1.5% increase in Other Revenue, in each case for the three months ended June 30, 2023 compared to the same period in 2022.</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98"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decreased $0.3 million, or 0.5%, for the three months ended June 30, 2023 compared to the same period in 2022, which</w:t>
      </w:r>
      <w:r>
        <w:rPr>
          <w:rFonts w:ascii="Arial" w:cs="Arial" w:eastAsia="Arial" w:hAnsi="Arial"/>
          <w:sz w:val="16"/>
          <w:szCs w:val="16"/>
          <w:i w:val="1"/>
          <w:iCs w:val="1"/>
          <w:color w:val="auto"/>
        </w:rPr>
        <w:t xml:space="preserve"> </w:t>
      </w:r>
      <w:r>
        <w:rPr>
          <w:rFonts w:ascii="Arial" w:cs="Arial" w:eastAsia="Arial" w:hAnsi="Arial"/>
          <w:sz w:val="16"/>
          <w:szCs w:val="16"/>
          <w:color w:val="auto"/>
        </w:rPr>
        <w:t>was less than the rate of revenue decrease of 3.7% for the three months ended June 30, 2023 compared to the same period in 2022. The decrease in the cost of revenue of $0.3 million was primarily driven by reduced headcount and decreases in overtime and contract labor expense and led to lower personnel and related costs of $3.8 million, which were partly offset by increases in raw material and product costs of $3.5 million primarily driven by higher revenue volumes in our digital network offering during the three months ended June 30, 2023 compared to the same period in 2022.</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 xml:space="preserve">Gross Profit and Gross Margin. </w:t>
      </w:r>
      <w:r>
        <w:rPr>
          <w:rFonts w:ascii="Arial" w:cs="Arial" w:eastAsia="Arial" w:hAnsi="Arial"/>
          <w:sz w:val="16"/>
          <w:szCs w:val="16"/>
          <w:color w:val="auto"/>
        </w:rPr>
        <w:t>Gross profit decreased from $57.4 million in the three months ended June 30, 2022 to $53.1 million in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2023. Gross margin decreased from 45.2% in the three months ended June 30, 2022 to 43.4% in the three months ended June 30, 2023.</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Other (Loss) Income, net and Provision for Income Taxes</w:t>
      </w:r>
    </w:p>
    <w:p>
      <w:pPr>
        <w:spacing w:after="0" w:line="19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Marketing and sales expenses increased $0.7 million, or 3.2%, during the three months ended June 30, 2023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2022. The increase in marketing and sales expenses was primarily driven by increases in personnel and related costs of $0.5 million and marketing program cost increases of $0.2 million during the three months ended June 30, 2023 when compared to the same period in 2022.</w:t>
      </w:r>
    </w:p>
    <w:p>
      <w:pPr>
        <w:spacing w:after="0" w:line="10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increased $0.4 million, or 4.4%, during the three months ended June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2022 primarily due to increases of $0.5 million in personnel and related costs, which were partially offset by decreases of $0.1 million in professional services.</w:t>
      </w:r>
    </w:p>
    <w:p>
      <w:pPr>
        <w:spacing w:after="0" w:line="14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decreased $0.7 million, or 4.2%, during the three months ended June 30, 2023</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2022 primarily due to decreases of $0.3 million stock based compensation costs and personnel and related costs of $0.5 million, which were partially offset by an increase of $0.1 million in professional services and operating costs.</w:t>
      </w:r>
    </w:p>
    <w:p>
      <w:pPr>
        <w:spacing w:after="0" w:line="13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Closure of Japan business. </w:t>
      </w:r>
      <w:r>
        <w:rPr>
          <w:rFonts w:ascii="Arial" w:cs="Arial" w:eastAsia="Arial" w:hAnsi="Arial"/>
          <w:sz w:val="18"/>
          <w:szCs w:val="18"/>
          <w:color w:val="auto"/>
        </w:rPr>
        <w:t>Our decision to close our Japan business resulted in $0.1 million in operating expenses during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2023, a decrease of $5.1 million or 98.1% compared to the same period in 2022. During the three months ended June 30, 2022, we recognized $2.2 million of employee severance, $1.2 million related to the write-down of fixed assets, $0.9 million of facility-related charges, $0.6 million in goodwill impairment and $0.3 million in other closure related charges.</w:t>
      </w:r>
    </w:p>
    <w:p>
      <w:pPr>
        <w:spacing w:after="0" w:line="14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 xml:space="preserve">Other (loss) income, net. </w:t>
      </w:r>
      <w:r>
        <w:rPr>
          <w:rFonts w:ascii="Arial" w:cs="Arial" w:eastAsia="Arial" w:hAnsi="Arial"/>
          <w:sz w:val="17"/>
          <w:szCs w:val="17"/>
          <w:color w:val="auto"/>
        </w:rPr>
        <w:t>We recognized other loss, net of $3.4 million for the three months ended June 30, 2023, a decrease of $3.4 million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income, net of zero for the three months ended June 30, 2022. Other income, net for the three months ended June 30, 2023 primarily consisted of a $3.9 million foreign currency translation loss from the substantial completion on the closure of our Japan business, partly offset by $0.5 million in interest income on investments and other income. Other income, net for the three months ended June 30, 2022 primarily consisted of a $0.3 million loss on foreign currency, which was offset by interest income on investments and other income.</w:t>
      </w:r>
    </w:p>
    <w:p>
      <w:pPr>
        <w:spacing w:after="0" w:line="13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Our effective tax rate of 117.1% for the three months ended June 30, 2023 increased 66.3% compared to 50.8%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2022. The increase in the effective tax rate is primarily due to the foreign currency translation loss from the substantial completion on the closure of our Japan business, which is not deductible for tax purposes. Our income tax provision of $2.6 million for the three months ended June 30, 2023 was consistent as compared to the same period in 2022.</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2023 and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Revenue by reportable segment and the related changes for the six months ended June 30,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gridSpan w:val="4"/>
          </w:tcPr>
          <w:p>
            <w:pPr>
              <w:jc w:val="right"/>
              <w:spacing w:after="0"/>
              <w:rPr>
                <w:sz w:val="20"/>
                <w:szCs w:val="20"/>
                <w:color w:val="auto"/>
              </w:rPr>
            </w:pPr>
            <w:r>
              <w:rPr>
                <w:rFonts w:ascii="Arial" w:cs="Arial" w:eastAsia="Arial" w:hAnsi="Arial"/>
                <w:sz w:val="18"/>
                <w:szCs w:val="18"/>
                <w:b w:val="1"/>
                <w:bCs w:val="1"/>
                <w:color w:val="auto"/>
                <w:w w:val="98"/>
              </w:rPr>
              <w:t>Six Months Ended June 30,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w w:val="84"/>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80" w:type="dxa"/>
            <w:vAlign w:val="bottom"/>
            <w:gridSpan w:val="3"/>
          </w:tcPr>
          <w:p>
            <w:pPr>
              <w:jc w:val="right"/>
              <w:ind w:right="930"/>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8"/>
        </w:trPr>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 of Total</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 of Total</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3700" w:type="dxa"/>
            <w:vAlign w:val="bottom"/>
          </w:tcPr>
          <w:p>
            <w:pPr>
              <w:ind w:left="20"/>
              <w:spacing w:after="0"/>
              <w:rPr>
                <w:sz w:val="20"/>
                <w:szCs w:val="20"/>
                <w:color w:val="auto"/>
              </w:rPr>
            </w:pPr>
            <w:r>
              <w:rPr>
                <w:rFonts w:ascii="Arial" w:cs="Arial" w:eastAsia="Arial" w:hAnsi="Arial"/>
                <w:sz w:val="18"/>
                <w:szCs w:val="18"/>
                <w:color w:val="auto"/>
              </w:rPr>
              <w:t>(dollars in thousands)</w:t>
            </w:r>
          </w:p>
        </w:tc>
        <w:tc>
          <w:tcPr>
            <w:tcW w:w="280" w:type="dxa"/>
            <w:vAlign w:val="bottom"/>
          </w:tcPr>
          <w:p>
            <w:pPr>
              <w:spacing w:after="0"/>
              <w:rPr>
                <w:sz w:val="20"/>
                <w:szCs w:val="20"/>
                <w:color w:val="auto"/>
              </w:rPr>
            </w:pPr>
          </w:p>
        </w:tc>
        <w:tc>
          <w:tcPr>
            <w:tcW w:w="7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3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194,067</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78.2 %</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196,151</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78.1 %</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110"/>
              <w:spacing w:after="0"/>
              <w:rPr>
                <w:sz w:val="20"/>
                <w:szCs w:val="20"/>
                <w:color w:val="auto"/>
              </w:rPr>
            </w:pPr>
            <w:r>
              <w:rPr>
                <w:rFonts w:ascii="Arial" w:cs="Arial" w:eastAsia="Arial" w:hAnsi="Arial"/>
                <w:sz w:val="18"/>
                <w:szCs w:val="18"/>
                <w:color w:val="auto"/>
                <w:w w:val="91"/>
              </w:rPr>
              <w:t>(2,084)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54,057</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47,977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w w:val="88"/>
              </w:rPr>
              <w:t>6,080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12.7</w:t>
            </w:r>
          </w:p>
        </w:tc>
      </w:tr>
      <w:tr>
        <w:trPr>
          <w:trHeight w:val="263"/>
        </w:trPr>
        <w:tc>
          <w:tcPr>
            <w:tcW w:w="3700" w:type="dxa"/>
            <w:vAlign w:val="bottom"/>
          </w:tcPr>
          <w:p>
            <w:pPr>
              <w:ind w:left="20"/>
              <w:spacing w:after="0"/>
              <w:rPr>
                <w:sz w:val="20"/>
                <w:szCs w:val="20"/>
                <w:color w:val="auto"/>
              </w:rPr>
            </w:pPr>
            <w:r>
              <w:rPr>
                <w:rFonts w:ascii="Arial" w:cs="Arial" w:eastAsia="Arial" w:hAnsi="Arial"/>
                <w:sz w:val="18"/>
                <w:szCs w:val="18"/>
                <w:color w:val="auto"/>
              </w:rPr>
              <w:t>Japan</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6,942</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1"/>
              </w:rPr>
              <w:t>(6,942)</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(100.0)</w:t>
            </w:r>
          </w:p>
        </w:tc>
      </w:tr>
      <w:tr>
        <w:trPr>
          <w:trHeight w:val="290"/>
        </w:trPr>
        <w:tc>
          <w:tcPr>
            <w:tcW w:w="3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248,124</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251,070</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(2,946)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37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r>
    </w:tbl>
    <w:p>
      <w:pPr>
        <w:spacing w:after="0" w:line="16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revenue decreased $2.9 million, or 1.2%, for the six months ended June 30, 2023 compared to the same period in 2022. By reportable segment, revenue in the United States decreased $2.1 million, or 1.1%, for the six months ended June 30, 2023 compared to the same period in 2022. Revenue in Europe increased $6.1 million, or 12.7%, and revenue in Japan decreased $6.9 million, or 100.0% in each case for the six months ended June 30, 2023 compared to the same period in 2022. The decrease in Japan revenue was driven by our decision in the second quarter of 2022 to close our Japan operations. Revenue generated from our digital network powered by Hubs was $37.5 million and $21.6 million for the six months ended June 30, 2023 and 2022, respectively. International revenue was negatively impacted by $3.0 million during six months ended June 30, 2023 compared to the same period in 2022 as a result of foreign currency movements, primarily the weakening of the British Pound and Euro relative to the United States Dollar.</w:t>
      </w:r>
    </w:p>
    <w:p>
      <w:pPr>
        <w:spacing w:after="0" w:line="12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six months ended June 30, 2023, we served 35,743 unique product developers and engineers, a decrease of 3.1% from the same period in 2022. Our decrease in product developers and engineers served decreased at a higher rate than our revenue decline, resulting in a decrease in the average spend per product developer and engineer.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line and the related changes for the six months ended June 30,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Six Months Ended June 30,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00" w:type="dxa"/>
            <w:vAlign w:val="bottom"/>
            <w:gridSpan w:val="3"/>
          </w:tcPr>
          <w:p>
            <w:pPr>
              <w:jc w:val="right"/>
              <w:ind w:right="1050"/>
              <w:spacing w:after="0"/>
              <w:rPr>
                <w:sz w:val="20"/>
                <w:szCs w:val="20"/>
                <w:color w:val="auto"/>
              </w:rPr>
            </w:pPr>
            <w:r>
              <w:rPr>
                <w:rFonts w:ascii="Arial" w:cs="Arial" w:eastAsia="Arial" w:hAnsi="Arial"/>
                <w:sz w:val="18"/>
                <w:szCs w:val="18"/>
                <w:b w:val="1"/>
                <w:bCs w:val="1"/>
                <w:color w:val="auto"/>
                <w:w w:val="84"/>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gridSpan w:val="3"/>
          </w:tcPr>
          <w:p>
            <w:pPr>
              <w:jc w:val="right"/>
              <w:ind w:right="1050"/>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8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3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Total</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Total</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180" w:type="dxa"/>
            <w:vAlign w:val="bottom"/>
          </w:tcPr>
          <w:p>
            <w:pPr>
              <w:ind w:left="20"/>
              <w:spacing w:after="0"/>
              <w:rPr>
                <w:sz w:val="20"/>
                <w:szCs w:val="20"/>
                <w:color w:val="auto"/>
              </w:rPr>
            </w:pPr>
            <w:r>
              <w:rPr>
                <w:rFonts w:ascii="Arial" w:cs="Arial" w:eastAsia="Arial" w:hAnsi="Arial"/>
                <w:sz w:val="18"/>
                <w:szCs w:val="18"/>
                <w:color w:val="auto"/>
              </w:rPr>
              <w:t>(dollars in thousands)</w:t>
            </w:r>
          </w:p>
        </w:tc>
        <w:tc>
          <w:tcPr>
            <w:tcW w:w="320" w:type="dxa"/>
            <w:vAlign w:val="bottom"/>
          </w:tcPr>
          <w:p>
            <w:pPr>
              <w:spacing w:after="0"/>
              <w:rPr>
                <w:sz w:val="20"/>
                <w:szCs w:val="20"/>
                <w:color w:val="auto"/>
              </w:rPr>
            </w:pPr>
          </w:p>
        </w:tc>
        <w:tc>
          <w:tcPr>
            <w:tcW w:w="8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3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Injection Molding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100,767</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40.6 %</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106,753</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42.5 %</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CNC Machining</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96,401</w:t>
            </w:r>
          </w:p>
        </w:tc>
        <w:tc>
          <w:tcPr>
            <w:tcW w:w="1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38.9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94,320</w:t>
            </w:r>
          </w:p>
        </w:tc>
        <w:tc>
          <w:tcPr>
            <w:tcW w:w="1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3D Printing</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42,330</w:t>
            </w:r>
          </w:p>
        </w:tc>
        <w:tc>
          <w:tcPr>
            <w:tcW w:w="1500" w:type="dxa"/>
            <w:vAlign w:val="bottom"/>
            <w:gridSpan w:val="3"/>
          </w:tcPr>
          <w:p>
            <w:pPr>
              <w:jc w:val="right"/>
              <w:ind w:right="13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39,635</w:t>
            </w:r>
          </w:p>
        </w:tc>
        <w:tc>
          <w:tcPr>
            <w:tcW w:w="1500" w:type="dxa"/>
            <w:vAlign w:val="bottom"/>
            <w:gridSpan w:val="3"/>
          </w:tcPr>
          <w:p>
            <w:pPr>
              <w:jc w:val="right"/>
              <w:ind w:right="13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6.8</w:t>
            </w:r>
          </w:p>
        </w:tc>
      </w:tr>
      <w:tr>
        <w:trPr>
          <w:trHeight w:val="27"/>
        </w:trPr>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Sheet Metal</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8,187</w:t>
            </w:r>
          </w:p>
        </w:tc>
        <w:tc>
          <w:tcPr>
            <w:tcW w:w="1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1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w:t>
            </w:r>
          </w:p>
        </w:tc>
        <w:tc>
          <w:tcPr>
            <w:tcW w:w="1500" w:type="dxa"/>
            <w:vAlign w:val="bottom"/>
            <w:gridSpan w:val="3"/>
          </w:tcPr>
          <w:p>
            <w:pPr>
              <w:jc w:val="right"/>
              <w:ind w:right="13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w:t>
            </w:r>
          </w:p>
        </w:tc>
        <w:tc>
          <w:tcPr>
            <w:tcW w:w="1500" w:type="dxa"/>
            <w:vAlign w:val="bottom"/>
            <w:gridSpan w:val="3"/>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(14.8)</w:t>
            </w:r>
          </w:p>
        </w:tc>
      </w:tr>
      <w:tr>
        <w:trPr>
          <w:trHeight w:val="27"/>
        </w:trPr>
        <w:tc>
          <w:tcPr>
            <w:tcW w:w="3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248,124</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251,070</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3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r>
    </w:tbl>
    <w:p>
      <w:pPr>
        <w:spacing w:after="0" w:line="16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By product line, our revenue decrease was driven by a 5.6% decrease in Injection Molding revenue, a 16.9% decrease in Sheet Metal revenue and a 14.8% decrease in Other Revenue, which was partially offset by a 2.2% increase in CNC Machining revenue and a 6.8% increase in 3D Printing revenue in each case for the six months ended June 30, 2023 compared to the same period in 2022.</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increased $3.4 million, or 2.5%, for the six months ended June 30, 2023 compared to the same period in 2022,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higher than the rate of revenue decrease of 1.2% for the six months ended June 30, 2023 compared to the same period in 2022. The increase in cost of revenue of $3.4 million was primarily driven by increases in raw material and product costs of $9.0 million primarily driven by higher revenue volumes in our digital network offering, partly offset by reduced headcount and decreases in overtime and contract labor expense and led to lower personnel and related costs of $5.6 million during the six months ended June 30, 2023 compared to the same period in 2022.</w:t>
      </w:r>
    </w:p>
    <w:p>
      <w:pPr>
        <w:spacing w:after="0" w:line="13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i w:val="1"/>
          <w:iCs w:val="1"/>
          <w:color w:val="auto"/>
        </w:rPr>
        <w:t xml:space="preserve">Gross Profit and Gross Margin. </w:t>
      </w:r>
      <w:r>
        <w:rPr>
          <w:rFonts w:ascii="Arial" w:cs="Arial" w:eastAsia="Arial" w:hAnsi="Arial"/>
          <w:sz w:val="16"/>
          <w:szCs w:val="16"/>
          <w:color w:val="auto"/>
        </w:rPr>
        <w:t>Gross profit decreased from $113.2 million in the six months ended June 30, 2022 to $106.9 million in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2023. Gross margin decreased from 45.1% in the six months ended June 30, 2022 to 43.1% in the six months ended June 30, 2023.</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Other Income (Loss), net and Provision for Income Taxes</w:t>
      </w:r>
    </w:p>
    <w:p>
      <w:pPr>
        <w:spacing w:after="0" w:line="19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color w:val="auto"/>
        </w:rPr>
        <w:t xml:space="preserve">Marketing and Sales. </w:t>
      </w:r>
      <w:r>
        <w:rPr>
          <w:rFonts w:ascii="Arial" w:cs="Arial" w:eastAsia="Arial" w:hAnsi="Arial"/>
          <w:sz w:val="18"/>
          <w:szCs w:val="18"/>
          <w:color w:val="auto"/>
        </w:rPr>
        <w:t>Marketing and sales expenses increased $2.5 million, or 6.1%, during the six months ended June 30, 2023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2022. The increase was driven by increases in personnel and related costs of $2.0 million and marketing program cost increases of $0.5 million during the six months ended June 30, 2023 when compared to the same period in 2022.</w:t>
      </w:r>
    </w:p>
    <w:p>
      <w:pPr>
        <w:spacing w:after="0" w:line="14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increased $0.5 million, or 2.7%, during the six months ended June 30, 2023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in 2022 primarily due to personnel and related cost increases of $1.1 million, which were partially offset by decreases in professional services and other operating costs of $0.6 million.</w:t>
      </w:r>
    </w:p>
    <w:p>
      <w:pPr>
        <w:spacing w:after="0" w:line="14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decreased $0.6 million, or 1.9%, during the six months ended June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2022 primarily due to decreases in stock based compensation costs of $0.5 million and personnel and related costs of $0.1 million.</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Closure of Japan business. </w:t>
      </w:r>
      <w:r>
        <w:rPr>
          <w:rFonts w:ascii="Arial" w:cs="Arial" w:eastAsia="Arial" w:hAnsi="Arial"/>
          <w:sz w:val="18"/>
          <w:szCs w:val="18"/>
          <w:color w:val="auto"/>
        </w:rPr>
        <w:t>Our decision to close our Japan business resulted in $0.2 million in operating expenses during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2023, a decrease of $5.0 million or 96.8% compared to the same period in 2022. During the six months ended June 30, 2022, we recognized $2.2 million of employee severance, $1.2 million related to the write-down of fixed assets, $0.9 million of facility-related charges, $0.6 million in goodwill impairment and $0.3 million in other closure related charges.</w:t>
      </w:r>
    </w:p>
    <w:p>
      <w:pPr>
        <w:spacing w:after="0" w:line="146"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i w:val="1"/>
          <w:iCs w:val="1"/>
          <w:color w:val="auto"/>
        </w:rPr>
        <w:t xml:space="preserve">Other loss, net. </w:t>
      </w:r>
      <w:r>
        <w:rPr>
          <w:rFonts w:ascii="Arial" w:cs="Arial" w:eastAsia="Arial" w:hAnsi="Arial"/>
          <w:sz w:val="17"/>
          <w:szCs w:val="17"/>
          <w:color w:val="auto"/>
        </w:rPr>
        <w:t>We recognized other loss, net of $2.1 million for the six months ended June 30, 2023, a increase of $1.8 million compared to other loss, net</w:t>
      </w:r>
      <w:r>
        <w:rPr>
          <w:rFonts w:ascii="Arial" w:cs="Arial" w:eastAsia="Arial" w:hAnsi="Arial"/>
          <w:sz w:val="17"/>
          <w:szCs w:val="17"/>
          <w:i w:val="1"/>
          <w:iCs w:val="1"/>
          <w:color w:val="auto"/>
        </w:rPr>
        <w:t xml:space="preserve"> </w:t>
      </w:r>
      <w:r>
        <w:rPr>
          <w:rFonts w:ascii="Arial" w:cs="Arial" w:eastAsia="Arial" w:hAnsi="Arial"/>
          <w:sz w:val="17"/>
          <w:szCs w:val="17"/>
          <w:color w:val="auto"/>
        </w:rPr>
        <w:t>of $0.3 million for the six months ended June 30, 2022. Other loss, net for the six months ended June 30, 2023 primarily consisted of a $3.9 million foreign currency translation loss from the substantial completion on the closure of our Japan business, which was partially offset by $1.8 million in interest income on investments and other income. Other income, net for the six months ended June 30, 2022 primarily consisted of a $0.4 million loss on foreign currency, which was offset by $0.1 million in interest income on investments and other income.</w:t>
      </w:r>
    </w:p>
    <w:p>
      <w:pPr>
        <w:spacing w:after="0" w:line="13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Our effective tax rate of 68.7% for the six months ended June 30, 2023 increased 28.5% compared to 40.2%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2022. The increase in the effective tax rate is primarily due to the foreign currency translation loss from the substantial completion on the closure of our Japan business, which is not deductible for tax purposes. Our income tax provision of $5.0 million for the six months ended June 30, 2023 decreased $0.1 million compared to our income tax provision of $5.1 million for the six months ended June 30, 2022.</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during the six months ended June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(dollars in thousands)</w:t>
            </w: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31,867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31,040</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(36,516)</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7"/>
        </w:trPr>
        <w:tc>
          <w:tcPr>
            <w:tcW w:w="8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96"/>
        </w:trPr>
        <w:tc>
          <w:tcPr>
            <w:tcW w:w="8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19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Historically, we have primarily financed our operations and capital expenditures through cash flow from operations. We had cash and cash equivalents of $66.5 million as of June 30, 2023, an increase of $9.9 million from December 31, 2022. The increase in our cash was primarily due to cash provided by operating activities of $31.9 million and proceeds from call redemptions and maturities of marketable securities of $14.0 million, which were partially offset by $6.8 million for purchases of property, equipment and other capital assets, and $30.1 million in repurchases of common stock.</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believe that our existing cash and cash equivalents together with cash generated from operations will be sufficient to meet our working capital and capital expenditure requirements for at least the next 12 months.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9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Cash flows from operating activities were $31.9 million during the six months ended June 30, 2023 and primarily consisted of net income of $2.3 million, adjusted for certain non-cash items, including depreciation and amortization of $18.9 million, stock-based compensation expense of $7.4 million, interest on finance lease obligations of $0.6 million and changes in operating assets and liabilities and other items totaling $4.7 million, which were partially offset by deferred taxes of $5.6 million. Cash flows from operating activities were $31.0 million during the six months ended June 30, 2022 and primarily consisted of net income of $7.7 million, adjusted for certain non-cash items, including depreciation and amortization of $20.3 million and stock-based compensation expense of $8.4 million, and impairments related to the closure of our Japan business of $1.8 million, which were partially offset by deferred taxes of $5.7 million and changes in operating assets and liabilities and other items totaling $1.5 million.</w:t>
      </w:r>
    </w:p>
    <w:p>
      <w:pPr>
        <w:spacing w:after="0" w:line="13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Cash flows from operating activities increased $0.8 million during the six months ended June 30, 2023 compared to the same period in 2022, primarily due to increases in interest on finance lease obligations of $0.6 million, foreign currency translation losses of $3.9 million and changes in operating assets and liabilities totaling $6.1 million, which were partially offset by decreases in net income of $5.4 million, stock-based compensation of $1.1 million, impairments related to the closure of Japan business of $1.8 million and depreciation and amortization of $1.4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9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Cash provided by investing activities was $7.8 million during the six months ended June 30, 2023, consisting of $14.0 million in proceeds from call redemptions and maturities of marketable securities, which were partially offset by $6.2 million for net purchases of property, equipment and other capital assets.</w:t>
      </w:r>
    </w:p>
    <w:p>
      <w:pPr>
        <w:spacing w:after="0" w:line="14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Cash used in investing activities was $36.5 million during the six months ended June 30, 2022, consisting of $30.5 million for net purchases of marketable securities and $6.0 million for the purchases of property, equipment and other capital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9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Cash used in financing activities was $29.7 million during the six months ended June 30, 2023, consisting of $30.1 million in repurchases of common stock, $1.4 million in purchases of shares withheld for tax obligations associated with equity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transactions, and $0.2 million for repayments of finance lease obligations, which were partially offset by $2.0 million in proceeds from exercises of stock option.</w:t>
      </w:r>
    </w:p>
    <w:p>
      <w:pPr>
        <w:spacing w:after="0" w:line="14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Cash used in financing activities was $4.8 million during the six months ended June 30, 2022, consisting of $5.2 million in repurchases of common stock, $1.6 million in purchases of shares withheld for tax obligations associated with equity transactions, which were partially offset by $2.3 million in proceeds from exercises of stock options.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accounting principles generally accepted in the United States of America (U.S. GAAP). The preparation of these financial statements requires us to make estimates, judgements and assumptions. Our significant accounting policies and estimates are disclosed in Note 2 to the Consolidated Financial Statements included Pat II, Item 8 in our Annual Report on Form 10-K for the year ended December 31, 2022. There were no material changes to our critical accounting policies and estimates during the six months ended June 30,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information on recent accounting pronouncements, see Note 2 to the Consolidated Financial Statements appearing in Part I, Item 1 in this Quarterly Report on Form 10-Q.</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a result of our foreign operations, we have revenue, expenses, assets and liabilities that are denominated in foreign currencies. We generate revenue and incur production costs and operating expenses in British Pounds, Euros and Japanese Yen.</w:t>
      </w:r>
    </w:p>
    <w:p>
      <w:pPr>
        <w:spacing w:after="0" w:line="13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During the three and six months ended June 30, 2023, we recognized a foreign currency translation loss of $3.9 million in connection with substantially completing our closure of our Japan business. We recognized foreign currency losses of $0.1 million and $0.3 million during the three months ended June 30, 2023 and 2022, respectively. We recognized foreign currency gains of $0.1 million and $0.4 million during the six months ended June 30, 2023 and 2022, respectively. The changes in foreign exchange rates had a negative impact on consolidated revenue of $0.5 million for the three months ended June 30, 2023 and $3.0 million for the six months ended June 30, 2023 as compared to the same period in 2022.</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quarterly report,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 SEC’s rules and forms and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Part I, Item 1A. “Risk Factors” in our Annual Report on Form 10-K for the year ended December 31, 2022 includes a discussion of our risk factors. There have been no material changes from the risk factors described in our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February 9, 2017, our board of directors authorized the repurchase of shares of our common stock from time to time on the open market or in privately negotiated purchases, at an aggregate purchase price of up to $50 million. On May 16, 2019, we announced that our board of directors approved a $50 million increase in our authorized stock repurchase program and extended the term of the program through December 31, 2023, which increased the stock repurchase program to $100 million. On December 8, 2021, our board of directors approved another $50 million increase in our authorized stock repurchase program, which increased the total repurchases authorized to $150 million. On November 17, 2022, our board of directors approved a $50 million increase in our authorized stock repurchase program, which increased the total repurchases authorized to $200 million and extended the term of the program through December 31, 2024. On February 7, 2023 our board of directors approved a $50 million increase in our authorized stock repurchase program, which increased the stock repurchase authorized to $250 million. We have $102.2 million remaining under this authorization. The timing and amount of any share repurchases will be determined by our management based on market conditions and other factors.</w:t>
      </w:r>
    </w:p>
    <w:p>
      <w:pPr>
        <w:spacing w:after="0" w:line="13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three months ended June 30, 2023, we repurchased 276,518 shares of our common stock at a total purchase price of $8.9 million under this program. Common stock repurchase activity through June 30, 2023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Maximum Dollar</w:t>
            </w:r>
          </w:p>
        </w:tc>
      </w:tr>
      <w:tr>
        <w:trPr>
          <w:trHeight w:val="216"/>
        </w:trPr>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79"/>
              </w:rPr>
              <w:t>as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the Plans</w:t>
            </w:r>
          </w:p>
        </w:tc>
      </w:tr>
      <w:tr>
        <w:trPr>
          <w:trHeight w:val="216"/>
        </w:trPr>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Average Price Paid</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or Programs (in</w:t>
            </w:r>
          </w:p>
        </w:tc>
      </w:tr>
      <w:tr>
        <w:trPr>
          <w:trHeight w:val="234"/>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8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Shares Purchased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thousands) (1)</w:t>
            </w:r>
          </w:p>
        </w:tc>
      </w:tr>
      <w:tr>
        <w:trPr>
          <w:trHeight w:val="27"/>
        </w:trPr>
        <w:tc>
          <w:tcPr>
            <w:tcW w:w="4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2023 through April 30, 2023</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111,176</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May 1, 2023 through May 31, 2023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187,068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31.70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187,068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105,246</w:t>
            </w:r>
          </w:p>
        </w:tc>
      </w:tr>
      <w:tr>
        <w:trPr>
          <w:trHeight w:val="27"/>
        </w:trPr>
        <w:tc>
          <w:tcPr>
            <w:tcW w:w="4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2023 through June 30, 2023</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89,450</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89,450</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102,239</w:t>
            </w:r>
          </w:p>
        </w:tc>
      </w:tr>
      <w:tr>
        <w:trPr>
          <w:trHeight w:val="264"/>
        </w:trPr>
        <w:tc>
          <w:tcPr>
            <w:tcW w:w="4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276,518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276,518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102,239</w:t>
            </w:r>
          </w:p>
        </w:tc>
      </w:tr>
      <w:tr>
        <w:trPr>
          <w:trHeight w:val="20"/>
        </w:trPr>
        <w:tc>
          <w:tcPr>
            <w:tcW w:w="4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 matters to disclose.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 matters to disclose.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During the three months ended June 30, 2023, none of our directors or officers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defined in the SEC’s rules).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780" w:type="dxa"/>
            <w:vAlign w:val="bottom"/>
            <w:gridSpan w:val="8"/>
          </w:tcPr>
          <w:p>
            <w:pPr>
              <w:ind w:left="220"/>
              <w:spacing w:after="0"/>
              <w:rPr>
                <w:sz w:val="20"/>
                <w:szCs w:val="20"/>
                <w:color w:val="auto"/>
              </w:rPr>
            </w:pPr>
            <w:r>
              <w:rPr>
                <w:rFonts w:ascii="Arial" w:cs="Arial" w:eastAsia="Arial" w:hAnsi="Arial"/>
                <w:sz w:val="14"/>
                <w:szCs w:val="14"/>
                <w:b w:val="1"/>
                <w:bCs w:val="1"/>
                <w:color w:val="auto"/>
              </w:rPr>
              <w:t>Description of Exhibit</w:t>
            </w:r>
          </w:p>
        </w:tc>
      </w:tr>
      <w:tr>
        <w:trPr>
          <w:trHeight w:val="39"/>
        </w:trPr>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56"/>
        </w:trPr>
        <w:tc>
          <w:tcPr>
            <w:tcW w:w="1380" w:type="dxa"/>
            <w:vAlign w:val="bottom"/>
          </w:tcPr>
          <w:p>
            <w:pPr>
              <w:jc w:val="center"/>
              <w:spacing w:after="0" w:line="155" w:lineRule="exact"/>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12"/>
          </w:tcPr>
          <w:p>
            <w:pPr>
              <w:spacing w:after="0" w:line="155" w:lineRule="exact"/>
              <w:rPr>
                <w:rFonts w:ascii="Arial" w:cs="Arial" w:eastAsia="Arial" w:hAnsi="Arial"/>
                <w:sz w:val="14"/>
                <w:szCs w:val="14"/>
                <w:color w:val="0000EE"/>
                <w:w w:val="95"/>
              </w:rPr>
            </w:pPr>
            <w:hyperlink r:id="rId79">
              <w:r>
                <w:rPr>
                  <w:rFonts w:ascii="Arial" w:cs="Arial" w:eastAsia="Arial" w:hAnsi="Arial"/>
                  <w:sz w:val="14"/>
                  <w:szCs w:val="14"/>
                  <w:color w:val="0000EE"/>
                  <w:w w:val="95"/>
                </w:rPr>
                <w:t>Third Amended and Restated Articles of Incorporation of Proto Labs, Inc. (incorporated by reference to Exhibit 3.2 to the Company’s Registration Statement on Form</w:t>
              </w:r>
            </w:hyperlink>
          </w:p>
        </w:tc>
      </w:tr>
      <w:tr>
        <w:trPr>
          <w:trHeight w:val="142"/>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Borders>
              <w:top w:val="single" w:sz="8" w:color="0000EE"/>
              <w:bottom w:val="single" w:sz="8" w:color="0000EE"/>
            </w:tcBorders>
            <w:gridSpan w:val="3"/>
          </w:tcPr>
          <w:p>
            <w:pPr>
              <w:spacing w:after="0" w:line="142" w:lineRule="exact"/>
              <w:rPr>
                <w:rFonts w:ascii="Arial" w:cs="Arial" w:eastAsia="Arial" w:hAnsi="Arial"/>
                <w:sz w:val="14"/>
                <w:szCs w:val="14"/>
                <w:color w:val="0000EE"/>
                <w:w w:val="94"/>
              </w:rPr>
            </w:pPr>
            <w:hyperlink r:id="rId79">
              <w:r>
                <w:rPr>
                  <w:rFonts w:ascii="Arial" w:cs="Arial" w:eastAsia="Arial" w:hAnsi="Arial"/>
                  <w:sz w:val="14"/>
                  <w:szCs w:val="14"/>
                  <w:color w:val="0000EE"/>
                  <w:w w:val="94"/>
                </w:rPr>
                <w:t>S-1/A, filed on February 13, 2012).</w:t>
              </w:r>
            </w:hyperlink>
          </w:p>
        </w:tc>
        <w:tc>
          <w:tcPr>
            <w:tcW w:w="7520" w:type="dxa"/>
            <w:vAlign w:val="bottom"/>
            <w:tcBorders>
              <w:top w:val="single" w:sz="8" w:color="0000EE"/>
            </w:tcBorders>
            <w:gridSpan w:val="6"/>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38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12"/>
          </w:tcPr>
          <w:p>
            <w:pPr>
              <w:spacing w:after="0"/>
              <w:rPr>
                <w:rFonts w:ascii="Arial" w:cs="Arial" w:eastAsia="Arial" w:hAnsi="Arial"/>
                <w:sz w:val="14"/>
                <w:szCs w:val="14"/>
                <w:color w:val="0000EE"/>
                <w:w w:val="94"/>
              </w:rPr>
            </w:pPr>
            <w:hyperlink r:id="rId80">
              <w:r>
                <w:rPr>
                  <w:rFonts w:ascii="Arial" w:cs="Arial" w:eastAsia="Arial" w:hAnsi="Arial"/>
                  <w:sz w:val="14"/>
                  <w:szCs w:val="14"/>
                  <w:color w:val="0000EE"/>
                  <w:w w:val="94"/>
                </w:rPr>
                <w:t>Articles of Amendment to Third Amended and Restated Articles of Incorporation of Proto Labs, Inc. dated May 20, 2015 (incorporated by reference to Exhibit 3.1 to the</w:t>
              </w:r>
            </w:hyperlink>
          </w:p>
        </w:tc>
      </w:tr>
      <w:tr>
        <w:trPr>
          <w:trHeight w:val="142"/>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top w:val="single" w:sz="8" w:color="0000EE"/>
              <w:bottom w:val="single" w:sz="8" w:color="0000EE"/>
            </w:tcBorders>
            <w:gridSpan w:val="4"/>
          </w:tcPr>
          <w:p>
            <w:pPr>
              <w:spacing w:after="0" w:line="142" w:lineRule="exact"/>
              <w:rPr>
                <w:rFonts w:ascii="Arial" w:cs="Arial" w:eastAsia="Arial" w:hAnsi="Arial"/>
                <w:sz w:val="14"/>
                <w:szCs w:val="14"/>
                <w:color w:val="0000EE"/>
                <w:w w:val="94"/>
              </w:rPr>
            </w:pPr>
            <w:hyperlink r:id="rId80">
              <w:r>
                <w:rPr>
                  <w:rFonts w:ascii="Arial" w:cs="Arial" w:eastAsia="Arial" w:hAnsi="Arial"/>
                  <w:sz w:val="14"/>
                  <w:szCs w:val="14"/>
                  <w:color w:val="0000EE"/>
                  <w:w w:val="94"/>
                </w:rPr>
                <w:t>Company's Form 8-K, filed with the Commission on May 21, 2015).</w:t>
              </w:r>
            </w:hyperlink>
          </w:p>
        </w:tc>
        <w:tc>
          <w:tcPr>
            <w:tcW w:w="5760" w:type="dxa"/>
            <w:vAlign w:val="bottom"/>
            <w:tcBorders>
              <w:top w:val="single" w:sz="8" w:color="0000EE"/>
            </w:tcBorders>
            <w:gridSpan w:val="7"/>
          </w:tcPr>
          <w:p>
            <w:pPr>
              <w:spacing w:after="0"/>
              <w:rPr>
                <w:sz w:val="12"/>
                <w:szCs w:val="12"/>
                <w:color w:val="auto"/>
              </w:rPr>
            </w:pPr>
          </w:p>
        </w:tc>
        <w:tc>
          <w:tcPr>
            <w:tcW w:w="20" w:type="dxa"/>
            <w:vAlign w:val="bottom"/>
          </w:tcPr>
          <w:p>
            <w:pPr>
              <w:spacing w:after="0"/>
              <w:rPr>
                <w:sz w:val="12"/>
                <w:szCs w:val="12"/>
                <w:color w:val="auto"/>
              </w:rPr>
            </w:pPr>
          </w:p>
        </w:tc>
      </w:tr>
      <w:tr>
        <w:trPr>
          <w:trHeight w:val="209"/>
        </w:trPr>
        <w:tc>
          <w:tcPr>
            <w:tcW w:w="138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2"/>
          </w:tcPr>
          <w:p>
            <w:pPr>
              <w:spacing w:after="0"/>
              <w:rPr>
                <w:rFonts w:ascii="Arial" w:cs="Arial" w:eastAsia="Arial" w:hAnsi="Arial"/>
                <w:sz w:val="14"/>
                <w:szCs w:val="14"/>
                <w:color w:val="0000EE"/>
                <w:w w:val="93"/>
              </w:rPr>
            </w:pPr>
            <w:hyperlink r:id="rId81">
              <w:r>
                <w:rPr>
                  <w:rFonts w:ascii="Arial" w:cs="Arial" w:eastAsia="Arial" w:hAnsi="Arial"/>
                  <w:sz w:val="14"/>
                  <w:szCs w:val="14"/>
                  <w:color w:val="0000EE"/>
                  <w:w w:val="93"/>
                </w:rPr>
                <w:t>Third Amended and Restated By-Laws of Proto Labs, Inc., as amended through November 15, 2022 (incorporated by reference to Exhibit 3.2 to the Company's Form 8-</w:t>
              </w:r>
            </w:hyperlink>
          </w:p>
        </w:tc>
      </w:tr>
      <w:tr>
        <w:trPr>
          <w:trHeight w:val="142"/>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EE"/>
            </w:tcBorders>
            <w:gridSpan w:val="10"/>
          </w:tcPr>
          <w:p>
            <w:pPr>
              <w:spacing w:after="0" w:line="142" w:lineRule="exact"/>
              <w:rPr>
                <w:rFonts w:ascii="Arial" w:cs="Arial" w:eastAsia="Arial" w:hAnsi="Arial"/>
                <w:sz w:val="14"/>
                <w:szCs w:val="14"/>
                <w:color w:val="0000EE"/>
              </w:rPr>
            </w:pPr>
            <w:hyperlink r:id="rId81">
              <w:r>
                <w:rPr>
                  <w:rFonts w:ascii="Arial" w:cs="Arial" w:eastAsia="Arial" w:hAnsi="Arial"/>
                  <w:sz w:val="14"/>
                  <w:szCs w:val="14"/>
                  <w:color w:val="0000EE"/>
                </w:rPr>
                <w:t>K, filed on November 15, 2022).</w:t>
              </w:r>
            </w:hyperlink>
          </w:p>
        </w:tc>
        <w:tc>
          <w:tcPr>
            <w:tcW w:w="40" w:type="dxa"/>
            <w:vAlign w:val="bottom"/>
            <w:gridSpan w:val="2"/>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96"/>
        </w:trPr>
        <w:tc>
          <w:tcPr>
            <w:tcW w:w="138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bottom w:val="single" w:sz="8" w:color="0000FF"/>
            </w:tcBorders>
            <w:gridSpan w:val="8"/>
          </w:tcPr>
          <w:p>
            <w:pPr>
              <w:spacing w:after="0"/>
              <w:rPr>
                <w:rFonts w:ascii="Arial" w:cs="Arial" w:eastAsia="Arial" w:hAnsi="Arial"/>
                <w:sz w:val="14"/>
                <w:szCs w:val="14"/>
                <w:color w:val="0000FF"/>
                <w:w w:val="93"/>
              </w:rPr>
            </w:pPr>
            <w:hyperlink r:id="rId82">
              <w:r>
                <w:rPr>
                  <w:rFonts w:ascii="Arial" w:cs="Arial" w:eastAsia="Arial" w:hAnsi="Arial"/>
                  <w:sz w:val="14"/>
                  <w:szCs w:val="14"/>
                  <w:color w:val="0000FF"/>
                  <w:w w:val="93"/>
                </w:rPr>
                <w:t>Proto Labs, Inc. 2022 Long-Term Incentive Plan (as amended on May 17, 2023) (incorporated by reference to Exhibit 10.1 to the Company's Form 8-K, filed on May</w:t>
              </w:r>
            </w:hyperlink>
          </w:p>
        </w:tc>
        <w:tc>
          <w:tcPr>
            <w:tcW w:w="200" w:type="dxa"/>
            <w:vAlign w:val="bottom"/>
            <w:gridSpan w:val="4"/>
          </w:tcPr>
          <w:p>
            <w:pPr>
              <w:spacing w:after="0"/>
              <w:rPr>
                <w:sz w:val="17"/>
                <w:szCs w:val="17"/>
                <w:color w:val="auto"/>
              </w:rPr>
            </w:pPr>
          </w:p>
        </w:tc>
      </w:tr>
      <w:tr>
        <w:trPr>
          <w:trHeight w:val="155"/>
        </w:trPr>
        <w:tc>
          <w:tcPr>
            <w:tcW w:w="13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580" w:type="dxa"/>
            <w:vAlign w:val="bottom"/>
            <w:tcBorders>
              <w:bottom w:val="single" w:sz="8" w:color="0000FF"/>
            </w:tcBorders>
          </w:tcPr>
          <w:p>
            <w:pPr>
              <w:spacing w:after="0" w:line="155" w:lineRule="exact"/>
              <w:rPr>
                <w:rFonts w:ascii="Arial" w:cs="Arial" w:eastAsia="Arial" w:hAnsi="Arial"/>
                <w:sz w:val="14"/>
                <w:szCs w:val="14"/>
                <w:color w:val="0000FF"/>
                <w:w w:val="88"/>
              </w:rPr>
            </w:pPr>
            <w:hyperlink r:id="rId82">
              <w:r>
                <w:rPr>
                  <w:rFonts w:ascii="Arial" w:cs="Arial" w:eastAsia="Arial" w:hAnsi="Arial"/>
                  <w:sz w:val="14"/>
                  <w:szCs w:val="14"/>
                  <w:color w:val="0000FF"/>
                  <w:w w:val="88"/>
                </w:rPr>
                <w:t>18, 2023).</w:t>
              </w:r>
            </w:hyperlink>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8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w w:val="94"/>
              </w:rPr>
              <w:t>Certification of the Chief Executive Officer pursuant to Section 302 of the Sarbanes-Oxley Act*</w:t>
            </w:r>
          </w:p>
        </w:tc>
        <w:tc>
          <w:tcPr>
            <w:tcW w:w="4200" w:type="dxa"/>
            <w:vAlign w:val="bottom"/>
            <w:gridSpan w:val="6"/>
          </w:tcPr>
          <w:p>
            <w:pPr>
              <w:spacing w:after="0"/>
              <w:rPr>
                <w:sz w:val="18"/>
                <w:szCs w:val="18"/>
                <w:color w:val="auto"/>
              </w:rPr>
            </w:pPr>
          </w:p>
        </w:tc>
      </w:tr>
      <w:tr>
        <w:trPr>
          <w:trHeight w:val="196"/>
        </w:trPr>
        <w:tc>
          <w:tcPr>
            <w:tcW w:w="138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0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w w:val="94"/>
              </w:rPr>
              <w:t>Certification of the Chief Financial Officer pursuant to Section 302 of the Sarbanes-Oxley Act*</w:t>
            </w:r>
          </w:p>
        </w:tc>
        <w:tc>
          <w:tcPr>
            <w:tcW w:w="4240" w:type="dxa"/>
            <w:vAlign w:val="bottom"/>
            <w:gridSpan w:val="7"/>
          </w:tcPr>
          <w:p>
            <w:pPr>
              <w:spacing w:after="0"/>
              <w:rPr>
                <w:sz w:val="17"/>
                <w:szCs w:val="17"/>
                <w:color w:val="auto"/>
              </w:rPr>
            </w:pPr>
          </w:p>
        </w:tc>
      </w:tr>
      <w:tr>
        <w:trPr>
          <w:trHeight w:val="196"/>
        </w:trPr>
        <w:tc>
          <w:tcPr>
            <w:tcW w:w="1380" w:type="dxa"/>
            <w:vAlign w:val="bottom"/>
          </w:tcPr>
          <w:p>
            <w:pPr>
              <w:jc w:val="center"/>
              <w:spacing w:after="0"/>
              <w:rPr>
                <w:sz w:val="20"/>
                <w:szCs w:val="20"/>
                <w:color w:val="auto"/>
              </w:rPr>
            </w:pPr>
            <w:r>
              <w:rPr>
                <w:rFonts w:ascii="Arial" w:cs="Arial" w:eastAsia="Arial" w:hAnsi="Arial"/>
                <w:sz w:val="14"/>
                <w:szCs w:val="14"/>
                <w:color w:val="auto"/>
                <w:w w:val="87"/>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w w:val="94"/>
              </w:rPr>
              <w:t>Certification of the Chief Executive Officer and the Chief Financial Officer pursuant to Section 906 of the Sarbanes-Oxley Act*</w:t>
            </w:r>
          </w:p>
        </w:tc>
        <w:tc>
          <w:tcPr>
            <w:tcW w:w="2360" w:type="dxa"/>
            <w:vAlign w:val="bottom"/>
            <w:gridSpan w:val="5"/>
          </w:tcPr>
          <w:p>
            <w:pPr>
              <w:spacing w:after="0"/>
              <w:rPr>
                <w:sz w:val="17"/>
                <w:szCs w:val="17"/>
                <w:color w:val="auto"/>
              </w:rPr>
            </w:pPr>
          </w:p>
        </w:tc>
      </w:tr>
      <w:tr>
        <w:trPr>
          <w:trHeight w:val="218"/>
        </w:trPr>
        <w:tc>
          <w:tcPr>
            <w:tcW w:w="1380" w:type="dxa"/>
            <w:vAlign w:val="bottom"/>
          </w:tcPr>
          <w:p>
            <w:pPr>
              <w:jc w:val="center"/>
              <w:spacing w:after="0"/>
              <w:rPr>
                <w:sz w:val="20"/>
                <w:szCs w:val="20"/>
                <w:color w:val="auto"/>
              </w:rPr>
            </w:pPr>
            <w:r>
              <w:rPr>
                <w:rFonts w:ascii="Arial" w:cs="Arial" w:eastAsia="Arial" w:hAnsi="Arial"/>
                <w:sz w:val="14"/>
                <w:szCs w:val="14"/>
                <w:color w:val="auto"/>
                <w:w w:val="94"/>
              </w:rPr>
              <w:t>101.INS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2"/>
          </w:tcPr>
          <w:p>
            <w:pPr>
              <w:spacing w:after="0"/>
              <w:rPr>
                <w:sz w:val="20"/>
                <w:szCs w:val="20"/>
                <w:color w:val="auto"/>
              </w:rPr>
            </w:pPr>
            <w:r>
              <w:rPr>
                <w:rFonts w:ascii="Arial" w:cs="Arial" w:eastAsia="Arial" w:hAnsi="Arial"/>
                <w:sz w:val="14"/>
                <w:szCs w:val="14"/>
                <w:color w:val="auto"/>
                <w:w w:val="96"/>
              </w:rPr>
              <w:t>Inline XBRL Instance Document (the Instance Document does not appear in the Interactive Data File because its XBRL tags are embedded within the Inline XBRL</w:t>
            </w:r>
          </w:p>
        </w:tc>
      </w:tr>
      <w:tr>
        <w:trPr>
          <w:trHeight w:val="182"/>
        </w:trPr>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12"/>
          </w:tcPr>
          <w:p>
            <w:pPr>
              <w:spacing w:after="0"/>
              <w:rPr>
                <w:sz w:val="20"/>
                <w:szCs w:val="20"/>
                <w:color w:val="auto"/>
              </w:rPr>
            </w:pPr>
            <w:r>
              <w:rPr>
                <w:rFonts w:ascii="Arial" w:cs="Arial" w:eastAsia="Arial" w:hAnsi="Arial"/>
                <w:sz w:val="14"/>
                <w:szCs w:val="14"/>
                <w:color w:val="auto"/>
              </w:rPr>
              <w:t>document)</w:t>
            </w:r>
          </w:p>
        </w:tc>
      </w:tr>
      <w:tr>
        <w:trPr>
          <w:trHeight w:val="216"/>
        </w:trPr>
        <w:tc>
          <w:tcPr>
            <w:tcW w:w="1380" w:type="dxa"/>
            <w:vAlign w:val="bottom"/>
          </w:tcPr>
          <w:p>
            <w:pPr>
              <w:jc w:val="center"/>
              <w:spacing w:after="0"/>
              <w:rPr>
                <w:sz w:val="20"/>
                <w:szCs w:val="20"/>
                <w:color w:val="auto"/>
              </w:rPr>
            </w:pPr>
            <w:r>
              <w:rPr>
                <w:rFonts w:ascii="Arial" w:cs="Arial" w:eastAsia="Arial" w:hAnsi="Arial"/>
                <w:sz w:val="14"/>
                <w:szCs w:val="14"/>
                <w:color w:val="auto"/>
                <w:w w:val="94"/>
              </w:rPr>
              <w:t>101.SCH</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2"/>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216"/>
        </w:trPr>
        <w:tc>
          <w:tcPr>
            <w:tcW w:w="1380" w:type="dxa"/>
            <w:vAlign w:val="bottom"/>
          </w:tcPr>
          <w:p>
            <w:pPr>
              <w:jc w:val="center"/>
              <w:spacing w:after="0"/>
              <w:rPr>
                <w:sz w:val="20"/>
                <w:szCs w:val="20"/>
                <w:color w:val="auto"/>
              </w:rPr>
            </w:pPr>
            <w:r>
              <w:rPr>
                <w:rFonts w:ascii="Arial" w:cs="Arial" w:eastAsia="Arial" w:hAnsi="Arial"/>
                <w:sz w:val="14"/>
                <w:szCs w:val="14"/>
                <w:color w:val="auto"/>
                <w:w w:val="99"/>
              </w:rPr>
              <w:t>101.CAL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2"/>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16"/>
        </w:trPr>
        <w:tc>
          <w:tcPr>
            <w:tcW w:w="1380" w:type="dxa"/>
            <w:vAlign w:val="bottom"/>
          </w:tcPr>
          <w:p>
            <w:pPr>
              <w:jc w:val="center"/>
              <w:spacing w:after="0"/>
              <w:rPr>
                <w:sz w:val="20"/>
                <w:szCs w:val="20"/>
                <w:color w:val="auto"/>
              </w:rPr>
            </w:pPr>
            <w:r>
              <w:rPr>
                <w:rFonts w:ascii="Arial" w:cs="Arial" w:eastAsia="Arial" w:hAnsi="Arial"/>
                <w:sz w:val="14"/>
                <w:szCs w:val="14"/>
                <w:color w:val="auto"/>
                <w:w w:val="94"/>
              </w:rPr>
              <w:t>101.DEF</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2"/>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16"/>
        </w:trPr>
        <w:tc>
          <w:tcPr>
            <w:tcW w:w="1380" w:type="dxa"/>
            <w:vAlign w:val="bottom"/>
          </w:tcPr>
          <w:p>
            <w:pPr>
              <w:jc w:val="center"/>
              <w:spacing w:after="0"/>
              <w:rPr>
                <w:sz w:val="20"/>
                <w:szCs w:val="20"/>
                <w:color w:val="auto"/>
              </w:rPr>
            </w:pPr>
            <w:r>
              <w:rPr>
                <w:rFonts w:ascii="Arial" w:cs="Arial" w:eastAsia="Arial" w:hAnsi="Arial"/>
                <w:sz w:val="14"/>
                <w:szCs w:val="14"/>
                <w:color w:val="auto"/>
              </w:rPr>
              <w:t>101.LAB</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2"/>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16"/>
        </w:trPr>
        <w:tc>
          <w:tcPr>
            <w:tcW w:w="1380" w:type="dxa"/>
            <w:vAlign w:val="bottom"/>
          </w:tcPr>
          <w:p>
            <w:pPr>
              <w:jc w:val="center"/>
              <w:spacing w:after="0"/>
              <w:rPr>
                <w:sz w:val="20"/>
                <w:szCs w:val="20"/>
                <w:color w:val="auto"/>
              </w:rPr>
            </w:pPr>
            <w:r>
              <w:rPr>
                <w:rFonts w:ascii="Arial" w:cs="Arial" w:eastAsia="Arial" w:hAnsi="Arial"/>
                <w:sz w:val="14"/>
                <w:szCs w:val="14"/>
                <w:color w:val="auto"/>
                <w:w w:val="92"/>
              </w:rPr>
              <w:t>101.PRE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2"/>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47" w:lineRule="exact"/>
        <w:rPr>
          <w:sz w:val="20"/>
          <w:szCs w:val="20"/>
          <w:color w:val="auto"/>
        </w:rPr>
      </w:pPr>
    </w:p>
    <w:p>
      <w:pPr>
        <w:ind w:left="1500" w:hanging="912"/>
        <w:spacing w:after="0"/>
        <w:tabs>
          <w:tab w:leader="none" w:pos="1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30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Proto Labs, Inc.</w:t>
      </w:r>
    </w:p>
    <w:p>
      <w:pPr>
        <w:spacing w:after="0" w:line="306"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6"/>
          <w:szCs w:val="16"/>
          <w:color w:val="auto"/>
        </w:rPr>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23495</wp:posOffset>
            </wp:positionV>
            <wp:extent cx="28892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88925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Robert Bodor</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6"/>
          <w:szCs w:val="16"/>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23495</wp:posOffset>
            </wp:positionV>
            <wp:extent cx="28892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2889250"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Daniel Schumacher</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125"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Bodor, certify that:</w:t>
      </w:r>
    </w:p>
    <w:p>
      <w:pPr>
        <w:spacing w:after="0" w:line="225" w:lineRule="exact"/>
        <w:rPr>
          <w:sz w:val="20"/>
          <w:szCs w:val="20"/>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Proto Labs, Inc.;</w:t>
      </w:r>
    </w:p>
    <w:p>
      <w:pPr>
        <w:spacing w:after="0" w:line="225" w:lineRule="exact"/>
        <w:rPr>
          <w:rFonts w:ascii="Arial" w:cs="Arial" w:eastAsia="Arial" w:hAnsi="Arial"/>
          <w:sz w:val="18"/>
          <w:szCs w:val="18"/>
          <w:color w:val="auto"/>
        </w:rPr>
      </w:pPr>
    </w:p>
    <w:p>
      <w:pPr>
        <w:ind w:right="120" w:firstLine="494"/>
        <w:spacing w:after="0" w:line="342" w:lineRule="auto"/>
        <w:tabs>
          <w:tab w:leader="none" w:pos="648"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494"/>
        <w:spacing w:after="0" w:line="277"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00" w:firstLine="494"/>
        <w:spacing w:after="0" w:line="263"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620" w:right="20" w:hanging="478"/>
        <w:spacing w:after="0" w:line="286" w:lineRule="auto"/>
        <w:tabs>
          <w:tab w:leader="none" w:pos="1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620" w:right="80" w:hanging="478"/>
        <w:spacing w:after="0" w:line="263"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620" w:right="180" w:hanging="478"/>
        <w:spacing w:after="0" w:line="263"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620" w:right="280" w:hanging="478"/>
        <w:spacing w:after="0" w:line="263"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firstLine="494"/>
        <w:spacing w:after="0" w:line="308" w:lineRule="auto"/>
        <w:tabs>
          <w:tab w:leader="none" w:pos="64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620" w:right="120" w:hanging="478"/>
        <w:spacing w:after="0" w:line="342" w:lineRule="auto"/>
        <w:tabs>
          <w:tab w:leader="none" w:pos="16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420" w:hanging="478"/>
        <w:spacing w:after="0" w:line="277"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880" w:val="left"/>
          <w:tab w:leader="none" w:pos="636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31750</wp:posOffset>
            </wp:positionV>
            <wp:extent cx="30949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3094990" cy="8255"/>
                    </a:xfrm>
                    <a:prstGeom prst="rect">
                      <a:avLst/>
                    </a:prstGeom>
                    <a:noFill/>
                  </pic:spPr>
                </pic:pic>
              </a:graphicData>
            </a:graphic>
          </wp:anchor>
        </w:drawing>
      </w:r>
    </w:p>
    <w:p>
      <w:pPr>
        <w:spacing w:after="0" w:line="5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Robert Bodor</w:t>
      </w:r>
    </w:p>
    <w:p>
      <w:pPr>
        <w:spacing w:after="0" w:line="6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4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Schumacher, certify that:</w:t>
      </w:r>
    </w:p>
    <w:p>
      <w:pPr>
        <w:spacing w:after="0" w:line="225" w:lineRule="exact"/>
        <w:rPr>
          <w:sz w:val="20"/>
          <w:szCs w:val="20"/>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Proto Labs, Inc.;</w:t>
      </w:r>
    </w:p>
    <w:p>
      <w:pPr>
        <w:spacing w:after="0" w:line="225" w:lineRule="exact"/>
        <w:rPr>
          <w:rFonts w:ascii="Arial" w:cs="Arial" w:eastAsia="Arial" w:hAnsi="Arial"/>
          <w:sz w:val="18"/>
          <w:szCs w:val="18"/>
          <w:color w:val="auto"/>
        </w:rPr>
      </w:pPr>
    </w:p>
    <w:p>
      <w:pPr>
        <w:ind w:right="120" w:firstLine="494"/>
        <w:spacing w:after="0" w:line="342" w:lineRule="auto"/>
        <w:tabs>
          <w:tab w:leader="none" w:pos="64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494"/>
        <w:spacing w:after="0" w:line="277"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00" w:firstLine="494"/>
        <w:spacing w:after="0" w:line="263"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620" w:right="20" w:hanging="478"/>
        <w:spacing w:after="0" w:line="286" w:lineRule="auto"/>
        <w:tabs>
          <w:tab w:leader="none" w:pos="16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620" w:right="80" w:hanging="478"/>
        <w:spacing w:after="0" w:line="263"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620" w:right="180" w:hanging="478"/>
        <w:spacing w:after="0" w:line="263"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620" w:right="280" w:hanging="478"/>
        <w:spacing w:after="0" w:line="263"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firstLine="494"/>
        <w:spacing w:after="0" w:line="308" w:lineRule="auto"/>
        <w:tabs>
          <w:tab w:leader="none" w:pos="64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620" w:right="120" w:hanging="478"/>
        <w:spacing w:after="0" w:line="342" w:lineRule="auto"/>
        <w:tabs>
          <w:tab w:leader="none" w:pos="16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420" w:hanging="478"/>
        <w:spacing w:after="0" w:line="277"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880" w:val="left"/>
          <w:tab w:leader="none" w:pos="636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31750</wp:posOffset>
            </wp:positionV>
            <wp:extent cx="30949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3094990" cy="8255"/>
                    </a:xfrm>
                    <a:prstGeom prst="rect">
                      <a:avLst/>
                    </a:prstGeom>
                    <a:noFill/>
                  </pic:spPr>
                </pic:pic>
              </a:graphicData>
            </a:graphic>
          </wp:anchor>
        </w:drawing>
      </w:r>
    </w:p>
    <w:p>
      <w:pPr>
        <w:spacing w:after="0" w:line="5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Daniel Schumacher</w:t>
      </w:r>
    </w:p>
    <w:p>
      <w:pPr>
        <w:spacing w:after="0" w:line="6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14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 Robert Bodor, certify, pursuant to 18 U.S.C. Section 1350, as adopted pursuant to Section 906 of the Sarbanes-Oxley Act of 2002, that the Quarterly Report of Proto Labs, Inc. on Form 10-Q for the fiscal quarter ended June 30, 2023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August 4, 2023</w:t>
            </w:r>
          </w:p>
        </w:tc>
        <w:tc>
          <w:tcPr>
            <w:tcW w:w="3100" w:type="dxa"/>
            <w:vAlign w:val="bottom"/>
          </w:tcPr>
          <w:p>
            <w:pPr>
              <w:ind w:left="2300"/>
              <w:spacing w:after="0"/>
              <w:rPr>
                <w:sz w:val="20"/>
                <w:szCs w:val="20"/>
                <w:color w:val="auto"/>
              </w:rPr>
            </w:pPr>
            <w:r>
              <w:rPr>
                <w:rFonts w:ascii="Arial" w:cs="Arial" w:eastAsia="Arial" w:hAnsi="Arial"/>
                <w:sz w:val="18"/>
                <w:szCs w:val="18"/>
                <w:color w:val="auto"/>
              </w:rPr>
              <w:t>By:</w:t>
            </w:r>
          </w:p>
        </w:tc>
        <w:tc>
          <w:tcPr>
            <w:tcW w:w="4300" w:type="dxa"/>
            <w:vAlign w:val="bottom"/>
          </w:tcPr>
          <w:p>
            <w:pPr>
              <w:ind w:left="20"/>
              <w:spacing w:after="0"/>
              <w:rPr>
                <w:sz w:val="20"/>
                <w:szCs w:val="20"/>
                <w:color w:val="auto"/>
              </w:rPr>
            </w:pPr>
            <w:r>
              <w:rPr>
                <w:rFonts w:ascii="Arial" w:cs="Arial" w:eastAsia="Arial" w:hAnsi="Arial"/>
                <w:sz w:val="18"/>
                <w:szCs w:val="18"/>
                <w:color w:val="auto"/>
              </w:rPr>
              <w:t>/s/ Robert Bodor</w:t>
            </w:r>
          </w:p>
        </w:tc>
      </w:tr>
      <w:tr>
        <w:trPr>
          <w:trHeight w:val="27"/>
        </w:trPr>
        <w:tc>
          <w:tcPr>
            <w:tcW w:w="38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3100" w:type="dxa"/>
            <w:vAlign w:val="bottom"/>
          </w:tcPr>
          <w:p>
            <w:pPr>
              <w:ind w:left="2300"/>
              <w:spacing w:after="0"/>
              <w:rPr>
                <w:sz w:val="20"/>
                <w:szCs w:val="20"/>
                <w:color w:val="auto"/>
              </w:rPr>
            </w:pPr>
            <w:r>
              <w:rPr>
                <w:rFonts w:ascii="Arial" w:cs="Arial" w:eastAsia="Arial" w:hAnsi="Arial"/>
                <w:sz w:val="18"/>
                <w:szCs w:val="18"/>
                <w:color w:val="auto"/>
              </w:rPr>
              <w:t>Name:</w:t>
            </w:r>
          </w:p>
        </w:tc>
        <w:tc>
          <w:tcPr>
            <w:tcW w:w="4300" w:type="dxa"/>
            <w:vAlign w:val="bottom"/>
          </w:tcPr>
          <w:p>
            <w:pPr>
              <w:ind w:left="120"/>
              <w:spacing w:after="0"/>
              <w:rPr>
                <w:sz w:val="20"/>
                <w:szCs w:val="20"/>
                <w:color w:val="auto"/>
              </w:rPr>
            </w:pPr>
            <w:r>
              <w:rPr>
                <w:rFonts w:ascii="Arial" w:cs="Arial" w:eastAsia="Arial" w:hAnsi="Arial"/>
                <w:sz w:val="18"/>
                <w:szCs w:val="18"/>
                <w:color w:val="auto"/>
              </w:rPr>
              <w:t>Robert Bodor</w:t>
            </w:r>
          </w:p>
        </w:tc>
      </w:tr>
      <w:tr>
        <w:trPr>
          <w:trHeight w:val="270"/>
        </w:trPr>
        <w:tc>
          <w:tcPr>
            <w:tcW w:w="3820" w:type="dxa"/>
            <w:vAlign w:val="bottom"/>
          </w:tcPr>
          <w:p>
            <w:pPr>
              <w:spacing w:after="0"/>
              <w:rPr>
                <w:sz w:val="23"/>
                <w:szCs w:val="23"/>
                <w:color w:val="auto"/>
              </w:rPr>
            </w:pPr>
          </w:p>
        </w:tc>
        <w:tc>
          <w:tcPr>
            <w:tcW w:w="3100" w:type="dxa"/>
            <w:vAlign w:val="bottom"/>
          </w:tcPr>
          <w:p>
            <w:pPr>
              <w:ind w:left="2300"/>
              <w:spacing w:after="0"/>
              <w:rPr>
                <w:sz w:val="20"/>
                <w:szCs w:val="20"/>
                <w:color w:val="auto"/>
              </w:rPr>
            </w:pPr>
            <w:r>
              <w:rPr>
                <w:rFonts w:ascii="Arial" w:cs="Arial" w:eastAsia="Arial" w:hAnsi="Arial"/>
                <w:sz w:val="18"/>
                <w:szCs w:val="18"/>
                <w:color w:val="auto"/>
              </w:rPr>
              <w:t>Title:</w:t>
            </w:r>
          </w:p>
        </w:tc>
        <w:tc>
          <w:tcPr>
            <w:tcW w:w="430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bl>
    <w:p>
      <w:pPr>
        <w:spacing w:after="0" w:line="3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Daniel Schumacher, certify, pursuant to 18 U.S.C. Section 1350, as adopted pursuant to Section 906 of the Sarbanes-Oxley Act of 2002, that the Quarterly Report of Proto Labs, Inc. on Form 10-Q for the fiscal quarter ended June 30, 2023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August 4, 2023</w:t>
            </w:r>
          </w:p>
        </w:tc>
        <w:tc>
          <w:tcPr>
            <w:tcW w:w="3100" w:type="dxa"/>
            <w:vAlign w:val="bottom"/>
          </w:tcPr>
          <w:p>
            <w:pPr>
              <w:ind w:left="2300"/>
              <w:spacing w:after="0"/>
              <w:rPr>
                <w:sz w:val="20"/>
                <w:szCs w:val="20"/>
                <w:color w:val="auto"/>
              </w:rPr>
            </w:pPr>
            <w:r>
              <w:rPr>
                <w:rFonts w:ascii="Arial" w:cs="Arial" w:eastAsia="Arial" w:hAnsi="Arial"/>
                <w:sz w:val="18"/>
                <w:szCs w:val="18"/>
                <w:color w:val="auto"/>
              </w:rPr>
              <w:t>By:</w:t>
            </w:r>
          </w:p>
        </w:tc>
        <w:tc>
          <w:tcPr>
            <w:tcW w:w="4300" w:type="dxa"/>
            <w:vAlign w:val="bottom"/>
          </w:tcPr>
          <w:p>
            <w:pPr>
              <w:ind w:left="20"/>
              <w:spacing w:after="0"/>
              <w:rPr>
                <w:sz w:val="20"/>
                <w:szCs w:val="20"/>
                <w:color w:val="auto"/>
              </w:rPr>
            </w:pPr>
            <w:r>
              <w:rPr>
                <w:rFonts w:ascii="Arial" w:cs="Arial" w:eastAsia="Arial" w:hAnsi="Arial"/>
                <w:sz w:val="18"/>
                <w:szCs w:val="18"/>
                <w:color w:val="auto"/>
              </w:rPr>
              <w:t>/s/ Daniel Schumacher</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100" w:type="dxa"/>
            <w:vAlign w:val="bottom"/>
            <w:vMerge w:val="restart"/>
          </w:tcPr>
          <w:p>
            <w:pPr>
              <w:ind w:left="2300"/>
              <w:spacing w:after="0"/>
              <w:rPr>
                <w:sz w:val="20"/>
                <w:szCs w:val="20"/>
                <w:color w:val="auto"/>
              </w:rPr>
            </w:pPr>
            <w:r>
              <w:rPr>
                <w:rFonts w:ascii="Arial" w:cs="Arial" w:eastAsia="Arial" w:hAnsi="Arial"/>
                <w:sz w:val="18"/>
                <w:szCs w:val="18"/>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20" w:type="dxa"/>
            <w:vAlign w:val="bottom"/>
          </w:tcPr>
          <w:p>
            <w:pPr>
              <w:spacing w:after="0"/>
              <w:rPr>
                <w:sz w:val="20"/>
                <w:szCs w:val="20"/>
                <w:color w:val="auto"/>
              </w:rPr>
            </w:pPr>
          </w:p>
        </w:tc>
        <w:tc>
          <w:tcPr>
            <w:tcW w:w="3100" w:type="dxa"/>
            <w:vAlign w:val="bottom"/>
            <w:vMerge w:val="continue"/>
          </w:tcPr>
          <w:p>
            <w:pPr>
              <w:spacing w:after="0"/>
              <w:rPr>
                <w:sz w:val="20"/>
                <w:szCs w:val="20"/>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Daniel Schumacher</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3100" w:type="dxa"/>
            <w:vAlign w:val="bottom"/>
          </w:tcPr>
          <w:p>
            <w:pPr>
              <w:ind w:left="2300"/>
              <w:spacing w:after="0"/>
              <w:rPr>
                <w:sz w:val="20"/>
                <w:szCs w:val="20"/>
                <w:color w:val="auto"/>
              </w:rPr>
            </w:pPr>
            <w:r>
              <w:rPr>
                <w:rFonts w:ascii="Arial" w:cs="Arial" w:eastAsia="Arial" w:hAnsi="Arial"/>
                <w:sz w:val="18"/>
                <w:szCs w:val="18"/>
                <w:color w:val="auto"/>
              </w:rPr>
              <w:t>Title:</w:t>
            </w:r>
          </w:p>
        </w:tc>
        <w:tc>
          <w:tcPr>
            <w:tcW w:w="43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04"/>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79" Type="http://schemas.openxmlformats.org/officeDocument/2006/relationships/hyperlink" Target="http://www.sec.gov/Archives/edgar/data/1443669/000119312512054357/d199869dex32.htm" TargetMode="External"/><Relationship Id="rId80" Type="http://schemas.openxmlformats.org/officeDocument/2006/relationships/hyperlink" Target="http://www.sec.gov/Archives/edgar/data/1443669/000143774915010824/ex3-1.htm" TargetMode="External"/><Relationship Id="rId81" Type="http://schemas.openxmlformats.org/officeDocument/2006/relationships/hyperlink" Target="http://www.sec.gov/Archives/edgar/data/1443669/000143774922027471/ex_445136.htm" TargetMode="External"/><Relationship Id="rId82" Type="http://schemas.openxmlformats.org/officeDocument/2006/relationships/hyperlink" Target="https://www.sec.gov/Archives/edgar/data/1443669/000143774923015104/ex_52263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2023-08-04T14:24:50Z</dcterms:created>
  <dcterms:modified xsi:type="dcterms:W3CDTF">2023-08-04T14:24:50Z</dcterms:modified>
</cp:coreProperties>
</file>