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(Mark One)</w:t>
      </w:r>
    </w:p>
    <w:p>
      <w:pPr>
        <w:spacing w:after="0" w:line="167" w:lineRule="exact"/>
        <w:rPr>
          <w:sz w:val="24"/>
          <w:szCs w:val="24"/>
          <w:color w:val="auto"/>
        </w:rPr>
      </w:pPr>
    </w:p>
    <w:p>
      <w:pPr>
        <w:ind w:left="1380" w:right="1060" w:hanging="778"/>
        <w:spacing w:after="0" w:line="349"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1380" w:right="680" w:hanging="777"/>
        <w:spacing w:after="0" w:line="349" w:lineRule="auto"/>
        <w:tabs>
          <w:tab w:leader="none" w:pos="1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from___________ to___________</w:t>
      </w:r>
    </w:p>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001-35435</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Proto Labs, Inc.</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41-1939628</w:t>
            </w:r>
          </w:p>
        </w:tc>
      </w:tr>
      <w:tr>
        <w:trPr>
          <w:trHeight w:val="252"/>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0"/>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5540 Pioneer Creek Drive</w:t>
            </w:r>
          </w:p>
        </w:tc>
        <w:tc>
          <w:tcPr>
            <w:tcW w:w="3100" w:type="dxa"/>
            <w:vAlign w:val="bottom"/>
          </w:tcPr>
          <w:p>
            <w:pPr>
              <w:spacing w:after="0"/>
              <w:rPr>
                <w:sz w:val="24"/>
                <w:szCs w:val="24"/>
                <w:color w:val="auto"/>
              </w:rPr>
            </w:pPr>
          </w:p>
        </w:tc>
      </w:tr>
      <w:tr>
        <w:trPr>
          <w:trHeight w:val="270"/>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rPr>
              <w:t>Maple Plain, Minnesota</w:t>
            </w:r>
          </w:p>
        </w:tc>
        <w:tc>
          <w:tcPr>
            <w:tcW w:w="3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55359</w:t>
            </w:r>
          </w:p>
        </w:tc>
      </w:tr>
      <w:tr>
        <w:trPr>
          <w:trHeight w:val="270"/>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(763) 479-3680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20"/>
          </w:cols>
          <w:pgMar w:left="320" w:top="337" w:right="359" w:bottom="1440" w:gutter="0" w:footer="0" w:header="0"/>
        </w:sectPr>
      </w:pPr>
    </w:p>
    <w:p>
      <w:pPr>
        <w:spacing w:after="0" w:line="17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75" w:lineRule="exact"/>
        <w:rPr>
          <w:sz w:val="24"/>
          <w:szCs w:val="24"/>
          <w:color w:val="auto"/>
        </w:rPr>
      </w:pPr>
    </w:p>
    <w:p>
      <w:pPr>
        <w:sectPr>
          <w:pgSz w:w="11900" w:h="16838" w:orient="portrait"/>
          <w:cols w:equalWidth="0" w:num="3">
            <w:col w:w="4220" w:space="720"/>
            <w:col w:w="1840" w:space="720"/>
            <w:col w:w="3720"/>
          </w:cols>
          <w:pgMar w:left="320" w:top="337" w:right="3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PRLB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680" w:space="720"/>
            <w:col w:w="2000" w:space="720"/>
            <w:col w:w="3100"/>
          </w:cols>
          <w:pgMar w:left="320" w:top="337" w:right="35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99" w:lineRule="exact"/>
        <w:rPr>
          <w:sz w:val="24"/>
          <w:szCs w:val="24"/>
          <w:color w:val="auto"/>
        </w:rPr>
      </w:pPr>
    </w:p>
    <w:p>
      <w:pPr>
        <w:ind w:right="1540"/>
        <w:spacing w:after="0" w:line="397"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37" w:right="339" w:bottom="1440" w:gutter="0" w:footer="0" w:header="0"/>
        </w:sectPr>
      </w:pPr>
    </w:p>
    <w:p>
      <w:pPr>
        <w:spacing w:after="0" w:line="12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x</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o</w:t>
      </w:r>
    </w:p>
    <w:p>
      <w:pPr>
        <w:spacing w:after="0" w:line="200" w:lineRule="exact"/>
        <w:rPr>
          <w:sz w:val="20"/>
          <w:szCs w:val="20"/>
          <w:color w:val="auto"/>
        </w:rPr>
      </w:pPr>
    </w:p>
    <w:p>
      <w:pPr>
        <w:sectPr>
          <w:pgSz w:w="11900" w:h="16838" w:orient="portrait"/>
          <w:cols w:equalWidth="0" w:num="2">
            <w:col w:w="8160" w:space="720"/>
            <w:col w:w="2360"/>
          </w:cols>
          <w:pgMar w:left="320" w:top="337" w:right="339" w:bottom="1440" w:gutter="0" w:footer="0" w:header="0"/>
          <w:type w:val="continuous"/>
        </w:sectPr>
      </w:pPr>
    </w:p>
    <w:p>
      <w:pPr>
        <w:spacing w:after="0" w:line="1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o</w:t>
      </w:r>
    </w:p>
    <w:p>
      <w:pPr>
        <w:spacing w:after="0" w:line="198" w:lineRule="exact"/>
        <w:rPr>
          <w:sz w:val="20"/>
          <w:szCs w:val="20"/>
          <w:color w:val="auto"/>
        </w:rPr>
      </w:pPr>
    </w:p>
    <w:p>
      <w:pPr>
        <w:sectPr>
          <w:pgSz w:w="11900" w:h="16838" w:orient="portrait"/>
          <w:cols w:equalWidth="0" w:num="2">
            <w:col w:w="7380" w:space="720"/>
            <w:col w:w="3140"/>
          </w:cols>
          <w:pgMar w:left="320" w:top="337" w:right="339" w:bottom="1440" w:gutter="0" w:footer="0" w:header="0"/>
          <w:type w:val="continuous"/>
        </w:sectPr>
      </w:pPr>
    </w:p>
    <w:p>
      <w:pPr>
        <w:ind w:left="81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337" w:right="339" w:bottom="1440" w:gutter="0" w:footer="0" w:header="0"/>
          <w:type w:val="continuous"/>
        </w:sectPr>
      </w:pP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June 28, 2024 (the last business day of the Registrant’s most recently completed second fiscal quarter), the aggregate market value of voting stock held by non-affiliates of the Registrant was approximately $0.8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10, 2025, there were 24,233,196 shares of the Registrant’s common stock outstanding.</w:t>
      </w:r>
    </w:p>
    <w:p>
      <w:pPr>
        <w:spacing w:after="0" w:line="1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2025 annual meeting of shareholders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0" w:type="dxa"/>
            <w:vAlign w:val="bottom"/>
            <w:gridSpan w:val="6"/>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445"/>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50"/>
        </w:trPr>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0" w:type="dxa"/>
            <w:vAlign w:val="bottom"/>
            <w:gridSpan w:val="6"/>
          </w:tcPr>
          <w:p>
            <w:pPr>
              <w:jc w:val="center"/>
              <w:ind w:right="3900"/>
              <w:spacing w:after="0"/>
              <w:rPr>
                <w:sz w:val="20"/>
                <w:szCs w:val="20"/>
                <w:color w:val="auto"/>
              </w:rPr>
            </w:pPr>
            <w:r>
              <w:rPr>
                <w:rFonts w:ascii="Times New Roman" w:cs="Times New Roman" w:eastAsia="Times New Roman" w:hAnsi="Times New Roman"/>
                <w:sz w:val="18"/>
                <w:szCs w:val="18"/>
                <w:b w:val="1"/>
                <w:bCs w:val="1"/>
                <w:color w:val="0000FF"/>
                <w:w w:val="95"/>
              </w:rPr>
              <w:t>PART I</w:t>
            </w: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160" w:type="dxa"/>
            <w:vAlign w:val="bottom"/>
            <w:gridSpan w:val="7"/>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82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1"/>
                <w:szCs w:val="2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14</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6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25</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6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60" w:type="dxa"/>
            <w:vAlign w:val="bottom"/>
          </w:tcPr>
          <w:p>
            <w:pPr>
              <w:spacing w:after="0"/>
              <w:rPr>
                <w:sz w:val="21"/>
                <w:szCs w:val="21"/>
                <w:color w:val="auto"/>
              </w:rPr>
            </w:pP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25</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56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800" w:type="dxa"/>
            <w:vAlign w:val="bottom"/>
            <w:gridSpan w:val="4"/>
          </w:tcPr>
          <w:p>
            <w:pPr>
              <w:spacing w:after="0"/>
              <w:rPr>
                <w:sz w:val="21"/>
                <w:szCs w:val="21"/>
                <w:color w:val="auto"/>
              </w:rPr>
            </w:pP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26</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460" w:type="dxa"/>
            <w:vAlign w:val="bottom"/>
            <w:gridSpan w:val="3"/>
          </w:tcPr>
          <w:p>
            <w:pPr>
              <w:spacing w:after="0"/>
              <w:rPr>
                <w:sz w:val="21"/>
                <w:szCs w:val="21"/>
                <w:color w:val="auto"/>
              </w:rPr>
            </w:pP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10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Shareholder Matters and Issuer Purchases of Equity Securities</w:t>
            </w:r>
          </w:p>
        </w:tc>
        <w:tc>
          <w:tcPr>
            <w:tcW w:w="6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[Reserved]</w:t>
            </w:r>
          </w:p>
        </w:tc>
        <w:tc>
          <w:tcPr>
            <w:tcW w:w="6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21"/>
                <w:szCs w:val="21"/>
                <w:color w:val="auto"/>
              </w:rPr>
            </w:pP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43</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20" w:type="dxa"/>
            <w:vAlign w:val="bottom"/>
            <w:gridSpan w:val="5"/>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20"/>
        </w:trPr>
        <w:tc>
          <w:tcPr>
            <w:tcW w:w="136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Pr>
          <w:p>
            <w:pPr>
              <w:spacing w:after="0"/>
              <w:rPr>
                <w:sz w:val="21"/>
                <w:szCs w:val="21"/>
                <w:color w:val="auto"/>
              </w:rPr>
            </w:pPr>
          </w:p>
        </w:tc>
        <w:tc>
          <w:tcPr>
            <w:tcW w:w="6920" w:type="dxa"/>
            <w:vAlign w:val="bottom"/>
            <w:gridSpan w:val="8"/>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0"/>
        </w:trPr>
        <w:tc>
          <w:tcPr>
            <w:tcW w:w="136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780" w:type="dxa"/>
            <w:vAlign w:val="bottom"/>
            <w:gridSpan w:val="3"/>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13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3"/>
          </w:tcPr>
          <w:p>
            <w:pPr>
              <w:spacing w:after="0"/>
              <w:rPr>
                <w:sz w:val="21"/>
                <w:szCs w:val="21"/>
                <w:color w:val="auto"/>
              </w:rPr>
            </w:pPr>
          </w:p>
        </w:tc>
        <w:tc>
          <w:tcPr>
            <w:tcW w:w="4220" w:type="dxa"/>
            <w:vAlign w:val="bottom"/>
            <w:gridSpan w:val="4"/>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13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 Matters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13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13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gridSpan w:val="4"/>
          </w:tcPr>
          <w:p>
            <w:pPr>
              <w:spacing w:after="0"/>
              <w:rPr>
                <w:sz w:val="21"/>
                <w:szCs w:val="21"/>
                <w:color w:val="auto"/>
              </w:rPr>
            </w:pPr>
          </w:p>
        </w:tc>
        <w:tc>
          <w:tcPr>
            <w:tcW w:w="2860" w:type="dxa"/>
            <w:vAlign w:val="bottom"/>
            <w:gridSpan w:val="2"/>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13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980" w:type="dxa"/>
            <w:vAlign w:val="bottom"/>
            <w:gridSpan w:val="4"/>
          </w:tcPr>
          <w:p>
            <w:pPr>
              <w:jc w:val="center"/>
              <w:ind w:right="5260"/>
              <w:spacing w:after="0"/>
              <w:rPr>
                <w:sz w:val="20"/>
                <w:szCs w:val="20"/>
                <w:color w:val="auto"/>
              </w:rPr>
            </w:pPr>
            <w:r>
              <w:rPr>
                <w:rFonts w:ascii="Times New Roman" w:cs="Times New Roman" w:eastAsia="Times New Roman" w:hAnsi="Times New Roman"/>
                <w:sz w:val="18"/>
                <w:szCs w:val="18"/>
                <w:b w:val="1"/>
                <w:bCs w:val="1"/>
                <w:color w:val="0000FF"/>
                <w:w w:val="97"/>
              </w:rPr>
              <w:t>PART IV</w:t>
            </w:r>
          </w:p>
        </w:tc>
      </w:tr>
      <w:tr>
        <w:trPr>
          <w:trHeight w:val="25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720" w:type="dxa"/>
            <w:vAlign w:val="bottom"/>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360" w:type="dxa"/>
            <w:vAlign w:val="bottom"/>
          </w:tcPr>
          <w:p>
            <w:pPr>
              <w:spacing w:after="0"/>
              <w:rPr>
                <w:sz w:val="21"/>
                <w:szCs w:val="21"/>
                <w:color w:val="auto"/>
              </w:rPr>
            </w:pPr>
          </w:p>
        </w:tc>
      </w:tr>
      <w:tr>
        <w:trPr>
          <w:trHeight w:val="952"/>
        </w:trPr>
        <w:tc>
          <w:tcPr>
            <w:tcW w:w="138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47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Statements contained in this Annual Report on Form 10-K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which may cause our results to be materially different than those expressed or implied in such statements. In particular, some of the risks associated with our business include:</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in our industry and our ability to compete;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changes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grow our business and manage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sell to existing and new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customers' needs and expectations regarding lead time, breadth of manufacturing processes, price and specifications for quality;</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rate of e-commerce and 3D CAD software by product developers and engineers;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process a large volume of designs and identify significant opportunities in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complete and integrate acquisitions or other strategic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successfully launch updates to our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or failure to attract and retain additional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interruptions at our operating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unauthorized access to customers’ confidential information stored in our systems;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not infringe on others’ intellectual property.</w:t>
      </w:r>
    </w:p>
    <w:p>
      <w:pPr>
        <w:spacing w:after="0" w:line="22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Certain of these factors and others are described in the discussion on risk factors that appear in Part I, Item 1A. “Risk Factors” of this Annual Report on Form 10-K and uncertainties are detailed in this and other reports and filings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except as required by law, we expressly disclaim any intent or obligation to update any forward-looking statements to reflect subsequent events or circumstances.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Proto Labs, Inc. was incorporated in Minnesota in 1999. The terms “Proto Labs,” the “Company,” “we,” “us,” and “our” as used herein refer to the business and operations of Proto Labs, Inc. and its subsidiaries.</w:t>
      </w:r>
    </w:p>
    <w:p>
      <w:pPr>
        <w:spacing w:after="0" w:line="162"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are one of the world’s largest, fastest, and most comprehensive digital manufacturers of custom parts. Our vision is accelerating innovation by revolutionizing manufacturing. Our mission is to empower companies to bring new ideas to market by offering the fastest and most comprehensive digital manufacturing service in the world. We accomplish this by offering a variety of manufacturing capabilities fulfilled through a combination of owned manufacturing factories and a worldwide network of premium manufacturing partners. Our automated quoting and manufacturing systems are highly integrated with our manufacturing and fulfillment systems, which allow us to offer a vast array of manufacturing technologies in a variety of materials across a continuum of lead times and prices. Our technology-enabled digital engineering and manufacturing applications enable us to produce commercial-grade plastic, metal, and liquid silicone rubber parts in as fast as one day.</w:t>
      </w:r>
    </w:p>
    <w:p>
      <w:pPr>
        <w:spacing w:after="0" w:line="18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customers engage with us throughout the lifecycle of their product, from early-stage prototyping through end-use production to end-of-life replacement and other parts needs that we fulfill through a combination of factories and manufacturing partners. Through our factories, we manufacture prototype and low 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Since our inception, we have manufactured over 617 million parts for customers. For most of our offerings, our proprietary technology eliminates most of the time-consuming and expensive skilled labor conventionally required to quote and manufacture parts. Using our technology, we have analyzed over 16 million unique part designs since inception.</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Through the acquisition of Hubs (formerly 3D Hubs, Inc.) (Hubs) in 2021, we provide our customers access to a global network of premium manufacturing partners who reside across North America, Europe and Asia. The manufacturing partner network, complements our in-house manufacturing, enabling us to significantly increase the size, complexity, breadth of manufacturing processes, lead times and prices of the parts we produce. In January 2024, we rebranded Hubs to the Protolabs Network by Hubs (Protolabs Network).</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customers conduct nearly all their business with us over the Internet. We target our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custom parts. We believe our use of advanced technology enables us to offer significant advantages at competitive prices to many customers and is the primary reason we have become a leading supplier of custom parts.</w:t>
      </w:r>
    </w:p>
    <w:p>
      <w:pPr>
        <w:spacing w:after="0" w:line="18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have established our operations in the United States and Europe. 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The Company expects to substantially complete the plan within fiscal year 2025. The Company intends to continue offering all of its manufacturing services to customers across Europe, including injection molding and metal 3D printing. These services will be fulfilled through internal manufacturing facilities and a network of manufacturing partners. Previously, we had established operations in Japan. On May 27, 2022, the Company's board of directors approved a plan for the closure of the Company's manufacturing facility in Japan and announced an intention to cease operations in the region. The Company dissolved its Japan operations in December 2023.</w:t>
      </w:r>
    </w:p>
    <w:p>
      <w:pPr>
        <w:spacing w:after="0" w:line="192"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create time for our customers by providing an efficient way for them to procure high-quality custom parts at competitive prices. We believe prototype and low volume custom parts manufacturing has historically been an underserved market due to the inefficiencies inherent in the quotation, equipment set-up and non-recurring engineering processes required to produce custom parts. We also believe that there are a multitude of factors that are valuable to our customers that our offer uniquely provides, including speed to market, supply chain stability, access to a broad range of</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manufacturing capabilities, reduced supply chain waste, and efficient sourcing of custom parts. Our customers typically partner with us for a variety of reasons, including:</w:t>
      </w:r>
    </w:p>
    <w:p>
      <w:pPr>
        <w:spacing w:after="0" w:line="162"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 prototype to confirm the form, fit and function of one or more components of a product under development;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an initial supply of parts to support pilot production for testing of a product;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an initial supply of parts to support production while their tools for a high-volume production mold are prepared;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to meet their customers' variable demand for parts in a competitive timeframe;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product will only be produced in a limited quantity and/or is highly customized;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to support end-of-life production in a cost-effective manner;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want to avoid minimum order quantities or costs related to storing excess inventory;</w:t>
      </w:r>
    </w:p>
    <w:p>
      <w:pPr>
        <w:spacing w:after="0" w:line="225"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access to diverse, cost competitive manufacturing capabilities and value the convenience of working with a single supplier to match parts to the best producer;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low- to mid-volumes of parts on an irregular schedule and prefer to order on-demand.</w:t>
      </w:r>
    </w:p>
    <w:p>
      <w:pPr>
        <w:spacing w:after="0" w:line="225"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each of these instances, we believe our solution provides product developers, engineers, production buyers and other customers with an exceptional combination of speed, quality, competitive pricing, ease of use and reliability that they typically cannot find among conventional custom parts manufacturers or other competitors in our industry. Our technology enables us to ship parts not only with industry-leading speed as soon as the same day after receipt of a customer’s design submission, but also provides the flexibility to produce for our customers custom parts in the manufacturing processes and materials they want, with the flexible lead time they choose, at competitive prices.</w:t>
      </w:r>
    </w:p>
    <w:p>
      <w:pPr>
        <w:spacing w:after="0" w:line="18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primary manufacturing product lines currently include Injection Molding, CNC Machining, 3D Printing and Sheet Metal. We continually seek to expand the range of size and geometric complexity of the parts we can make or source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 With the addition of the Protolabs Network in 2021, our global network of premium manufacturing partners significantly expands the breadth and depth of our manufacturing capabilities, enabling us to offer customers a wider variety of lead times and pricing options, and an expanded envelope of parts (complexity, size, etc.).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pioneered the digital manufacturing industry when we were founded in 1999 and have been recognized as a catalyst for the next generation wave of Industry 4.0. Traditional manufacturing exists as a fragmented collage of niche producers operating in disparate capacities along the supply chain. We strive to be the partner of choice for our customers, to meet them in their times of need with a vast array of manufacturing solutions. We do this by providing our customers an eCommerce experience where they can upload their part design and receive a rapid (or instantaneous) quote coupled with design for manufacturability feedback, evaluate the costs and lead times for a variety of manufacturing processes, and easily order parts at quantities 1 to 1 million-plus. From the time they upload their design, we maintain a continuous digital thread of the part, which enables us to be nimble and adapt to the changing needs of our customer.</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there are three significant trends disrupting the manufacturing industry today:</w:t>
      </w:r>
    </w:p>
    <w:p>
      <w:pPr>
        <w:spacing w:after="0" w:line="223" w:lineRule="exact"/>
        <w:rPr>
          <w:sz w:val="20"/>
          <w:szCs w:val="20"/>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SKU Proliferation </w:t>
      </w:r>
      <w:r>
        <w:rPr>
          <w:rFonts w:ascii="Times New Roman" w:cs="Times New Roman" w:eastAsia="Times New Roman" w:hAnsi="Times New Roman"/>
          <w:sz w:val="18"/>
          <w:szCs w:val="18"/>
          <w:color w:val="auto"/>
        </w:rPr>
        <w:t>– The increase in the number of products launched has been dramatic across many sectors.</w:t>
      </w:r>
    </w:p>
    <w:p>
      <w:pPr>
        <w:spacing w:after="0" w:line="29" w:lineRule="exact"/>
        <w:rPr>
          <w:rFonts w:ascii="Times New Roman" w:cs="Times New Roman" w:eastAsia="Times New Roman" w:hAnsi="Times New Roman"/>
          <w:sz w:val="18"/>
          <w:szCs w:val="18"/>
          <w:color w:val="auto"/>
        </w:rPr>
      </w:pPr>
    </w:p>
    <w:p>
      <w:pPr>
        <w:ind w:left="500" w:right="260" w:hanging="330"/>
        <w:spacing w:after="0" w:line="250"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Shorter Product Life Cycles </w:t>
      </w:r>
      <w:r>
        <w:rPr>
          <w:rFonts w:ascii="Times New Roman" w:cs="Times New Roman" w:eastAsia="Times New Roman" w:hAnsi="Times New Roman"/>
          <w:sz w:val="18"/>
          <w:szCs w:val="18"/>
          <w:color w:val="auto"/>
        </w:rPr>
        <w:t>– New products are launching faster and more frequently than ever before, partially driven by the "internet of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connected device trends, resulting in shorter lives in the market.</w:t>
      </w:r>
    </w:p>
    <w:p>
      <w:pPr>
        <w:ind w:left="500" w:right="360" w:hanging="330"/>
        <w:spacing w:after="0" w:line="260"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Shift to E-commerce Sourcing </w:t>
      </w:r>
      <w:r>
        <w:rPr>
          <w:rFonts w:ascii="Times New Roman" w:cs="Times New Roman" w:eastAsia="Times New Roman" w:hAnsi="Times New Roman"/>
          <w:sz w:val="18"/>
          <w:szCs w:val="18"/>
          <w:color w:val="auto"/>
        </w:rPr>
        <w:t>– The first two trends, SKU proliferation and shorter product life cycles, put pressure on traditional supply chains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many to adopt digital solutions and begin to invest in digital supply ecosystems.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impacts of these trends include increased volatility, reduced development time, increased variety to manage, higher pressure on development costs, shorter payback period in the market and reduced capital investment per product. Our digital thread makes us ideally suited to solve these challenges for many manufacturing companies by offering world-class speed, low upfront investment, no minimum order quantities, broad manufacturing capabilities, and flexibility to adapt to demand volatility.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Process</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digital thread, which is the virtual representation of the part created by our proprietary software and mirrors the physical manufacturing process, has enabled us to reinvent manufacturing. Within our factories, our digital thread ties together each aspect of the online ordering and manufacturing processes, including 3D CAD modeling and visualization tools, proprietary design for manufacturability analysis (DFM), computer aided manufacturing, the manufacturing equipment, and the shop floor data collection systems. Digital manufacturing, and the addition of the digital thread, results in automation that reduces manufacturing and labor costs and increases throughput, enabling us to differentiate ourselves as one of the world’s fastest and most effective solutions for prototype and low volume production use cases.</w:t>
      </w:r>
    </w:p>
    <w:p>
      <w:pPr>
        <w:spacing w:after="0" w:line="187"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Our technology allows us to manufacture a broad range of parts and products, across multiple industries and processes and enables us to serve a diverse set of customers. We currently serve all manufacturing industry verticals, with our top industries being medical and healthcare, computer electronics, industrial machinery and equipment, aerospace and automotive.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Order</w:t>
      </w:r>
    </w:p>
    <w:p>
      <w:pPr>
        <w:spacing w:after="0" w:line="22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The customer order process begins when the customer uploads one or more 3D CAD models representing the desired part geometry through our web-based customer interfaces. Our websites provide a straightforward means for our customers to submit 3D CAD part designs, including managing projects with multi-part orders, across multiple services and capabilities. Our proprietary software uses complex algorithms to analyze the 3D CAD geometry, analyze its DFM and support the creation of an interactive, web-based quotation containing pricing and manufacturability information. The artificial intelligence and machine learning provided by each analysis allows us to continually improve our DFM technology. When the analysis is complete, a link to the quotation is then e-mailed to the customer, who can access the quotation, change a variety of order parameters, and instantly see the effect on price before finalizing the order.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Manufacturing Process</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internal manufacturing operations produce parts in-house, while our outsourced manufacturing operations automatically route the parts for production by a global network of premium manufacturing partners. Our proprietary software and business process automates the non-recurring manufacturing engineering in many of our services, removing time and cost from the manufacture of the custom part. With the integrated digital thread, data is shared through the continuum of the manufacturing process, from product conception and design upload to manufacturing, inspection and delivery. This ensures consistency, quality, and a high degree of automation. As a result of this automation, we are able to ship parts to customers with industry leading speed at scale. For parts produced by the manufacturing network, our proprietary software automatically routes the parts to the right manufacturing partner within minutes using an AI-infused smart order routing system built on machine learning data of millions of parts produced.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currently operate in a global custom contract manufacturing market which is a form of outsourcing where companies enter into an arrangement or formal agreement with another company or individual for the manufacture of complete parts, products, or components. Since our inception, we have focused on areas where we could automate the manufacturing process via our digital model and we positioned ourselves to avoid routine, low margin, high-volume commoditized manufacturing. Our initial focus was on prototypes and simple parts and have added complexity over time. We have added product lines and expanded those product lines to meet the needs of our customers, which has ultimately driven our growth.</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Initially, we focused on speed, reliability and quality as key components of our differentiation, and customers used us for production where there was a good fit. We have evolved from serving primarily fast response prototypes to broader customer use cases including higher requirements, such as a tighter tolerance, broader ranges of lead times and price points, and quality and process documentation to support production needs. We have further expanded our offering through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Protolabs Network to be able to serve our customers more holistically, augmenting our in-house manufacturing capabilities with a network of premium manufacturing partners to serve our customer needs that currently reside outside of our internal manufacturing capabilities. Our goal is to be the fastest, most reliable, and most comprehensive provider of custom parts in our four services. Combining our unprecedented in-house manufacturing with the broad capabilities and wide variety of price and lead time options through our manufacturing network expands our ability to provide value to our customers and differentiates us from competitors.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The market for custom parts manufacturing is fragmented, highly competitive and subject to rapid and significant technological change. Our potential competitors include:</w:t>
      </w:r>
    </w:p>
    <w:p>
      <w:pPr>
        <w:spacing w:after="0" w:line="162" w:lineRule="exact"/>
        <w:rPr>
          <w:sz w:val="20"/>
          <w:szCs w:val="20"/>
          <w:color w:val="auto"/>
        </w:rPr>
      </w:pPr>
    </w:p>
    <w:p>
      <w:pPr>
        <w:ind w:left="820" w:right="26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 parts manufacturers. There are thousands of alternative manufacturing machine shops, injection molding suppliers, sheet metal fabricators, and 3D printing service bureaus and vendors worldwide. The size and scale of these businesses range from very small specialty shops to large, high-volume production manufacturers.</w:t>
      </w:r>
    </w:p>
    <w:p>
      <w:pPr>
        <w:spacing w:after="0" w:line="175" w:lineRule="exact"/>
        <w:rPr>
          <w:rFonts w:ascii="Times New Roman" w:cs="Times New Roman" w:eastAsia="Times New Roman" w:hAnsi="Times New Roman"/>
          <w:sz w:val="18"/>
          <w:szCs w:val="18"/>
          <w:color w:val="auto"/>
        </w:rPr>
      </w:pPr>
    </w:p>
    <w:p>
      <w:pPr>
        <w:ind w:left="820" w:right="24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There are an increasing number of digital brokers that offer a network of manufacturers, generally a subset of the other custom parts manufacturers described above, that can offer a diverse range of capabilities, capacity, competitive pricing and desired lead times to meet customer demand.</w:t>
      </w:r>
    </w:p>
    <w:p>
      <w:pPr>
        <w:spacing w:after="0" w:line="175" w:lineRule="exact"/>
        <w:rPr>
          <w:rFonts w:ascii="Times New Roman" w:cs="Times New Roman" w:eastAsia="Times New Roman" w:hAnsi="Times New Roman"/>
          <w:sz w:val="18"/>
          <w:szCs w:val="18"/>
          <w:color w:val="auto"/>
        </w:rPr>
      </w:pPr>
    </w:p>
    <w:p>
      <w:pPr>
        <w:jc w:val="both"/>
        <w:ind w:left="820" w:right="4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Captive in-house product manufacturing. Many larger companies undertaking product development have established additive rapid prototyping (3D printing), CNC machining, injection molding or sheet metal capabilities internally to support prototyping or manufacturing requirements of their product developers and engineers.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that the key competitive factors in our industry include:</w:t>
      </w:r>
    </w:p>
    <w:p>
      <w:pPr>
        <w:spacing w:after="0" w:line="225" w:lineRule="exact"/>
        <w:rPr>
          <w:sz w:val="20"/>
          <w:szCs w:val="20"/>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dimensional accuracy, surface finish, color and cleanliness;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turnaround time for quotations and parts;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highly reliable delivery with predictable lead times;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overall customer experience, from web interface to post-sales support;</w:t>
      </w:r>
    </w:p>
    <w:p>
      <w:pPr>
        <w:spacing w:after="0" w:line="225"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range of part sizes and dimensional complexities supported, variety of manufacturing processes offered, materials supported and post-processing provided;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ability to support thousands of part designs in parallel;</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ability to manage peaks in demand with very short lead times and no minimum order quantities;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competitive mold and part pricing, including total cost of ownership.</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that our digital end-to-end manufacturing capabilities position us favorably and has enabled us to become a leader in our markets.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and Sustainability</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corporate responsibility and sustainability practices are built on a foundation of shared fundamental values. In 2024, we updated our value statements to: We are one Team, We are Kind, We are Makers, We Win or We Learn and We Take Ownership. These values help us to deliver strong financial results that create value for our Company and our shareholders in a way that respects our communities and the environments in which we operate.</w:t>
      </w:r>
    </w:p>
    <w:p>
      <w:pPr>
        <w:spacing w:after="0" w:line="172" w:lineRule="exact"/>
        <w:rPr>
          <w:sz w:val="20"/>
          <w:szCs w:val="20"/>
          <w:color w:val="auto"/>
        </w:rPr>
      </w:pPr>
    </w:p>
    <w:p>
      <w:pPr>
        <w:ind w:left="820" w:hanging="326"/>
        <w:spacing w:after="0" w:line="28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one Team </w:t>
      </w:r>
      <w:r>
        <w:rPr>
          <w:rFonts w:ascii="Times New Roman" w:cs="Times New Roman" w:eastAsia="Times New Roman" w:hAnsi="Times New Roman"/>
          <w:sz w:val="18"/>
          <w:szCs w:val="18"/>
          <w:color w:val="auto"/>
        </w:rPr>
        <w:t>– We are one global team. We're successful when we work together, challenge one and other, and make decisions that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common goals. We are authentic in our interactions.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20" w:right="160" w:hanging="326"/>
        <w:spacing w:after="0" w:line="286"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Kind </w:t>
      </w:r>
      <w:r>
        <w:rPr>
          <w:rFonts w:ascii="Times New Roman" w:cs="Times New Roman" w:eastAsia="Times New Roman" w:hAnsi="Times New Roman"/>
          <w:sz w:val="18"/>
          <w:szCs w:val="18"/>
          <w:color w:val="auto"/>
        </w:rPr>
        <w:t>– We are clear with our words and actions. We seek and give thoughtful and constructive feedback delivered with respect.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to other's opinions and support decisions made.</w:t>
      </w:r>
    </w:p>
    <w:p>
      <w:pPr>
        <w:spacing w:after="0" w:line="154" w:lineRule="exact"/>
        <w:rPr>
          <w:rFonts w:ascii="Times New Roman" w:cs="Times New Roman" w:eastAsia="Times New Roman" w:hAnsi="Times New Roman"/>
          <w:sz w:val="18"/>
          <w:szCs w:val="18"/>
          <w:color w:val="auto"/>
        </w:rPr>
      </w:pPr>
    </w:p>
    <w:p>
      <w:pPr>
        <w:ind w:left="820" w:right="420" w:hanging="326"/>
        <w:spacing w:after="0" w:line="286"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Makers </w:t>
      </w:r>
      <w:r>
        <w:rPr>
          <w:rFonts w:ascii="Times New Roman" w:cs="Times New Roman" w:eastAsia="Times New Roman" w:hAnsi="Times New Roman"/>
          <w:sz w:val="18"/>
          <w:szCs w:val="18"/>
          <w:color w:val="auto"/>
        </w:rPr>
        <w:t>– Whether we manufacture a part or provide a customer experience, we demonstrate excitement in our work. We embrace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and create space for experimentation and calculated risks.</w:t>
      </w:r>
    </w:p>
    <w:p>
      <w:pPr>
        <w:spacing w:after="0" w:line="154" w:lineRule="exact"/>
        <w:rPr>
          <w:rFonts w:ascii="Times New Roman" w:cs="Times New Roman" w:eastAsia="Times New Roman" w:hAnsi="Times New Roman"/>
          <w:sz w:val="18"/>
          <w:szCs w:val="18"/>
          <w:color w:val="auto"/>
        </w:rPr>
      </w:pPr>
    </w:p>
    <w:p>
      <w:pPr>
        <w:ind w:left="820" w:right="60" w:hanging="326"/>
        <w:spacing w:after="0" w:line="286"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Win or We Learn </w:t>
      </w:r>
      <w:r>
        <w:rPr>
          <w:rFonts w:ascii="Times New Roman" w:cs="Times New Roman" w:eastAsia="Times New Roman" w:hAnsi="Times New Roman"/>
          <w:sz w:val="18"/>
          <w:szCs w:val="18"/>
          <w:color w:val="auto"/>
        </w:rPr>
        <w:t>- We're dedicated to achieving our goals. When we fail, we learn and respond with resiliency. When we win, we share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celebration.</w:t>
      </w:r>
    </w:p>
    <w:p>
      <w:pPr>
        <w:spacing w:after="0" w:line="154" w:lineRule="exact"/>
        <w:rPr>
          <w:rFonts w:ascii="Times New Roman" w:cs="Times New Roman" w:eastAsia="Times New Roman" w:hAnsi="Times New Roman"/>
          <w:sz w:val="18"/>
          <w:szCs w:val="18"/>
          <w:color w:val="auto"/>
        </w:rPr>
      </w:pPr>
    </w:p>
    <w:p>
      <w:pPr>
        <w:ind w:left="820" w:right="360" w:hanging="326"/>
        <w:spacing w:after="0" w:line="286"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Take Ownership </w:t>
      </w:r>
      <w:r>
        <w:rPr>
          <w:rFonts w:ascii="Times New Roman" w:cs="Times New Roman" w:eastAsia="Times New Roman" w:hAnsi="Times New Roman"/>
          <w:sz w:val="18"/>
          <w:szCs w:val="18"/>
          <w:color w:val="auto"/>
        </w:rPr>
        <w:t>- We take pride in our work. We are enthusiastic about the impact we make on our employees, our customers,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communities we serve.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Digital Manufacturing Drives Sustainability</w:t>
      </w:r>
    </w:p>
    <w:p>
      <w:pPr>
        <w:spacing w:after="0" w:line="229" w:lineRule="exact"/>
        <w:rPr>
          <w:sz w:val="20"/>
          <w:szCs w:val="20"/>
          <w:color w:val="auto"/>
        </w:rPr>
      </w:pPr>
    </w:p>
    <w:p>
      <w:pPr>
        <w:ind w:left="660" w:right="180" w:firstLine="648"/>
        <w:spacing w:after="0" w:line="258" w:lineRule="auto"/>
        <w:rPr>
          <w:sz w:val="20"/>
          <w:szCs w:val="20"/>
          <w:color w:val="auto"/>
        </w:rPr>
      </w:pPr>
      <w:r>
        <w:rPr>
          <w:rFonts w:ascii="Times New Roman" w:cs="Times New Roman" w:eastAsia="Times New Roman" w:hAnsi="Times New Roman"/>
          <w:sz w:val="18"/>
          <w:szCs w:val="18"/>
          <w:color w:val="auto"/>
        </w:rPr>
        <w:t>As a digital manufacturer, we are able to assist our customers as they focus on materials management, operational productivity and on-demand solutions. Digital manufacturing is a solution our customers can deploy to reduce product waste by iterating part designs virtually, on a digital twin model before any actual production begins. With on-demand production of parts, there is also reduced reliance on storage facilities since inventory is virtual – the parts you need, when you need them. Our on-demand manufacturing model also helps customers with end-of-life planning for products, reducing the need for ordering excess parts with shifting market demand.</w:t>
      </w:r>
    </w:p>
    <w:p>
      <w:pPr>
        <w:spacing w:after="0" w:line="183" w:lineRule="exact"/>
        <w:rPr>
          <w:sz w:val="20"/>
          <w:szCs w:val="20"/>
          <w:color w:val="auto"/>
        </w:rPr>
      </w:pPr>
    </w:p>
    <w:p>
      <w:pPr>
        <w:ind w:left="660" w:right="60" w:firstLine="648"/>
        <w:spacing w:after="0" w:line="258" w:lineRule="auto"/>
        <w:rPr>
          <w:sz w:val="20"/>
          <w:szCs w:val="20"/>
          <w:color w:val="auto"/>
        </w:rPr>
      </w:pPr>
      <w:r>
        <w:rPr>
          <w:rFonts w:ascii="Times New Roman" w:cs="Times New Roman" w:eastAsia="Times New Roman" w:hAnsi="Times New Roman"/>
          <w:sz w:val="18"/>
          <w:szCs w:val="18"/>
          <w:color w:val="auto"/>
        </w:rPr>
        <w:t>When paired with a robust e-commerce platform, digital manufacturing can also increase efficiencies in material selection and usage, the procurement process, and accelerate innovation. Furthermore, reducing scrap rate requires monitoring systems that enable automated process cycle sheet generation, ensuring run-to-run repeatability and reducing operator error. This kind of monitoring system can improve consistency in part production and reduce scrap costs, especially in injection molding and parts nonconformance. We believe sustainability in product development, and in manufacturing, is the future and we will continue to support our customers in their own sustainability journeys.</w:t>
      </w:r>
    </w:p>
    <w:p>
      <w:pPr>
        <w:spacing w:after="0" w:line="179"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Environmental Priorities</w:t>
      </w:r>
    </w:p>
    <w:p>
      <w:pPr>
        <w:spacing w:after="0" w:line="229"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having a positive impact on the environment. Our environmental key priorities include: nonrenewable energy use reduction and environmental compliance. In 2024, we devoted resources to manage increasing costs of energy, particularly in the European region, and sought opportunities to reduce our consumption of energy resources. We also embraced opportunities to shift our energy consumption to renewable resources.</w:t>
      </w:r>
    </w:p>
    <w:p>
      <w:pPr>
        <w:spacing w:after="0" w:line="180" w:lineRule="exact"/>
        <w:rPr>
          <w:sz w:val="20"/>
          <w:szCs w:val="20"/>
          <w:color w:val="auto"/>
        </w:rPr>
      </w:pPr>
    </w:p>
    <w:p>
      <w:pPr>
        <w:ind w:left="660" w:right="40" w:firstLine="648"/>
        <w:spacing w:after="0" w:line="258" w:lineRule="auto"/>
        <w:rPr>
          <w:sz w:val="20"/>
          <w:szCs w:val="20"/>
          <w:color w:val="auto"/>
        </w:rPr>
      </w:pPr>
      <w:r>
        <w:rPr>
          <w:rFonts w:ascii="Times New Roman" w:cs="Times New Roman" w:eastAsia="Times New Roman" w:hAnsi="Times New Roman"/>
          <w:sz w:val="18"/>
          <w:szCs w:val="18"/>
          <w:color w:val="auto"/>
        </w:rPr>
        <w:t>In 2024, we again hosted InspirON in Europe, an online knowledge sharing event to focus on what design engineers need to consider when developing sustainable products for manufacturing. The event was designed to provide insight into designing more sustainable products and to explore how design can help make the manufacturing process greener and more efficient. The event covered topics ranging from: manufacturing innovation in the face of adversity, using rapid manufacturing to solve complex development challenges, and practical innovation for production methods.</w:t>
      </w:r>
    </w:p>
    <w:p>
      <w:pPr>
        <w:spacing w:after="0" w:line="183" w:lineRule="exact"/>
        <w:rPr>
          <w:sz w:val="20"/>
          <w:szCs w:val="20"/>
          <w:color w:val="auto"/>
        </w:rPr>
      </w:pPr>
    </w:p>
    <w:p>
      <w:pPr>
        <w:ind w:left="660" w:right="40" w:firstLine="648"/>
        <w:spacing w:after="0" w:line="243" w:lineRule="auto"/>
        <w:rPr>
          <w:sz w:val="20"/>
          <w:szCs w:val="20"/>
          <w:color w:val="auto"/>
        </w:rPr>
      </w:pPr>
      <w:r>
        <w:rPr>
          <w:rFonts w:ascii="Times New Roman" w:cs="Times New Roman" w:eastAsia="Times New Roman" w:hAnsi="Times New Roman"/>
          <w:sz w:val="18"/>
          <w:szCs w:val="18"/>
          <w:color w:val="auto"/>
        </w:rPr>
        <w:t>In 2021, we were awarded a Manufacturing Leadership Award from the National Association of Manufacturers (NAM) in the Sustainability Leadership category. This category recognizes companies embracing manufacturing processes that are non-polluting, conserve energy and natural resources, and are economically sound and safe for employees, communities, and consumers. In 2020, we installed nearly 1,900 solar panels on the roof of our facility in Plymouth, MN, one of our larger manufacturing facilities. The solar array covers nearly 20 percent of our energy use in Plymouth, MN and offsets the equivalent of 1.3 million pounds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and preserves 775 acres of forest annually.</w:t>
      </w:r>
    </w:p>
    <w:p>
      <w:pPr>
        <w:spacing w:after="0" w:line="190" w:lineRule="exact"/>
        <w:rPr>
          <w:sz w:val="20"/>
          <w:szCs w:val="20"/>
          <w:color w:val="auto"/>
        </w:rPr>
      </w:pPr>
    </w:p>
    <w:p>
      <w:pPr>
        <w:jc w:val="both"/>
        <w:ind w:left="660" w:right="80" w:firstLine="648"/>
        <w:spacing w:after="0" w:line="266" w:lineRule="auto"/>
        <w:rPr>
          <w:sz w:val="20"/>
          <w:szCs w:val="20"/>
          <w:color w:val="auto"/>
        </w:rPr>
      </w:pPr>
      <w:r>
        <w:rPr>
          <w:rFonts w:ascii="Times New Roman" w:cs="Times New Roman" w:eastAsia="Times New Roman" w:hAnsi="Times New Roman"/>
          <w:sz w:val="18"/>
          <w:szCs w:val="18"/>
          <w:color w:val="auto"/>
        </w:rPr>
        <w:t>We strive to maximize recycling in both our manufacturing and office facilities. In our manufacturing facilities, we recycle metal, plastic and water used throughout the manufacturing processes. Finally, the Green Team, an employee-led organization, educates our employees on how they can positively impact the environment,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both at work and at home. The Green Team also provides opportunities for employees to positively impact the environment, including activities like roadside cleanup and tree planting.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Leadership</w:t>
      </w:r>
    </w:p>
    <w:p>
      <w:pPr>
        <w:spacing w:after="0" w:line="229" w:lineRule="exact"/>
        <w:rPr>
          <w:sz w:val="20"/>
          <w:szCs w:val="20"/>
          <w:color w:val="auto"/>
        </w:rPr>
      </w:pPr>
    </w:p>
    <w:p>
      <w:pPr>
        <w:ind w:left="660" w:right="20" w:firstLine="648"/>
        <w:spacing w:after="0" w:line="261" w:lineRule="auto"/>
        <w:rPr>
          <w:sz w:val="20"/>
          <w:szCs w:val="20"/>
          <w:color w:val="auto"/>
        </w:rPr>
      </w:pPr>
      <w:r>
        <w:rPr>
          <w:rFonts w:ascii="Times New Roman" w:cs="Times New Roman" w:eastAsia="Times New Roman" w:hAnsi="Times New Roman"/>
          <w:sz w:val="18"/>
          <w:szCs w:val="18"/>
          <w:color w:val="auto"/>
        </w:rPr>
        <w:t>In 2024, our global human resources leadership advanced our initiatives to identify untapped talent as we continue to integrate operations of the factory and network. This work includes engaging employees throughout the global organization to define our values and culture, which we deployed in 2024. We periodically conduct employee engagement surveys to identify and drive improvements in the Protolabs work place where employees are engaged and can do their best work.</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Workforce Demographics</w:t>
      </w:r>
    </w:p>
    <w:p>
      <w:pPr>
        <w:spacing w:after="0" w:line="229"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had 2,357 full-time employees, including 1,643 full-time employees in the United States and 714 full-time employees in Europe. We also regularly use independent contractors and other temporary employees across the organization to augment our regular staff. We believe that our future success will depend in part on our continued ability to attract, hire and retain qualified, diverse and inclusive personnel.</w:t>
      </w:r>
    </w:p>
    <w:p>
      <w:pPr>
        <w:spacing w:after="0" w:line="180" w:lineRule="exact"/>
        <w:rPr>
          <w:sz w:val="20"/>
          <w:szCs w:val="20"/>
          <w:color w:val="auto"/>
        </w:rPr>
      </w:pPr>
    </w:p>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our employees are critical to our success and continually seek employee feedback to enhance employee engagement. In 2024, our attrition rates were 12.2% and 12.9% in the United States and Europe, respectively, a decline from 2023. Our 2024 attrition rates were impacted by actions we took during the year to reduce our workforce in areas of the business that experienced lower volumes.</w:t>
      </w:r>
    </w:p>
    <w:p>
      <w:pPr>
        <w:spacing w:after="0" w:line="17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ind w:left="660" w:firstLine="648"/>
        <w:spacing w:after="0" w:line="254" w:lineRule="auto"/>
        <w:rPr>
          <w:sz w:val="20"/>
          <w:szCs w:val="20"/>
          <w:color w:val="auto"/>
        </w:rPr>
      </w:pPr>
      <w:r>
        <w:rPr>
          <w:rFonts w:ascii="Times New Roman" w:cs="Times New Roman" w:eastAsia="Times New Roman" w:hAnsi="Times New Roman"/>
          <w:sz w:val="18"/>
          <w:szCs w:val="18"/>
          <w:color w:val="auto"/>
        </w:rPr>
        <w:t>We believe our success depends in large measure on our ability to attract, retain and motivate a broad range of employees to be successful in a dynamic and changing business environment, and that a competitive compensation program is essential. In determining employee compensation, our executive leadership team reviews and considers several factors, including individual and corporate performance, input from managers, competitive market data from third party compensation surveys, our compensation philosophy and key principles, and the leadership’s collective experience and knowledge. Annually, our executive leadership team reviews input from managers throughout our organization, including recommendations as to compensation levels that the managers believe are commensurate with an individual’s job performance, skills, experience, qualifications, criticality to our company and development/career opportunities. We also award long-term equity-based compensation to high performing employees and managers who have the greatest impact on the creation of shareholder value to further align the interests of our employees and shareholders.</w:t>
      </w:r>
    </w:p>
    <w:p>
      <w:pPr>
        <w:spacing w:after="0" w:line="188"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color w:val="auto"/>
        </w:rPr>
        <w:t>We provide employee benefits that meet or exceed the requirements of local law. We are committed to providing comprehensive benefits plans including, but not limited to, paid leave, retirement savings, health benefits, dental benefits, maternity leave, parental leave, family care leave, and childcare benefits. All overtime is performed and compensated in accordance with the law and the individual’s employment contract or other applicable contract or collective agreement.</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Education</w:t>
      </w:r>
    </w:p>
    <w:p>
      <w:pPr>
        <w:spacing w:after="0" w:line="229" w:lineRule="exact"/>
        <w:rPr>
          <w:sz w:val="20"/>
          <w:szCs w:val="20"/>
          <w:color w:val="auto"/>
        </w:rPr>
      </w:pPr>
    </w:p>
    <w:p>
      <w:pPr>
        <w:ind w:left="660" w:right="40" w:firstLine="648"/>
        <w:spacing w:after="0" w:line="254" w:lineRule="auto"/>
        <w:rPr>
          <w:sz w:val="20"/>
          <w:szCs w:val="20"/>
          <w:color w:val="auto"/>
        </w:rPr>
      </w:pPr>
      <w:r>
        <w:rPr>
          <w:rFonts w:ascii="Times New Roman" w:cs="Times New Roman" w:eastAsia="Times New Roman" w:hAnsi="Times New Roman"/>
          <w:sz w:val="18"/>
          <w:szCs w:val="18"/>
          <w:color w:val="auto"/>
        </w:rPr>
        <w:t>We firmly believe that investing in the education of our employees is critical to our success. Our employees are provided access to a robust learning management system that offers hundreds of courses on various topics ranging from compliance to leadership to job-specific skills. In 2024 and 2023, employees spent an average of 35 hours per employee in training sessions. We provide an Educational Assistance Program for employees, which offers financial assistance for both professional and personal development to inspire employees to continuously enhance their skills and knowledge. We have a customized leadership development program designed for current and aspiring managers in search of developing their leadership skills. The program provides training on topics that are aligned with our Leadership Principles and our Core Values. In 2024, we completed the second year of our mentorship program to provide opportunity for mentors and mentees to accelerate their personal and professional development through a one-on-one guided relationship.</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firstLine="648"/>
        <w:spacing w:after="0" w:line="266" w:lineRule="auto"/>
        <w:rPr>
          <w:sz w:val="20"/>
          <w:szCs w:val="20"/>
          <w:color w:val="auto"/>
        </w:rPr>
      </w:pPr>
      <w:r>
        <w:rPr>
          <w:rFonts w:ascii="Times New Roman" w:cs="Times New Roman" w:eastAsia="Times New Roman" w:hAnsi="Times New Roman"/>
          <w:sz w:val="18"/>
          <w:szCs w:val="18"/>
          <w:color w:val="auto"/>
        </w:rPr>
        <w:t>To ensure our industry remains robust, we are committed to supporting Science, Technology, Engineering and Mathematics (STEM) programs in the cities where we have facilities. Through the Protolabs Foundation, we provide STEM education grants to eligible organizations. In addition, we partner with schools, colleges, and universities to provide various outreach opportunities and sponsorships.</w:t>
      </w:r>
    </w:p>
    <w:p>
      <w:pPr>
        <w:spacing w:after="0" w:line="17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29" w:lineRule="exact"/>
        <w:rPr>
          <w:sz w:val="20"/>
          <w:szCs w:val="20"/>
          <w:color w:val="auto"/>
        </w:rPr>
      </w:pPr>
    </w:p>
    <w:p>
      <w:pPr>
        <w:ind w:left="660" w:right="4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providing a safe and healthy working environment that minimizes health and safety risks. Our processes support accident prevention and prioritizes the health and safety of all our employees and all others affected by their activities. We provide and require our employees to use personal protective equipment at all times. To ensure our employees understand the importance of safety, we provide regular, mandatory training.</w:t>
      </w:r>
    </w:p>
    <w:p>
      <w:pPr>
        <w:spacing w:after="0" w:line="180" w:lineRule="exact"/>
        <w:rPr>
          <w:sz w:val="20"/>
          <w:szCs w:val="20"/>
          <w:color w:val="auto"/>
        </w:rPr>
      </w:pPr>
    </w:p>
    <w:p>
      <w:pPr>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We strive to continuously improve our employees’ health, safety, and wellness. Our “I Am” safety program teaches that safety is the responsibility of every individual in our organization. We believe this program is the basis for our excellent safety compliance record. We believe that our employees are our most valuable asset, and their safety and health is among our top priorities.</w:t>
      </w:r>
    </w:p>
    <w:p>
      <w:pPr>
        <w:spacing w:after="0" w:line="176" w:lineRule="exact"/>
        <w:rPr>
          <w:sz w:val="20"/>
          <w:szCs w:val="20"/>
          <w:color w:val="auto"/>
        </w:rPr>
      </w:pPr>
    </w:p>
    <w:p>
      <w:pPr>
        <w:jc w:val="both"/>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to concentrating on employee safety in the workplace, we also focus on the overall wellbeing of our employees. We continue to invest in a variety of employee health and wellness programs, including gym membership discounts, on-site fitness classes at certain facilities, wellness newsletters and learning sessions, and by providing various Employee Assistance Programs.</w:t>
      </w:r>
    </w:p>
    <w:p>
      <w:pPr>
        <w:spacing w:after="0" w:line="17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Charitable Giving</w:t>
      </w:r>
    </w:p>
    <w:p>
      <w:pPr>
        <w:spacing w:after="0" w:line="229" w:lineRule="exact"/>
        <w:rPr>
          <w:sz w:val="20"/>
          <w:szCs w:val="20"/>
          <w:color w:val="auto"/>
        </w:rPr>
      </w:pPr>
    </w:p>
    <w:p>
      <w:pPr>
        <w:ind w:left="660" w:right="20" w:firstLine="648"/>
        <w:spacing w:after="0" w:line="255" w:lineRule="auto"/>
        <w:rPr>
          <w:sz w:val="20"/>
          <w:szCs w:val="20"/>
          <w:color w:val="auto"/>
        </w:rPr>
      </w:pPr>
      <w:r>
        <w:rPr>
          <w:rFonts w:ascii="Times New Roman" w:cs="Times New Roman" w:eastAsia="Times New Roman" w:hAnsi="Times New Roman"/>
          <w:sz w:val="18"/>
          <w:szCs w:val="18"/>
          <w:color w:val="auto"/>
        </w:rPr>
        <w:t>We pride ourselves in being a responsible corporate citizen through our Protolabs Foundation. We support several charitable causes with our Employee Matching, Good Ideas Grants, and Major Gifts Programs. The Foundation’s efforts serve as a sustaining investment in the future of the communities where our employees live and work, and a commitment to build talent to support the future employment needs of the manufacturing industry. Through our Foundation and employee led community involvement team, a wide variety of charitable activities are organized, including blood drives, working for Habitat for Humanity projects, volunteering for Feed My Starving Children, and making financial contributions to charitable causes, many of which are matched through the Protolabs Foundation Employee Giving Program. Our financial support and our community outreach programs are intended to improve the quality of life in the communities where we have facilities.</w:t>
      </w:r>
    </w:p>
    <w:p>
      <w:pPr>
        <w:spacing w:after="0" w:line="18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Human Rights</w:t>
      </w:r>
    </w:p>
    <w:p>
      <w:pPr>
        <w:spacing w:after="0" w:line="229"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We recognize our responsibility to protect human rights and we are committed to fostering an organizational culture which promotes support for internationally recognized human rights and labor standards. We strive to respect and promote human rights in accordance with the UN Guiding Principles on Business and Human Rights in our relationship with our employees, customers, and suppliers. We have established a Human Rights Policy which is available on the Investor Relations section of our website.</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Supply Chain</w:t>
      </w:r>
    </w:p>
    <w:p>
      <w:pPr>
        <w:spacing w:after="0" w:line="229" w:lineRule="exact"/>
        <w:rPr>
          <w:sz w:val="20"/>
          <w:szCs w:val="20"/>
          <w:color w:val="auto"/>
        </w:rPr>
      </w:pPr>
    </w:p>
    <w:p>
      <w:pPr>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conducting our business in accordance with the highest ethical standards and in compliance with all applicable laws, rules, and regulations. We expect our suppliers to share our principles and uphold our standards and for each to develop policies and programs as appropriate to ensure that all workers understand and adhere to these standards. We have established a Vendor Code of Conduct Policy, including guidance on anti-bribery, privacy, and data protection; responsible sourcing of materials; environmental standards; labor and human rights and anti-tax evasion. Our full policy is available on the Investor Relations section of our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regard our patents, trademarks, service marks, trade dress, trade secrets, copyrights, domain names and other intellectual property as valuable to our business and rely on patent, trademark and copyright law, trade secret protection and confidentiality and/or license agreements with our employees, customers, vendors and others to protect our proprietary rights. We register our patents, trademarks and service marks in the United States and other jurisdictions as we deem</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appropriate. As of December 31, 2024, we owned and had applications pending for patents relating to various aspects of our quoting and manufacturing processes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3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Issued Patents</w:t>
            </w:r>
          </w:p>
        </w:tc>
        <w:tc>
          <w:tcPr>
            <w:tcW w:w="2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Applications Pending</w:t>
            </w: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4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6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patents have expiration dates ranging from 2025 to 2044. We also owned approximately 26 registered United States trademarks or service marks as of December 31, 2024, with corresponding registered protection in Europe and Japan for the most important of these marks such as PROTO LABS, HUBS, PROTOMOLD, FIRSTCUT, PROTOQUOTE, FIRSTQUOTE, PROTOFLOW and FINELINE, corresponding approved protection in Canada for PROTO LABS, FIRSTCUT and FINELINE, and corresponding registered protection in Australia, Canada and Mexico for PROTOMOLD. There can be no assurance that the steps we take to protect our proprietary rights will be adequate or that third parties will not infringe or misappropriate such rights. We have been subject to claims and expect to be subject to legal proceedings and claims from time to time in the ordinary course of our business. In particular, we may face claims from third parties that we have infringed their patents, trademarks or other intellectual property rights. Such claims, even if not meritorious, could result in the expenditure of significant financial and managerial resources. Any unauthorized disclosure or use of our intellectual property could make it more expensive to do business and harm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5540 Pioneer Creek Drive, Maple Plain, Minnesota 55359 and our telephone number is (763) 479-3680. Our website address is www.protolabs.com. Information on our website does not constitute part of this Annual Report on Form 10-K or any other report we file or furnish with the Securities and Exchange Commission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w:t>
      </w:r>
    </w:p>
    <w:p>
      <w:pPr>
        <w:spacing w:after="0" w:line="187"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information electronically with the SEC. The SEC’s website is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Set forth below are the names of our current executive officers, their ages, titles, the year first appointed as an executive officer, and employment for the past five years. Unless otherwise noted, the positions described are positions held within the Company or its subsidiaries.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r>
      <w:tr>
        <w:trPr>
          <w:trHeight w:val="243"/>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Bodor</w:t>
            </w:r>
          </w:p>
        </w:tc>
        <w:tc>
          <w:tcPr>
            <w:tcW w:w="900" w:type="dxa"/>
            <w:vAlign w:val="bottom"/>
            <w:tcBorders>
              <w:bottom w:val="single" w:sz="8" w:color="CCEEFF"/>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52</w:t>
            </w:r>
          </w:p>
        </w:tc>
        <w:tc>
          <w:tcPr>
            <w:tcW w:w="8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Schumacher</w:t>
            </w:r>
          </w:p>
        </w:tc>
        <w:tc>
          <w:tcPr>
            <w:tcW w:w="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50</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Oleg Ryaboy</w:t>
            </w:r>
          </w:p>
        </w:tc>
        <w:tc>
          <w:tcPr>
            <w:tcW w:w="900" w:type="dxa"/>
            <w:vAlign w:val="bottom"/>
            <w:tcBorders>
              <w:bottom w:val="single" w:sz="8" w:color="CCEEFF"/>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49</w:t>
            </w:r>
          </w:p>
        </w:tc>
        <w:tc>
          <w:tcPr>
            <w:tcW w:w="8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R. Kenison</w:t>
            </w:r>
          </w:p>
        </w:tc>
        <w:tc>
          <w:tcPr>
            <w:tcW w:w="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53</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Operations Officer</w:t>
            </w:r>
          </w:p>
        </w:tc>
      </w:tr>
    </w:tbl>
    <w:p>
      <w:pPr>
        <w:spacing w:after="0" w:line="306"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Executive officers of the Company are elected at the discretion of the board of directors with no fixed terms. There are no family relationships between or among any of the executive officers or directors of the Company. There are no arrangements or understandings between any of the executive officers and any other persons pursuant to which they were selected as an officer.</w:t>
      </w:r>
    </w:p>
    <w:p>
      <w:pPr>
        <w:spacing w:after="0" w:line="172" w:lineRule="exact"/>
        <w:rPr>
          <w:sz w:val="20"/>
          <w:szCs w:val="20"/>
          <w:color w:val="auto"/>
        </w:rPr>
      </w:pPr>
    </w:p>
    <w:p>
      <w:pPr>
        <w:ind w:right="1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Robert Bodor</w:t>
      </w:r>
      <w:r>
        <w:rPr>
          <w:rFonts w:ascii="Times New Roman" w:cs="Times New Roman" w:eastAsia="Times New Roman" w:hAnsi="Times New Roman"/>
          <w:sz w:val="18"/>
          <w:szCs w:val="18"/>
          <w:color w:val="auto"/>
        </w:rPr>
        <w:t>. Dr. Bodor has served as our President and Chief Executive Officer since March 2021. Prior to his current position, Dr. Bodor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Vice President/General Manager - Americas since 2015. From July 2013 to January 2015, Dr. Bodor served as our Chief Technology Officer. From December 2012 to June 2013, Dr. Bodor served as our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Director of Business Development. Prior to joining Proto Labs, from January 2011 to December 2012, Dr. Bodor held several roles at Honeywell, most recently leading SaaS business offerings for Honeywell’s Life Safety Division.</w:t>
      </w:r>
    </w:p>
    <w:p>
      <w:pPr>
        <w:spacing w:after="0" w:line="158" w:lineRule="exact"/>
        <w:rPr>
          <w:sz w:val="20"/>
          <w:szCs w:val="20"/>
          <w:color w:val="auto"/>
        </w:rPr>
      </w:pPr>
    </w:p>
    <w:p>
      <w:pPr>
        <w:jc w:val="both"/>
        <w:ind w:firstLine="48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Daniel Schumacher</w:t>
      </w:r>
      <w:r>
        <w:rPr>
          <w:rFonts w:ascii="Times New Roman" w:cs="Times New Roman" w:eastAsia="Times New Roman" w:hAnsi="Times New Roman"/>
          <w:sz w:val="17"/>
          <w:szCs w:val="17"/>
          <w:color w:val="auto"/>
        </w:rPr>
        <w:t>. Mr. Schumacher has served as our Chief Financial Officer and principal financial and accounting officer since June 2022. Prior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his current role, Mr. Schumacher served as our Interim Chief Financial Officer since December 2021. Mr. Schumacher also led investor communication, forecasting and planning, and business intelligence for the Company as Vice President of Investor Relations and FP&amp;A from April 2017 to December 2021. From 2015 to 2017, Mr. Schumacher served as finance director in the Americas Finance &amp; Operations organization of Stratasys, Inc, a 3D Printing OEM.</w:t>
      </w:r>
    </w:p>
    <w:p>
      <w:pPr>
        <w:ind w:right="560"/>
        <w:spacing w:after="0" w:line="260" w:lineRule="auto"/>
        <w:rPr>
          <w:sz w:val="20"/>
          <w:szCs w:val="20"/>
          <w:color w:val="auto"/>
        </w:rPr>
      </w:pPr>
      <w:r>
        <w:rPr>
          <w:rFonts w:ascii="Times New Roman" w:cs="Times New Roman" w:eastAsia="Times New Roman" w:hAnsi="Times New Roman"/>
          <w:sz w:val="18"/>
          <w:szCs w:val="18"/>
          <w:color w:val="auto"/>
        </w:rPr>
        <w:t>From 2001 to 2015, Mr. Schumacher was in finance leadership roles of increasing responsibility for Rockwell Automation, an industrial automation company.</w:t>
      </w:r>
    </w:p>
    <w:p>
      <w:pPr>
        <w:spacing w:after="0" w:line="177" w:lineRule="exact"/>
        <w:rPr>
          <w:sz w:val="20"/>
          <w:szCs w:val="20"/>
          <w:color w:val="auto"/>
        </w:rPr>
      </w:pPr>
    </w:p>
    <w:p>
      <w:pPr>
        <w:jc w:val="both"/>
        <w:ind w:right="1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Oleg Ryaboy</w:t>
      </w:r>
      <w:r>
        <w:rPr>
          <w:rFonts w:ascii="Times New Roman" w:cs="Times New Roman" w:eastAsia="Times New Roman" w:hAnsi="Times New Roman"/>
          <w:sz w:val="18"/>
          <w:szCs w:val="18"/>
          <w:color w:val="auto"/>
        </w:rPr>
        <w:t>. Mr. Ryaboy has served as our Chief Technology Officer since September 2022. Prior to joining Proto Labs, Mr. Ryaboy held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roles at Digital River, a global e-commerce platform and software-as-a-service company providing online storefronts, from 2010 to 2022, most recently as Chief Technology Officer and Senior Vice President from 2015 to 2022. Prior to his role of Chief Technology Officer at Digital River, Mr. Ryaboy served as its Vice President of Software Development and Architecture from 2011 to 2015.</w:t>
      </w:r>
    </w:p>
    <w:p>
      <w:pPr>
        <w:spacing w:after="0" w:line="176" w:lineRule="exact"/>
        <w:rPr>
          <w:sz w:val="20"/>
          <w:szCs w:val="20"/>
          <w:color w:val="auto"/>
        </w:rPr>
      </w:pPr>
    </w:p>
    <w:p>
      <w:pPr>
        <w:ind w:right="30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Michael Kenison</w:t>
      </w:r>
      <w:r>
        <w:rPr>
          <w:rFonts w:ascii="Times New Roman" w:cs="Times New Roman" w:eastAsia="Times New Roman" w:hAnsi="Times New Roman"/>
          <w:sz w:val="18"/>
          <w:szCs w:val="18"/>
          <w:color w:val="auto"/>
        </w:rPr>
        <w:t>. Mr. Kenison has served as our Chief Operations Officer since July 2024. Prior to his current position, Mr. Kenison led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at the Company, including as Vice President/General Manager - Americas, between June 2021 through June 2024, and Vice President of Manufacturing, between 2013 through June 2021. Before his tenure at Protolabs, Mr. Kenison served in several leadership roles within the industry, including as Vice President of Manufacturing at Cardiac Science, Inc. - a medical device provider of defibrillator technology.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following are the significant factors that could materially adversely affect our business, financial condition, or operating results, as well as adversely affect the value of an investment in our common stock. The risks described below are not the only risks facing our Company. Risks and uncertainties not currently known to us or that we currently deem to be immaterial also may materially adversely affect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159"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The market for custom parts manufacturing is fragmented and highly competitive. We compete for customers with a wide variety of custom parts manufacturers and methods. Some of our current and potential competitors include captive in-house product lines, other custom parts manufacturers, brokers of custom parts and alternative manufacturing vendors such as those utilizing 3D printing processes. Moreover, some of our existing and potential competitors are researching, designing, developing and marketing other types of products and product lines. We also expect that future competition may arise from the development of allied or related techniques for custom parts manufacturing that are not encompassed by our patents, from the issuance of patents to other companies that may inhibit our ability to develop certain products and from improvements to existing technologies. Furthermore, our competitors may attempt to adopt and improve upon key aspects of our business model, such as development of technology that automates much of the manual labor conventionally required to quote and manufacture custom parts, implementation of interactive web-based and automated user interface and quoting systems and/or building scalable operating models specifically designed for efficient custom production. Third-party CAD software companies may develop software that mold-makers, injection molders and CNC machine shops could use to compete with our business model. Additive manufacturers may develop stronger, higher temperature resins or introduce other improvements that could more effectively compete with us on part quality. We may also, from time to time, establish alliances or relationships with other competitors or potential competitors. To the extent companies terminate such relationships and establish alliances and relationships with our competitors, our business could be harmed.</w:t>
      </w:r>
    </w:p>
    <w:p>
      <w:pPr>
        <w:spacing w:after="0" w:line="187"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Existing and potential competitors may have substantially greater financial, technical, marketing and sales, manufacturing, distribution and other resources and name recognition than us, as well as experience and expertise in intellectual property rights and operating within certain international locations, any of which may enable them to compete effectively against us.</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Though we plan to continue to expend resources to develop new technologies, processes and product lines, we cannot assure you that we will be able to maintain our current position or continue to compete successfully against current and future sources of competition. Our challenge to develop new products manufactured internally is finding product lines for which our automated quotation and manufacturing processes offer an attractive value proposition, and we may not be able to find any new product lines with potential economies of scale similar to our existing product lines. With the acquisition of Hubs in 2021, we are able to expand our products offered through the Protolabs Network, our manufacturing partner network. If we do not keep pace with technological change and introduce new technologies, processes and product lines, the demand for our products and product lines may decline and our operating results may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timely and effectively scale and adapt our existing technology, processes and infrastructure to meet the needs of our business.</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 key element to our continued growth is the ability to quickly and efficiently quote an increasing number of product developer and engineer submissions across geographic regions and to manufacture the related parts. This will require us to timely and effectively scale and adapt our existing technology, processes and infrastructure to meet the needs of our business. With respect to our websites and quoting technology, it may become increasingly difficult to maintain and improve their performance, especially during periods of heavy usage and as our solutions become more complex and our user traffic increases across geographic regions. Similarly, our manufacturing automation technology may not enable us to process the large numbers of unique designs and efficiently manufacture the related parts in a timely fashion to meet the needs of product developers and engineers as our business continues to grow. Any failure in our ability to timely and effectively scale and adapt our existing technology, processes and infrastructure could negatively impact our ability to retain existing customers and attract new customers, damage our reputation and brand, result in lost revenue, and otherwise substantially harm our business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cause us not to maintain the revenue growth that we have historically experienced.</w:t>
      </w:r>
    </w:p>
    <w:p>
      <w:pPr>
        <w:spacing w:after="0" w:line="22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continued revenue growth will depend on many factors, a number of which are out of our control, including among others, our ability to:</w:t>
      </w:r>
    </w:p>
    <w:p>
      <w:pPr>
        <w:spacing w:after="0" w:line="162"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further penetrate existing customer companies, as well as attract new customer companies;</w:t>
      </w:r>
    </w:p>
    <w:p>
      <w:pPr>
        <w:spacing w:after="0" w:line="225" w:lineRule="exact"/>
        <w:rPr>
          <w:rFonts w:ascii="Times New Roman" w:cs="Times New Roman" w:eastAsia="Times New Roman" w:hAnsi="Times New Roman"/>
          <w:sz w:val="18"/>
          <w:szCs w:val="18"/>
          <w:color w:val="auto"/>
        </w:rPr>
      </w:pPr>
    </w:p>
    <w:p>
      <w:pPr>
        <w:ind w:left="820" w:right="620" w:hanging="326"/>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consistently execute on custom part orders in a manner that satisfies product developers’ and engineers’ needs and provides them with a superior experience;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technologies or manufacturing processes and broaden the range of parts we offer;</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 on our international strategy and expand into new geographic markets;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customer expectations for access to comprehensive, user-friendly e-commerce capabilities 24 hours per day, 7 days per week;</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strength and awareness of our brand across geographic regions;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changes in customer needs, technology and our industry;</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operations and offerings of acquisitions;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challenges from existing and new competitors;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and retain R&amp;D professionals who will continue to expand our technologies;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an economic recession which negatively impacts manufacturers' ability to innovate and bring new products to market.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cannot assure you that we will be successful in addressing the factors above and continuing to grow our business and revenue.</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to, or other problems with, our website and interactive user interface, information technology systems, manufacturing processes or other operations could damage our reputation and brand and substantially harm our business and results of operations.</w:t>
      </w:r>
    </w:p>
    <w:p>
      <w:pPr>
        <w:spacing w:after="0" w:line="15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satisfactory performance, reliability, consistency, security and availability of our websites and interactive user interface, information technology systems, manufacturing processes and other operations are critical to our reputation and brand, and to our ability to effectively serve our customers. Any interruptions or other problems that cause any of our websites, interactive user interface or information technology systems to malfunction or be unavailable, or negatively impact our manufacturing processes or other operations, may damage our reputation and brand, result in lost revenue, cause us to incur significant costs seeking to remedy the problem and otherwise substantially harm our business and results of operations.</w:t>
      </w:r>
    </w:p>
    <w:p>
      <w:pPr>
        <w:spacing w:after="0" w:line="183"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We are dependent upon our manufacturing facilities, as well as managerial, customer service, sales, marketing and other similar functions, and we have not identified alternatives to these facilities or established fully redundant systems in multiple locations. However, we have redundant computing systems for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8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our product lines as a result of system failures.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store confidential customer information in our systems that, if breached or otherwise subjected to unauthorized access, may harm our reputation or brand or expose us to liability.</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system stores, processes and transmits our customers’ confidential information, including the intellectual property in their part designs and other sensitive data. We rely on encryption, authentication and other technologies licensed from third parties, as well as administrative and physical safeguards, to secure such confidential information. Any compromise of our information security could damage our reputation and brand and expose us to a risk of loss, costly litigation and liability that would substantially harm our business and operating results. The rapid evolution and increased adoption of Artificial Intelligence (AI) technologies may intensify our cybersecurity risks. We may not have adequately assessed the internal and external risks posed to the security of our company’s systems and information and may not have implemented adequate preventive safeguards or take adequate reactionary measures in the event of a security incident. In addition, most states have enacted laws requiring companies to notify individuals and often state authorities of data security breaches involving their personal data. These mandatory disclosures regarding a security breach often lead to widespread negative publicity, which may cause our existing and prospective customers to lose confidence in the effectiveness of our data security measures. Any security breach, whether successful or not, would harm our reputation and brand and could cause the loss of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Aspects of our business are subject to privacy, data use and data security regulations, which may impact the way we use data to target customers.</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Privacy and security laws and regulations may limit the use and disclosure of certain information and require us to adopt certain cybersecurity and data handling practices that may affect our ability to effectively market our services to current, past or prospective customers. In many jurisdictions consumers must be notified in the event of a data security breach, and such notification requirements continue to increase in scope and cost. The changing privacy laws in the United States, Europe and elsewhere—including the General Data Protection Regulation (GDPR) in the European Union, which became effective May 25, 2018, and the California Consumer Privacy Act of 2018, which was enacted on June 28, 2018, and became effective on January 1, 2020—create new individual privacy rights and impose increased obligations, including disclosure obligations, on companies handling personal data. The impact of these continuously evolving laws and regulations could have a material adverse effect on the way we use data to digitally market and pursue our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harm our ability to do business, increase our costs and negatively affect our stock price.</w:t>
      </w:r>
    </w:p>
    <w:p>
      <w:pPr>
        <w:spacing w:after="0" w:line="229" w:lineRule="exact"/>
        <w:rPr>
          <w:sz w:val="20"/>
          <w:szCs w:val="20"/>
          <w:color w:val="auto"/>
        </w:rPr>
      </w:pPr>
    </w:p>
    <w:p>
      <w:pPr>
        <w:jc w:val="both"/>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prospects for economic growth in regions where we operate remain uncertain and could worsen. Economic concerns and other issues such as reduced access to capital for businesses may cause product developers and engineers to further delay or reduce the product development projects that our business supports. Given the continued uncertainty concerning the global economy, we face risks that may arise from financial difficulties experienced by our suppliers, product developers, and engineers and other related risks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a global business that exposes us to additional risks.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have established our operations in the United States and Europe and are seeking to further expand our international operations. Our international revenue accounted for approximately 21% of our total revenue in each of the years ended December 31, 2024, 2023 and 2022. The future growth and profitability of our international business is subject to a variety of risks and uncertainties. Many of the following factors have adversely affected our international operations and sales to customers located outside of the United States and may again in the future:</w:t>
      </w:r>
    </w:p>
    <w:p>
      <w:pPr>
        <w:spacing w:after="0" w:line="180" w:lineRule="exact"/>
        <w:rPr>
          <w:sz w:val="20"/>
          <w:szCs w:val="20"/>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particularly in new geographic locations;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solutions across a significant distance, in different languages and among different cultures;</w:t>
      </w:r>
    </w:p>
    <w:p>
      <w:pPr>
        <w:spacing w:after="0" w:line="225"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economic and political policies and conditions, political or civil unrest or instability, terrorism or epidemics, and other similar outbreaks or events;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right="180" w:hanging="32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and changes in foreign laws and regulations, as well as U.S. laws affecting the activities of U.S. companies abroad, including those associated with export controls, tariffs and embargoes, other trade restrictions and antitrust and data privacy concerns;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complex and changing laws governing intellectual property rights, sometimes affording companies lesser protection in certain areas;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in certain parts of the world, particularly during the summer months in Europe and holiday season;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resulting from any events affecting raw material supply or manufacturing capabilities abroad;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producers and service providers;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costs;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local labor practices and laws on our business and operations;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payment risk and higher levels of payment fraud.</w:t>
      </w:r>
    </w:p>
    <w:p>
      <w:pPr>
        <w:spacing w:after="0" w:line="225" w:lineRule="exact"/>
        <w:rPr>
          <w:sz w:val="20"/>
          <w:szCs w:val="20"/>
          <w:color w:val="auto"/>
        </w:rPr>
      </w:pPr>
    </w:p>
    <w:p>
      <w:pPr>
        <w:ind w:right="80" w:firstLine="486"/>
        <w:spacing w:after="0" w:line="272" w:lineRule="auto"/>
        <w:rPr>
          <w:sz w:val="20"/>
          <w:szCs w:val="20"/>
          <w:color w:val="auto"/>
        </w:rPr>
      </w:pPr>
      <w:r>
        <w:rPr>
          <w:rFonts w:ascii="Times New Roman" w:cs="Times New Roman" w:eastAsia="Times New Roman" w:hAnsi="Times New Roman"/>
          <w:sz w:val="17"/>
          <w:szCs w:val="17"/>
          <w:color w:val="auto"/>
        </w:rPr>
        <w:t>Our business depends on customer demand for our product lines, the general economic health of current and prospective customers, and companies’ desire or ability to make investments in new products. A deterioration of global, regional or local political, economic or social conditions could affect potential customers in ways that reduce demand for our product lines, disrupt our manufacturing and sales plans and efforts or otherwise negatively impact our business. Acts of terrorism, wars, public health issues and increased energy costs could disrupt commerce in ways that could impair our ability to get products to our customers and increase our manufacturing and delivery costs. We have not undertaken hedging transactions to cover our foreign currency exposure, and changes in foreign currency exchange rates may negatively impact reported revenue and expenses. In addition, our sales are often made on unsecured credit terms, and a deterioration of political, economic or social conditions in a given country or region could reduce or eliminate our ability to collect accounts receivable in that country or region. In any of these events, our results of operations could be materially and adversely affected.</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materially adversely affect our financial condition and business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could present risks to our future operations from natural disasters and extreme weather conditions, such as hurricanes, tornadoes, earthquakes, wildfires or flooding. Such extreme weather conditions could pose physical risks to our facilities and disrupt operation of our supply chain and may increase operational costs. Concern over climate change could result in new legal or regulatory requirements designed to mitigate the effects of climate change on the environment. If such laws or regulations are more stringent than current legal or regulatory requirements, we may experience increased compliance burdens and costs to meet the regulatory obligations and raw material sourcing, manufacturing operations and the distribution of our products may be affected.</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natural or man-made disaster strikes any of our manufacturing facilities, we will be unable to manufacture our products for a substantial amount of time and our sales will decline.</w:t>
      </w:r>
    </w:p>
    <w:p>
      <w:pPr>
        <w:spacing w:after="0" w:line="15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All of our in-house manufacturing products are produced in 10 manufacturing facilities, located in Rosemount, Minnesota; Plymouth, Minnesota; Brooklyn Park, Minnesota; Cary, North Carolina (2 facilities); Nashua, New Hampshire (2 facilities); Telford, United Kingdom; Putzbrunn, Germany; and Eschenlohe, Germany. These facilities and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manufacturing equipment we use would be costly to replace and could require substantial lead time to repair or replace. Our facilities may be harmed by natural or man-made disasters, including, without limitation, earthquakes, floods, tornadoes, fires, hurricanes and nuclear disasters.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event any of our facilities are affected by a disaster, we may:</w:t>
      </w:r>
    </w:p>
    <w:p>
      <w:pPr>
        <w:spacing w:after="0" w:line="225"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meet the shipping deadlines of our customers;</w:t>
      </w:r>
    </w:p>
    <w:p>
      <w:pPr>
        <w:spacing w:after="0" w:line="225"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disruptions in our ability to process submissions and generate quotations, manufacture and ship parts, provide marketing and sales support and customer service, and otherwise operate our business, any of which could negatively impact our business;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forced to rely on third-party manufacturers;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expend significant capital and other resources to address any damage caused by the disaster;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customers and be unable to regain those customers.</w:t>
      </w:r>
    </w:p>
    <w:p>
      <w:pPr>
        <w:spacing w:after="0" w:line="225"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 strategic relationship, joint venture or investment could disrupt our business and harm our operating results and financial condition.</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business and our customer base have been built primarily through organic growth. However, from time to time, we may selectively pursue acquisitions, strategic relationships, joint ventures or investments that we believe may allow us to complement our growth strategy, increase market share in our current markets or expand into other markets, or broaden our technology, intellectual property or product line capabilities. For example, in April 2014, we acquired FineLine to enable us to offer our customers 3D printing manufacturing processes; in October 2015, we acquired Alphaform to enable us to expand our 3D printing capabilities in Europe; in November 2017, we acquired RAPID to enable us to offer our customers Sheet Metal and expand our CNC Machining processes; and in 2021 we acquired Hubs to provide our customers with on-demand access to a global network of premium manufacturing partners. We cannot forecast the number, timing or size of any future acquisitions or other similar strategic transactions, or the effect that any such transactions might have on our operating or financial results. Such transactions may be complex, time consuming and expensive, and may present numerous challenges and risks including:</w:t>
      </w:r>
    </w:p>
    <w:p>
      <w:pPr>
        <w:spacing w:after="0" w:line="188" w:lineRule="exact"/>
        <w:rPr>
          <w:sz w:val="20"/>
          <w:szCs w:val="20"/>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acquired company, asset or technology not furthering our business strategy as anticipated;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entering and competing in new product or geographic markets and increased competition, including price competition;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challenges;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working with strategic partners and resolving any related disagreements or disputes;</w:t>
      </w:r>
    </w:p>
    <w:p>
      <w:pPr>
        <w:spacing w:after="0" w:line="225"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valuation for a company, asset or technology, or changes in the economic or market conditions or assumptions underlying our decision to acquire;</w:t>
      </w:r>
    </w:p>
    <w:p>
      <w:pPr>
        <w:spacing w:after="0" w:line="161" w:lineRule="exact"/>
        <w:rPr>
          <w:rFonts w:ascii="Times New Roman" w:cs="Times New Roman" w:eastAsia="Times New Roman" w:hAnsi="Times New Roman"/>
          <w:sz w:val="18"/>
          <w:szCs w:val="18"/>
          <w:color w:val="auto"/>
        </w:rPr>
      </w:pPr>
    </w:p>
    <w:p>
      <w:pPr>
        <w:ind w:left="820" w:right="460" w:hanging="32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or liabilities associated with acquired businesses, assets or technologies, including increased intellectual property and employment related litigation exposure;</w:t>
      </w:r>
    </w:p>
    <w:p>
      <w:pPr>
        <w:spacing w:after="0" w:line="161" w:lineRule="exact"/>
        <w:rPr>
          <w:rFonts w:ascii="Times New Roman" w:cs="Times New Roman" w:eastAsia="Times New Roman" w:hAnsi="Times New Roman"/>
          <w:sz w:val="18"/>
          <w:szCs w:val="18"/>
          <w:color w:val="auto"/>
        </w:rPr>
      </w:pPr>
    </w:p>
    <w:p>
      <w:pPr>
        <w:ind w:left="820" w:right="380" w:hanging="32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that results in a significant amount of goodwill being recognized, which could result in future impairment charges that would reduce our earnings; and</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record substantial charges and amortization expenses related to certain purchased intangible assets, deferred stock compensation and other items, as well as other charges or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Any one of these challenges or risks could impair our ability to realize any benefit from our acquisitions, strategic relationships, joint ventures or investments after we have expended resources on them, as well as divert our management’s attention. Any failure to successfully address these challenges or risks could disrupt our business and harm our operating results and financial condition. Moreover, any such transaction may not be viewed favorably by investors or stakeholders.</w:t>
      </w:r>
    </w:p>
    <w:p>
      <w:pPr>
        <w:spacing w:after="0" w:line="180"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may enter into negotiations for acquisitions, relationships, joint ventures or investments that are not ultimately consummated. These negotiations could result in significant diversion of management time, as well as substantial out-of-pocket costs.</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deliver products and product lines that meet the needs of customers and to effectively respond to changes in our industry.</w:t>
      </w:r>
    </w:p>
    <w:p>
      <w:pPr>
        <w:spacing w:after="0" w:line="15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business has been, and, we believe, will continue to be, affected by changes in customer requirements and preferences, rapid technological change, new product and product line introductions and the emergence of new standards and practices, any of which could render our technology, products and product lines less attractive, uneconomical or obsolete. To the extent that our customers’ need for quick-turn parts decreases significantly for any reason, it would likely have a material adverse effect on our business and operating results and harm our competitive position. In addition, CAD simulation and other technologies may reduce the demand for physical prototype parts. Therefore, we believe that to remain competitive, we must continually enhance and improve our technology, product offerings and product lines.</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particular, we plan to increase our research and development efforts and to continue to focus a significant portion of those efforts to further develop our technology in areas such as our interactive user interface and manufacturing processes and broaden the range of parts that we are able to manufacture. We believe successful execution of this part of our business plan is critical for our ability to compete in our industry and grow our business, and there are no guarantees we will be able to do so in a timely fashion, or at all.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product lines that are superior to ours. Our research and development costs were approximately $41.3 million, $40.1 million and $38.2 million for the years ended December 31, 2024, 2023 and 2022, respectively, and there is no guarantee that these costs will enable us to maintain or grow our revenue profitability. Refer to Item 7. “Management’s Discussion and Analysis of Financial Condition and Results of Operations” in this Annual Report on Form 10-K for additional discussion related to research and development costs.</w:t>
      </w:r>
    </w:p>
    <w:p>
      <w:pPr>
        <w:spacing w:after="0" w:line="18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business is also subject to risks from emerging technologies such as AI and Machine Learning (ML) to enhance our internal processes and customer applications. While AI and ML offer significant opportunities, potential risks include unintended release of proprietary information and proprietary data, compliance with emerging AI regulations, and unintended outcomes from AI/ML applications. There is no guarantee that AI/ML will benefit our business operations or produce products and services that are preferred by our customers. Our competitors may be more successful in their use of AI/ML and our failure to properly anticipate and timely respond to AI-related developments could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expectations regarding quick turnaround time would adversely affect our business and results of operations.</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believe many customers are facing increased pressure from global competitors to be first to market with their finished products, often resulting in a need for quick turnaround of custom parts. We believe our ability to quickly quote, manufacture and ship custom parts has been an important factor in our results to date. If we fail to meet our customers’ expectations regarding turnaround time in any given period, our business and results of operations will likely suffer.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price expectations would adversely affect our business and results of operations.</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Demand for our product lines is sensitive to price. We believe our competitive pricing has been an important factor in our results to date. Therefore, changes in our pricing strategies can have a significant impact on our business and ability to generate revenue. Many factors, including our production and personnel costs and our competitors’ pricing and marketing strategies, can significantly impact our pricing strategies. If we fail to meet our customers’ price expectations in any given period, demand for our products and product lines could be negatively impacted and our business and results of operations could suffer.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quality specifications would adversely affect our business and results of operations.</w:t>
      </w:r>
    </w:p>
    <w:p>
      <w:pPr>
        <w:spacing w:after="0" w:line="229"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We believe many customers have a need for specific quality of their parts. We believe our ability to create parts within customer specifications is an important factor in our results to date. If we fail to meet our customers’ specifications in any given period, demand for our products and product lines could be negatively impacted and our business and results of operations could suffer.</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strength of our brand is important to our business, and any failure to maintain and enhance our brand would hurt our ability to retain and expand our customer base as well as further penetrate existing customers.</w:t>
      </w:r>
    </w:p>
    <w:p>
      <w:pPr>
        <w:spacing w:after="0" w:line="15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Since our products and product lines are sold primarily through our websites, the success of our business depends upon our ability to attract new and repeat customers to our websites in order to increase business and grow our revenue. Customer awareness and the perceived value of our brand will depend largely on the success of our marketing efforts, as well as our ability to consistently provide quality custom parts within the required timeframes and positive customer experiences, which we may not do successfully. A primary component of our business strategy is the continued promotion and strengthening of our brand, and we have incurred and plan to continue to incur substantial expense related to advertising and other marketing efforts directed toward enhancing our brand. We have initiated marketing efforts through social media, but this method of marketing may not be successful and subjects us to a greater risk of inconsistent messaging and bad publicity. We may choose to increase our branding expense materially, but we cannot be sure that this investment will be profitable. If we are unable to successfully maintain and enhance our brand, this could have a negative impact on our business and ability to generate revenue.</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our ability to process a large volume of new part designs from a diverse group of customers and successfully identify significant opportunities for our business based on those submissions.</w:t>
      </w:r>
    </w:p>
    <w:p>
      <w:pPr>
        <w:spacing w:after="0" w:line="15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believe the volume of new part designs we process and the size and diversity of our customer base give us valuable insight into the needs of our prospective customers. We utilize this industry knowledge to determine where we should focus our development resources. If the number of new part designs we process or the size and diversity of our customer base decrease, our ability to successfully identify significant opportunities for our business and meet the needs of product developers and engineers could be negatively impacted. In addition, even if we do continue to process a large number of new part designs and work with a significant and diverse customer base, there are no guarantees that any industry knowledge we extract from those interactions will be successfully utilized to help us identify significant business opportunities or better understand the needs of product developers and engineers.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continued service and performance of the key members of our management team and other personnel. The loss of any of these individuals, each of whom is “at will” and may terminate his or her employment relationship with us at any time, could disrupt our operations and significantly delay or prevent the achievement of our business objectives. We believe that our future success will also depend in part on our continued ability to identify, hire, train and motivate qualified personnel. A possible shortage of qualified individuals in the regions where we operate might require us to pay increased compensation to attract and retain key employees, thereby increasing our costs. In addition, we face intense competition for qualified individuals from numerous companies, many of whom have substantially greater financial and other resources and name recognition than us. We may be unable to attract and retain suitably qualified individuals who are capable of meeting our growing operational, managerial and other requirements, or we may be required to pay increased compensation in order to do so. Our failure to attract, hire, integrate and retain qualified personnel could impair our ability to achieve our business objectives.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present single or limited source suppliers become unavailable or inadequate, our customer relationships, results of operations and financial condition may be adversely affected.</w:t>
      </w:r>
    </w:p>
    <w:p>
      <w:pPr>
        <w:spacing w:after="0" w:line="15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acquire substantially all of the manufacturing equipment and certain of our materials that are critical to the ongoing operation and future growth of our business from several third parties. We do not have long-term supply contracts with any of our suppliers and operate on a purchase-order basis. While most manufacturing equipment and materials for our products are available from multiple suppliers, certain of those items are only available from single or limited sources. Should any of our present single or limited source suppliers for manufacturing equipment or materials become unavailable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or inadequate, or impose terms unacceptable to us such as increased pricing terms, we could be required to spend a significant amount of time and expense to develop alternate sources of supply, and we may not be successful in doing so on terms acceptable to us, or at all. Natural disasters, such as hurricanes, may affect our supply of materials, particularly resins, from time to time, and we may purchase larger amounts of certain materials in anticipation of future shortages or increases in pricing. Global supply chain disruptions may make scarce materials or supplies critical to our product offers and adversely impact our ability to manufacture and deliver products to our customers on time. In addition, if we were unable to find a suitable supplier for a particular type of manufacturing equipment or material, we could be required to modify our existing business processes and offerings to accommodate the situation. As a result, the loss of a single or limited source supplier could adversely affect our relationship with our customers and our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intellectual property rights, which could impair our competitive position.</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success and future revenue growth will depend, in part, on our ability to protect our intellectual property. We rely primarily on patents, licenses, trademarks and trade secrets, as well as non-disclosure agreements and other methods, to protect our proprietary technologies and processes globally. Despite our efforts to protect our proprietary technologies and processes, it is possible that competitors or other unauthorized third parties may obtain, copy, use or disclose our technologies and processes. We cannot assure you that any of our existing or future patents will not be challenged, invalidated or circumvented. As such, any rights granted under these patents may not provide us with meaningful protection. We may not be able to obtain foreign patents corresponding to our United States patents. Even if foreign patents are granted, effective enforcement in foreign countries may not be available. If our patents and other intellectual property do not adequately protect our technology, our competitors may be able to offer product lines similar to ours. Our competitors may also be able to develop similar technology independently or design around our patents. Any of the foregoing events would lead to increased competition and lower revenue or gross margin, which would adversely affect our net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w:t>
      </w:r>
    </w:p>
    <w:p>
      <w:pPr>
        <w:spacing w:after="0" w:line="22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may be subject to intellectual property infringement claims from individuals, vendors and other companies who have acquired or developed patents in the fields of injection molding, CNC machining, 3D printing, sheet metal fabrication or part production for purposes of developing competing products or for the sole purpose of asserting claims against us. Any claims that our products or processes infringe the intellectual property rights of others, regardless of the merit or resolution of such claims, could cause us to incur significant costs in responding to, defending and resolving such claims, and may prohibit or otherwise impair our ability to commercialize new or existing products. If we are unable to effectively defend our processes, our market share, sales and profitability could be adversely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expand our intellectual property portfolio could adversely affect the growth of our business and results of operations.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Expansion of our intellectual property portfolio is one of the available methods of growing our revenue and our profits. This involves a complex and costly set of activities with uncertain outcomes. Our ability to obtain patents and other intellectual property can be adversely affected by insufficient inventiveness of our employees, by changes in intellectual property laws, treaties, and regulations, and by judicial and administrative interpretations of those laws, treaties and regulations. Our ability to expand our intellectual property portfolio could also be adversely affected by the lack of valuable intellectual property for sale or license at affordable prices. There is no assurance that we will be able to obtain valuable intellectual property in the jurisdictions where we and our competitors operate or that we will be able to use or license that intellectual property.</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result in material expense, diversion of management time and attention and damage to our business, reputation, and brand.</w:t>
      </w:r>
    </w:p>
    <w:p>
      <w:pPr>
        <w:spacing w:after="0" w:line="15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parts we manufacture may contain undetected defects or errors that are not discovered until after the products have been installed and used by customers. This could result in claims from customers or others, damage to our business and reputation and brand, or significant costs to correct the defect or error.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attempt to include provisions in our agreements with customers that are designed to limit our exposure to potential liability for damages arising from defects or errors in our products. However, it is possible that these limitations may not be effective as a result of unfavorable judicial decisions or laws enacted in the future.</w:t>
      </w:r>
    </w:p>
    <w:p>
      <w:pPr>
        <w:spacing w:after="0" w:line="17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sale and support of our products entails the risk of product liability claims. Any product liability claim brought against us, regardless of its merit, could result in material expense, diversion of management time and attention, damage to our business, reputation, and brand, and cause us to fail to retain existing customers or to fail to attract new customers.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or failure by us to comply with these regulations could substantially harm our business and results of operations.</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regulations and laws specifically governing the Internet and e-commerce. Existing and future laws and regulations may impede the growth of the Internet or other online services. These regulations and laws may cover taxation, restrictions on imports and exports, customs, tariffs, user privacy, data protection, pricing, content, copyrights, distribution, electronic contracts and other communications, consumer protection, the provision of online payment services, broadband residential Internet access and the characteristics and quality of products and product lines. It is not clear how existing laws governing issues such as property use and ownership, sales and other taxes, fraud, libel and personal privacy apply to the Internet and e-commerce, especially where these laws were adopted prior to the advent of the Internet and do not contemplate or address the unique issues raised by the Internet or e-commerce. Those laws that do reference the Internet are being interpreted by the courts and their applicability and reach are therefore uncertain. The costs of compliance with these regulations may increase in the future as a result of changes in the regulations or the interpretation of them. Further, any failures on our part to comply with these regulations may subject us to significant liabilities. Those current and future laws and regulations or unfavorable resolution of these issues may substantially harm our business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interpretation of, tax rules and regulations may impact our effective tax rate and future profitability.</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a multinational company based in the United States and subject to tax in multiple tax jurisdictions, both domestic and abroad. Our future effective tax rates could be adversely affected by changes in statutory tax rates or interpretation of tax rules, and regulations in jurisdictions in which we do business, changes in the amount of revenue or earnings in the countries with varying statutory tax rates, or by changes in the valuation of deferred tax assets and liabilities.</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are subject to audits and examinations of previously filed income tax returns by the Internal Revenue Service, or IRS, and other domestic and foreign tax authorities. We regularly assess the potential impact of such examinations to determine the adequacy of our provision for income taxes and have reserved for potential adjustments that may result from the current examinations. We believe such estimates to be reasonable; however, there is no assurance that the final determination of any examination will not have an adverse effect on our operating results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acceptable terms, if at all.</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complement our growth strategy, increase market share in our current markets or expand into other markets, or broaden our technology, intellectual property or product line capabilities. Accordingly, we may need to engage in equity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fluctuate on a quarterly and annual basis.</w:t>
      </w:r>
    </w:p>
    <w:p>
      <w:pPr>
        <w:spacing w:after="0" w:line="22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operating results and financial condition may fluctuate from quarter to quarter and year to year, and are likely to continue to vary due to a number of factors, some of which are outside of our control. In addition, our actual or projected operating results may fail to match our past performance. These events could in turn cause the market price of our common stock to fluctuate. If our operating results do not meet the expectations of securities analysts or investors, who may derive their expectations by extrapolating data from recent historical operating results, the market price of our common stock will likely decline.</w:t>
      </w:r>
    </w:p>
    <w:p>
      <w:pPr>
        <w:spacing w:after="0" w:line="183"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Due to this and the other risks discussed in this “Risk Factors” section, you should not rely on quarter-to-quarter or year-to-year comparisons of our operating results as an indicator of future performance.</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suppliers must comply with environmental laws and regulations, which can be expensive and restrict how we do business.</w:t>
      </w:r>
    </w:p>
    <w:p>
      <w:pPr>
        <w:spacing w:after="0" w:line="15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business involves the controlled storage, use and disposal of hazardous materials. We and our suppliers are subject to federal, state and local as well as foreign laws and regulations governing the use, manufacture, storage, handling and disposal of these hazardous materials. Although we believe that the safety procedures utilized by us and our suppliers for handling and disposing of these materials comply with the standards prescribed by these laws and regulations, we cannot eliminate the risk of accidental contamination or injury from these materials. In the event of an accident, state, federal or foreign authorities may curtail the use of these materials and interrupt our business operations. We do not currently maintain hazardous materials insurance coverage. If we are subject to any liability as a result of activities involving hazardous materials, our business and financial condition may be adversely affected and our reputation and brand may be harmed.</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meet quality standards applicable to our manufacturing and quality processes for the parts we manufacture, our business, financial condition or operating results could be harmed.</w:t>
      </w:r>
    </w:p>
    <w:p>
      <w:pPr>
        <w:spacing w:after="0" w:line="159" w:lineRule="exact"/>
        <w:rPr>
          <w:sz w:val="20"/>
          <w:szCs w:val="20"/>
          <w:color w:val="auto"/>
        </w:rPr>
      </w:pPr>
    </w:p>
    <w:p>
      <w:pPr>
        <w:ind w:firstLine="486"/>
        <w:spacing w:after="0" w:line="312" w:lineRule="auto"/>
        <w:rPr>
          <w:sz w:val="20"/>
          <w:szCs w:val="20"/>
          <w:color w:val="auto"/>
        </w:rPr>
      </w:pPr>
      <w:r>
        <w:rPr>
          <w:rFonts w:ascii="Times New Roman" w:cs="Times New Roman" w:eastAsia="Times New Roman" w:hAnsi="Times New Roman"/>
          <w:sz w:val="17"/>
          <w:szCs w:val="17"/>
          <w:color w:val="auto"/>
        </w:rPr>
        <w:t>As a manufacturer of CNC-machined, injection-molded, 3D printed and sheet metal fabricated custom parts, we conform to certain international standards, including International Organization for Standardization, or ISO, for our facilities. The ISO standards to which we comply include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9001:2015</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AS9100D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14001:2015</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45001:2018</w:t>
            </w:r>
          </w:p>
        </w:tc>
      </w:tr>
      <w:tr>
        <w:trPr>
          <w:trHeight w:val="27"/>
        </w:trPr>
        <w:tc>
          <w:tcPr>
            <w:tcW w:w="3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Minnesota, USA</w:t>
            </w:r>
          </w:p>
        </w:tc>
        <w:tc>
          <w:tcPr>
            <w:tcW w:w="16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Injection Molding, Minnesota, USA</w:t>
            </w: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3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CNC Machining, Minnesota, USA</w:t>
            </w:r>
          </w:p>
        </w:tc>
        <w:tc>
          <w:tcPr>
            <w:tcW w:w="16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3D Printing, North Carolina, USA</w:t>
            </w: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3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Sheet Metal, New Hampshire, USA</w:t>
            </w:r>
          </w:p>
        </w:tc>
        <w:tc>
          <w:tcPr>
            <w:tcW w:w="16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CNC Machining, New Hampshire, USA</w:t>
            </w: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3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Putzbrunn, DE</w:t>
            </w:r>
          </w:p>
        </w:tc>
        <w:tc>
          <w:tcPr>
            <w:tcW w:w="16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1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Eschenlohe, DE</w:t>
            </w: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3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Telford, UK</w:t>
            </w:r>
          </w:p>
        </w:tc>
        <w:tc>
          <w:tcPr>
            <w:tcW w:w="16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1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Yes</w:t>
            </w:r>
          </w:p>
        </w:tc>
      </w:tr>
      <w:tr>
        <w:trPr>
          <w:trHeight w:val="24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Protolabs Network, Chicago, USA and Amsterdam, NL Yes</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bl>
    <w:p>
      <w:pPr>
        <w:spacing w:after="0" w:line="319"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If any system inspection reveals that we are not in compliance with applicable standards, registrars may take action against us, including issuing a corrective action request or discontinuing our certifications. If discontinuation of our certifications were to occur, it could harm our reputation as well as our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22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 customer invoicing, physical bank check and payment upon delivery. As we offer new payment options to our customers, we may be subject to additional regulations, compliance requirements and fraud risk. For certain payment methods, including credit and debit cards, we pay interchange and other fees, which may increase over time and raise our operating costs and lower profitability. We rely on third parties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provide payment processing services, including the processing of credit cards, debit cards or electronic checks,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our customers, process electronic funds transfers, or facilitate other types of online payments, and our business and operating results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229"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2024, our common stock traded as high as $45.15 and as low as $25.76. The market for our common stock may become less active, liquid or orderly, which could depress the trading price of our common stock. Some of the factors, many of which are outside of our control, that may cause the market price of our common stock to fluctuate include:</w:t>
      </w:r>
    </w:p>
    <w:p>
      <w:pPr>
        <w:spacing w:after="0" w:line="176" w:lineRule="exact"/>
        <w:rPr>
          <w:sz w:val="20"/>
          <w:szCs w:val="20"/>
          <w:color w:val="auto"/>
        </w:rPr>
      </w:pPr>
    </w:p>
    <w:p>
      <w:pPr>
        <w:ind w:left="820" w:right="660" w:hanging="326"/>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Securities and Exchange Commission and announcements relating to litigation;</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of an active trading market for our common stock;</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shareholders, including sales by our officers, directors and significant shareholders;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levels of our shares.</w:t>
      </w:r>
    </w:p>
    <w:p>
      <w:pPr>
        <w:spacing w:after="0" w:line="22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Due to the factors above and the other risks discussed in this “Risk Factors” section, our stock is subject to volatility. In addition, the stock markets have experienced extreme price and volume fluctuations that have affected and continue to affect the market prices of equity securities of many companies. In the past, shareholders have instituted securities class action litigation following periods of market volatility. If we were to become involved in securities litigation, we could incur substantial costs and our resources and the attention of management could be diverted from our business.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or reports about our business, our stock price and trading volume could decline.</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do not have any control over these analysts. If one or more of the analysts who covers us downgrades our common stock, changes their opinion of our shares or publishes inaccurate or unfavorable research about our business, our stock price would likely decline. If one or more of these analysts ceases coverage of us or fails to publish reports on us regularly, demand for our common stock could decrease and we could lose visibility in the financial markets, which could cause our stock price and trading volume to decline.</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proper and effective internal controls over financial reporting and otherwise comply with Section 404 of the Sarbanes-Oxley Act or prevent or detect misstatements in our financial statements in the future could harm our business and cause a decrease in our stock price.</w:t>
      </w:r>
    </w:p>
    <w:p>
      <w:pPr>
        <w:spacing w:after="0" w:line="15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testing of our internal control over financial reporting to allow management and our independent registered public accounting firm to report on the effectiveness of our internal control over financial reporting, as required by Section 404 of the Sarbanes-Oxley Act. If we are not able to comply with the requirements of Section 404 in the future, or if we fail to prevent or detect misstatements in the financial statements we include in our reports filed with the SEC, our business could be harmed and the market price of our common stock could decline.</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Minnesota law might discourage or delay acquisition attempts for us that you might consider favorable.</w:t>
      </w:r>
    </w:p>
    <w:p>
      <w:pPr>
        <w:spacing w:after="0" w:line="15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Our Third Amended and Restated Articles of Incorporation, as amended, and Third Amended and Restated By-Laws contain provisions that may make the acquisition of our company more difficult without the approval of our board of directors. These provisions:</w:t>
      </w:r>
    </w:p>
    <w:p>
      <w:pPr>
        <w:spacing w:after="0" w:line="162" w:lineRule="exact"/>
        <w:rPr>
          <w:sz w:val="20"/>
          <w:szCs w:val="20"/>
          <w:color w:val="auto"/>
        </w:rPr>
      </w:pPr>
    </w:p>
    <w:p>
      <w:pPr>
        <w:ind w:left="820" w:right="24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our board may designate, including the right to approve an acquisition or other change in our control;</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by resolution of the board of directors;</w:t>
      </w:r>
    </w:p>
    <w:p>
      <w:pPr>
        <w:spacing w:after="0" w:line="225"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820" w:right="60" w:hanging="326"/>
        <w:spacing w:after="0" w:line="266"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shareholders seeking to present proposals before a meeting of shareholders or to nominate candidates for election as directors at a meeting of shareholders must provide notice in writing in a timely manner, comply with Rule 14a-9 under the Securities Exchange Act of 1934, as amended, and also specify requirements as to the form and content of a shareholder’s notice; and</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w:t>
      </w:r>
    </w:p>
    <w:p>
      <w:pPr>
        <w:spacing w:after="0" w:line="22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302A.673 of the Minnesota Statutes, which regulates business combinations. Section 302A.673 generally prohibits any business combination by an issuing public corporation, or any of its subsidiaries, with an interested shareholder, which means any shareholder that purchases 10% or more of the corporation’s voting shares within four years following the date the person became an interested shareholder, unless the business combination is approved by a committee composed solely of one or more disinterested members of the corporation’s board of directors before the date the person became an interested shareholder.</w:t>
      </w:r>
    </w:p>
    <w:p>
      <w:pPr>
        <w:spacing w:after="0" w:line="183"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discourage, delay or prevent a transaction involving a change in control of our company, even if doing so would benefit our shareholders. These provisions could also discourage proxy contests and make it more difficult for you and other shareholders to elect directors of your choosing and to cause us to take other corporate actions you desire.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for the foreseeable future.</w:t>
      </w:r>
    </w:p>
    <w:p>
      <w:pPr>
        <w:spacing w:after="0" w:line="229"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that we will pay any such cash dividends for the foreseeable future. We anticipate that we will retain all of our future earnings for use in the business and for general corporate purposes. Any determination to pay dividends in the future will be at the discretion of our board of directors and will depend upon results of operations, financial condition, contractual restrictions, restrictions imposed by applicable law and other factors our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We have an enterprise-wide information security program designed to identify, protect, detect and respond to and manage reasonably foreseeable cybersecurity risks and threats. To protect our information systems from cybersecurity threats, we use various security tools that help prevent, identify, escalate, investigate, resolve and recover from identified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vulnerabilities and security incidents in a timely manner. These include, but are not limited to, internal reporting, and monitoring and detection tools to allow our information security team members to assist us in identifying vulnerabilities in our systems before they are exploited by malicious threat actors. Our information security activities are overseen by our Chief Technology Officer, who has over 25 years of experience in information technology, including security, encryption, system design, programming and compliance, and leaders from Information Technology, Legal and Finance teams, who have an average of 20 years of experience in information technology, security, compliance and auditing.</w:t>
      </w:r>
    </w:p>
    <w:p>
      <w:pPr>
        <w:spacing w:after="0" w:line="183" w:lineRule="exact"/>
        <w:rPr>
          <w:sz w:val="20"/>
          <w:szCs w:val="20"/>
          <w:color w:val="auto"/>
        </w:rPr>
      </w:pPr>
    </w:p>
    <w:p>
      <w:pPr>
        <w:ind w:right="40" w:firstLine="486"/>
        <w:spacing w:after="0" w:line="312" w:lineRule="auto"/>
        <w:rPr>
          <w:sz w:val="20"/>
          <w:szCs w:val="20"/>
          <w:color w:val="auto"/>
        </w:rPr>
      </w:pPr>
      <w:r>
        <w:rPr>
          <w:rFonts w:ascii="Times New Roman" w:cs="Times New Roman" w:eastAsia="Times New Roman" w:hAnsi="Times New Roman"/>
          <w:sz w:val="17"/>
          <w:szCs w:val="17"/>
          <w:color w:val="auto"/>
        </w:rPr>
        <w:t>We also maintain a third party security program to identify, prioritize, assess, mitigate and remediate third party risks; however, we rely on the third parties we use to implement security programs commensurate with their risk, and we cannot ensure in all circumstances that their efforts will be successful.</w:t>
      </w:r>
    </w:p>
    <w:p>
      <w:pPr>
        <w:spacing w:after="0" w:line="14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As part of our cybersecurity risk management system, our information security team tracks and logs privacy and security incidents across our Company, our vendors, and other third-party service providers to remediate and resolve any such incidents. Significant incidents are reviewed regularly by a cross-functional working group including legal, SEC regulation and information security professionals to determine whether further escalation is appropriate. Any incident assessed as potentially being or potentially becoming material is immediately escalated for further assessment, and then reported to designated members of our senior management. We consult with outside counsel as appropriate, including on materiality analysis and disclosure matters, and our senior management makes the final materiality determinations and disclosure and other compliance decisions.</w:t>
      </w:r>
    </w:p>
    <w:p>
      <w:pPr>
        <w:spacing w:after="0" w:line="187"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board oversees our annual enterprise risk assessment, where we assess key risks within the Company, including security and technology risks and cyber security threats. The audit committee has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the full board for consideration. Our executive leadership team regularly discusses cyber risks and trends and, should they arise, any material incidents with the audit committee.</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well maintained and of sufficient capacity to support our current operations. We have facilities in the following regions: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Maple Plain, Minnesota in a facility we own encompassing approximately 95,000 square feet of office space. We own a facility in Rosemount, Minnesota that encompasses approximately 130,000 square feet of manufacturing and office space. We own a facility in Plymouth, Minnesota that encompasses approximately 170,000 square feet of manufacturing and office space. We own a facility in Brooklyn Park, Minnesota that encompasses approximately 215,000 square feet of manufacturing and office space.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own two facilities in Cary, North Carolina that encompasses approximately 197,000 square feet of manufacturing and office space.</w:t>
      </w:r>
    </w:p>
    <w:p>
      <w:pPr>
        <w:spacing w:after="0" w:line="225"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own a facility in Nashua, New Hampshire and lease a second facility. The lease expires in 2026. The New Hampshire facilities provide a total of approximately 128,000 square feet of manufacturing and office space.</w:t>
      </w:r>
    </w:p>
    <w:p>
      <w:pPr>
        <w:spacing w:after="0" w:line="162"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We lease a facility in Chicago, Illinois that encompasses approximately 10,000 square feet of office space utilized to support our outsourced manufacturing operations. The lease expires in 2026.</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22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Our European operations are headquartered in Telford, United Kingdom in a facility we own encompassing approximately 163,000 square feet of office and manufacturing space.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own a facility in Putzbrunn, Germany which encompasses approximately 70,000 square feet of office and manufacturing space.</w:t>
      </w:r>
    </w:p>
    <w:p>
      <w:pPr>
        <w:spacing w:after="0" w:line="225"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We also lease office space in Mosbach, Germany; Le Bourget du Lac, France; Novara, Italy and Nacka, Sweden for sales, customer service and technical support staff. The leases expire at various times from 2024 to 2025. We also lease a manufacturing and office facility encompassing approximately 21,000 square feet in Eschenlohe, Germany. The lease expires in 2029.</w:t>
      </w:r>
    </w:p>
    <w:p>
      <w:pPr>
        <w:spacing w:after="0" w:line="17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w:t>
      </w:r>
    </w:p>
    <w:p>
      <w:pPr>
        <w:spacing w:after="0" w:line="17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We lease a facility in Amsterdam, Netherlands that encompasses approximately 12,000 square feet of office space utilized to support our outsourced manufacturing operations. The lease expires in 2025.</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2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In December 2023, we dissolved our Japan operations headquartered in Zama, Kanagawa, Japan (southwest of Tokyo), where we operated in a leased facility which encompassed approximately 88,000 square feet of office and manufacturing space. The lease expired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do not believe we are party to any litigation the outcome of which, if determined adversely to us, would individually or in the aggregate be reasonably expected to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 Market Information</w:t>
      </w: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Our common stock has traded on the New York Stock Exchange (NYSE) under the symbol “PRLB” since February 24, 2012. Prior to that date, there was no public market for our common stock.</w:t>
      </w:r>
    </w:p>
    <w:p>
      <w:pPr>
        <w:spacing w:after="0" w:line="16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 of February 5, 2025 we had 11 holders of record of our common stock. The actual number of shareholders is greater than this number of record holders, and includes shareholders who are beneficial owners, but whose shares are held in street name by brokers and other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following graph shows a comparison from December 31, 2019 through December 31, 2024 of the cumulative total return for our common stock, the S&amp;P 500 Index and the Russell 2000 Index. We have selected the Russell 2000 Index because the Russell 2000 Index measures the performance of the small market capitalization segment of U.S. equity instruments and we are a member company included in the Russell 2000 Index. Such returns are based on historical results and are not intended to suggest future performance. Data for the S&amp;P 500 Index and the Russell 2000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128270</wp:posOffset>
            </wp:positionV>
            <wp:extent cx="5314950" cy="3600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Index</w:t>
            </w: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12/31/2019</w:t>
            </w: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6/30/2020</w:t>
            </w:r>
          </w:p>
        </w:tc>
        <w:tc>
          <w:tcPr>
            <w:tcW w:w="100" w:type="dxa"/>
            <w:vAlign w:val="bottom"/>
          </w:tcPr>
          <w:p>
            <w:pPr>
              <w:spacing w:after="0"/>
              <w:rPr>
                <w:sz w:val="14"/>
                <w:szCs w:val="14"/>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12/31/2020</w:t>
            </w:r>
          </w:p>
        </w:tc>
        <w:tc>
          <w:tcPr>
            <w:tcW w:w="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6/30/2021</w:t>
            </w: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12/31/2021</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6/30/2022</w:t>
            </w: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12/31/2022</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6/30/2023</w:t>
            </w:r>
          </w:p>
        </w:tc>
        <w:tc>
          <w:tcPr>
            <w:tcW w:w="100" w:type="dxa"/>
            <w:vAlign w:val="bottom"/>
          </w:tcPr>
          <w:p>
            <w:pPr>
              <w:spacing w:after="0"/>
              <w:rPr>
                <w:sz w:val="14"/>
                <w:szCs w:val="14"/>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12/31/2023</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6/30/2024</w:t>
            </w:r>
          </w:p>
        </w:tc>
        <w:tc>
          <w:tcPr>
            <w:tcW w:w="8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12/31/2024</w:t>
            </w:r>
          </w:p>
        </w:tc>
      </w:tr>
      <w:tr>
        <w:trPr>
          <w:trHeight w:val="30"/>
        </w:trPr>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6"/>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Proto Labs, Inc.</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110.75</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151.06</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90.40</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34.43</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30.42</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w:t>
            </w:r>
          </w:p>
        </w:tc>
      </w:tr>
      <w:tr>
        <w:trPr>
          <w:trHeight w:val="173"/>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S&amp;P 500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95.96</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116.26</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133.02</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117.17</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118.84</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137.75</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147.64</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169.01</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182.83</w:t>
            </w: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3"/>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Russell 2000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118.36</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138.48</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102.37</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122.73</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133.66</w:t>
            </w:r>
          </w:p>
        </w:tc>
      </w:tr>
      <w:tr>
        <w:trPr>
          <w:trHeight w:val="30"/>
        </w:trPr>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Issuer Purchases of Equity Securities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February 7, 2023, our board of directors approved a $50 million increase to our previously authorized stock repurchase program, which increased the total stock repurchase authorized to up to $250 million. Our stock repurchase program was first approved on February 9, 2017 and was extended from time to time at the discretion of our board of directors and expired on December 31, 2024 (the Prior Repurchase Program).</w:t>
      </w:r>
    </w:p>
    <w:p>
      <w:pPr>
        <w:spacing w:after="0" w:line="17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On February 4, 2025, our board of directors authorized a new share repurchase program (February 2025 Program). The February 2025 Program is open-ended and authorizes repurchases of shares of our common stock from time to time on the open market or in privately negotiated purchases, with a total stock repurchase authorized of up to $100 million. The February 2025 Program does not obligate us to acquire any particular amount of shares of our common stock and remains in effect until the total authorized amount is expended or until further action by our board of directors. The actual timing, manner, number and value of shares repurchased under the February 2025 Program will be determined by our management in its discretion and will depend on several factors, including the market price of the Company's common stock, general market and economic conditions, applicable requirements, and other considerations.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repurchased 1,774,058 shares at an average price of $33.95 per share for an aggregate purchase price of $60.2 million under the Prior Repurchase Program.</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10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Purchased Under the Plans</w:t>
            </w: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19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Programs (in thousands)</w:t>
            </w:r>
          </w:p>
        </w:tc>
      </w:tr>
      <w:tr>
        <w:trPr>
          <w:trHeight w:val="37"/>
        </w:trPr>
        <w:tc>
          <w:tcPr>
            <w:tcW w:w="3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03"/>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2024 through October 31, 2024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42,450</w:t>
            </w:r>
          </w:p>
        </w:tc>
      </w:tr>
      <w:tr>
        <w:trPr>
          <w:trHeight w:val="19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2024 through November 30, 2024</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243,034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32,898</w:t>
            </w:r>
          </w:p>
        </w:tc>
      </w:tr>
      <w:tr>
        <w:trPr>
          <w:trHeight w:val="37"/>
        </w:trPr>
        <w:tc>
          <w:tcPr>
            <w:tcW w:w="3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29"/>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2024 through December 31, 2024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112,389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w:t>
            </w:r>
          </w:p>
        </w:tc>
        <w:tc>
          <w:tcPr>
            <w:tcW w:w="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27,643</w:t>
            </w:r>
          </w:p>
        </w:tc>
      </w:tr>
      <w:tr>
        <w:trPr>
          <w:trHeight w:val="218"/>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355,423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8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355,423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27,643</w:t>
            </w:r>
          </w:p>
        </w:tc>
      </w:tr>
      <w:tr>
        <w:trPr>
          <w:trHeight w:val="25"/>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Annual Report on Form 10-K. This discussion and analysis contains forward-looking statements that involve risks and uncertainties. Our actual results may differ materially from those anticipated in these forward- looking statements as a result of various factors, including those set forth under “Risk Factors” and elsewhere in this Annual Report on Form 10-K. This Management's Discussion and Analysis (MD&amp;A) generally discusses fiscal years 2024 and 2023 items and year-to-year comparisons between 2024 and 2023. Discussions of fiscal year 2022 items and year-to-year comparisons between 2023 and 2022 are generally not included in this MD&amp;A, and can be found in "Management's Discussion and Analysis of Financial Condition and Results of Operations" in Part II, Item 7. of the Company's Annual Report on Form 10-K for the fiscal year ended December 31, 2023, filed with the SEC on February 16,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are one of the world’s largest, fastest, and most comprehensive digital manufacturers of custom parts. We manufacture prototypes and low-volume production parts for companies worldwide that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Through the acquisition of Hubs (formerly 3D Hubs, Inc.) (Hubs) in 2021, we provide our customers access to a global network of premium manufacturing partners who reside across North America, Europe and Asia. In January 2024, we rebranded Hubs to the Protolabs Network by Hubs (Protolabs Network). The Protolabs Network complements our in-house manufacturing, enabling us to significantly increase the size, complexity, breadth of manufacturing processes, lead times and prices of the parts we produce. Our customers conduct nearly all their business with us over the Internet. We target our products at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low-volume custom parts.</w:t>
      </w:r>
    </w:p>
    <w:p>
      <w:pPr>
        <w:spacing w:after="0" w:line="19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currently operate in a global custom contract manufacturing market which is a form of outsourcing where companies enter into an arrangement or formal agreement with another company or individual for the manufacture of complete parts, products, or components. Since our inception, we have focused on areas where we could automate the manufacturing process via our digital model and we positioned ourselves to avoid routine, low margin, high-volume commoditized manufacturing. Our initial focus was on prototypes and simple parts and have added complexity over time. We have added product lines and expanded those product lines to meet the needs of our customers, which has historically driven our growth. In 2022, we launched the first iteration of our integrated offer in Europe and followed with the launch in the United States in early 2023. The integrated offer allows us to offer CNC manufacturing for eligible parts through the combination of our internal digital manufacturing and our digital network of manufacturing partners. We also continually seek to enhance other aspects of our technology and manufacturing processes, including our interactive web-based and automated user interface and quoting system. We intend to continue to invest significantly to enhance our technology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manufacturing processes and expand the range of our existing capabilities with the aim of meeting the needs of a broader set of customers. As a result of the factors described above, many of our customers tend to return to Proto Labs to meet their ongoing needs.</w:t>
      </w:r>
    </w:p>
    <w:p>
      <w:pPr>
        <w:spacing w:after="0" w:line="16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have established our operations in the United States and Europe. 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The Company expects to substantially complete the plan within fiscal year 2025. The Company will continue offering all its manufacturing services to customers across Europe, including injection molding and metal 3D printing. These services will be fulfilled through internal manufacturing facilities and a network of manufacturing partners. Previously we had established operations in Japan. On May 27, 2022, the Company's board of directors approved a plan for the closure of the Company's manufacturing facility in Japan and announced an intention to cease operations in the region. The Company dissolved its Japan operations in December 2023. Our revenue outside of the United States accounted for approximately 21% of our consolidated revenue in each of the years ended December 31, 2024 and 2023. We intend to continue to expand our international sales efforts and believe opportunities exist to serve the needs of customers in select new geographic regions.</w:t>
      </w:r>
    </w:p>
    <w:p>
      <w:pPr>
        <w:spacing w:after="0" w:line="19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Total revenue decreased to $500.9 million in the year December 31, 2024 from $503.9 million in the year ended December 31, 2023. During this period, our operating expenses increased to $203.3 million in the year ended December 31, 2024 from $193.8 million in the year ended December 31, 2023 primarily due to $5.6 million of costs related to disposal and exit activities in the year ended December 31, 2024 related our decision to exit and close certain operations in Germany. Historically, our growth in revenue has been accompanied by increased cost of revenues and operating expenses. We expect to increase investment in our operations to support anticipated future growth as discussed more fully below.</w:t>
      </w:r>
    </w:p>
    <w:p>
      <w:pPr>
        <w:spacing w:after="0" w:line="18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we believe that a number of trends affecting our industry have impacted our results of operations, which have increased our revenue and our operating expenses, and may continue to do so. For example, we believe that many of our target customers are facing three mega trends, which are disrupting long-term product growth models. We believe our customers are facing increased pressure to shorten product life-cycles, to embed products with connectivity driven by the "internet of things" technology, and to deliver products that are personalized and customized to unique customer specifications. We believe we continue to be well positioned to benefit from these trends, given our proprietary technology that enables us to automate and integrate the majority of activities involved in procuring custom parts. As a result, the adoption of e-commerce manufacturing has accelerated, which allows opportunity for us to provide valuable solutions to customers looking to build resiliency in their supply chains through fast, on-demand manufacturers. While our business may be positively affected by these trends, our results may also be favorably or unfavorably impacted by other trends that affect customer orders for custom parts, including, among others, economic conditions, changes in customer preferences or needs, developments in our industry and among our competitors, and developments in our customers' industries. For a more complete discussion of the risks facing our business, see Part I, Item 1A. “Risk Factors”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Trends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operations are comprised of two geographic operating segments in the United States and Europe. 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The Company expects to substantially complete the plan within fiscal year 2025. The Company will continue offering all its manufacturing services to customers across Europe, including injection molding and metal 3D printing. These services will be fulfilled through internal manufacturing facilities and a network of manufacturing partners. On May 27, 2022, the Company's board of directors approved a plan for the closure of the Company's manufacturing facility in Japan and announced an intention to cease operations in the region. The Company dissolved its Japan operations in December 2023.</w:t>
      </w:r>
    </w:p>
    <w:p>
      <w:pPr>
        <w:spacing w:after="0" w:line="19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Revenue is derived from our Injection Molding, CNC Machining, 3D Printing and Sheet Metal product lines. Injection Molding revenue consists of sales of custom injection molds and injection-molded parts. CNC Machining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revenue consists of sales of CNC-machined custom parts. 3D Printing revenue consists of sales of custom 3D-printed parts. Sheet Metal revenue consists of sales of fabricated sheet metal custom parts and assemblies.</w:t>
      </w:r>
    </w:p>
    <w:p>
      <w:pPr>
        <w:spacing w:after="0" w:line="162"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Our revenue is generated from a diverse customer base and our historical and current efforts to increase revenue have been directed at gaining new customers and selling to our existing customer base by increasing marketing and selling activities, including:</w:t>
      </w:r>
    </w:p>
    <w:p>
      <w:pPr>
        <w:spacing w:after="0" w:line="162"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breadth and scope of our products by adding more sizes and materials to our offerings;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3D Printing product line through our acquisition of FineLine in 2014;</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3D printing to Europe through our acquisition of Alphaform in October 2015;</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Sheet Metal product line through our acquisition of RAPID in 2017;</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improving the usability of our product lines such as our web-centric applications; and</w:t>
      </w:r>
    </w:p>
    <w:p>
      <w:pPr>
        <w:spacing w:after="0" w:line="225" w:lineRule="exact"/>
        <w:rPr>
          <w:rFonts w:ascii="Times New Roman" w:cs="Times New Roman" w:eastAsia="Times New Roman" w:hAnsi="Times New Roman"/>
          <w:sz w:val="18"/>
          <w:szCs w:val="18"/>
          <w:color w:val="auto"/>
        </w:rPr>
      </w:pPr>
    </w:p>
    <w:p>
      <w:pPr>
        <w:ind w:left="980" w:right="56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customers with on-demand access to a global network of premium manufacturing partners through our acquisition of Hubs in January 2021.</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unique customer contacts and revenue per customer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171450</wp:posOffset>
            </wp:positionV>
            <wp:extent cx="6866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4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 thousands)</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503,877</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488,398</w:t>
            </w: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contacts</w:t>
            </w:r>
          </w:p>
        </w:tc>
        <w:tc>
          <w:tcPr>
            <w:tcW w:w="1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51,552</w:t>
            </w:r>
          </w:p>
        </w:tc>
        <w:tc>
          <w:tcPr>
            <w:tcW w:w="5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53,464</w:t>
            </w:r>
          </w:p>
        </w:tc>
        <w:tc>
          <w:tcPr>
            <w:tcW w:w="5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56,333</w:t>
            </w:r>
          </w:p>
        </w:tc>
      </w:tr>
      <w:tr>
        <w:trPr>
          <w:trHeight w:val="27"/>
        </w:trPr>
        <w:tc>
          <w:tcPr>
            <w:tcW w:w="4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customer contact</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9,425</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w:t>
            </w:r>
          </w:p>
        </w:tc>
      </w:tr>
      <w:tr>
        <w:trPr>
          <w:trHeight w:val="270"/>
        </w:trPr>
        <w:tc>
          <w:tcPr>
            <w:tcW w:w="4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r>
    </w:tbl>
    <w:p>
      <w:pPr>
        <w:spacing w:after="0" w:line="292" w:lineRule="exact"/>
        <w:rPr>
          <w:sz w:val="20"/>
          <w:szCs w:val="20"/>
          <w:color w:val="auto"/>
        </w:rPr>
      </w:pPr>
    </w:p>
    <w:p>
      <w:pPr>
        <w:ind w:left="580" w:right="80" w:hanging="5"/>
        <w:spacing w:after="0" w:line="239" w:lineRule="auto"/>
        <w:tabs>
          <w:tab w:leader="none" w:pos="66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 per customer contact is calculated using the revenue recognized during the respective period divided by the actual number of customer contacts served during the same period. Customer contacts are product developers, engineers, procurement and supply chain professionals and other individuals who place an order, and that order is shipped and invoiced during the period. The Company believes revenue per customer contact is useful to investors in evaluating the underlying business trends and ongoing operating performance of the Company.</w:t>
      </w:r>
    </w:p>
    <w:p>
      <w:pPr>
        <w:spacing w:after="0" w:line="198"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During 2024, we served 51,552 unique customer contacts who purchased our products through our web-based customer interface, a decrease of 3.6% over the same period in 2023. Our customer contacts served decreased at a rate greater than our decrease in revenue. This was primarily due to our mix of customers served in 2024 as compared to 2023 and our strategic focus to earn larger orders from our customers as we strive to be their supplier of choice by serving their custom parts needs through the comprehensive offer of our factory and the Protolabs Network. Our revenue per customer contact grew 3.1% as compared to 2023.</w:t>
      </w:r>
    </w:p>
    <w:p>
      <w:pPr>
        <w:spacing w:after="0" w:line="183"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During 2023, we served 53,464 unique customer contacts who purchased our products through our web-based customer interface, a decrease of 5.1% over the same period in 2022.</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raw materials, equipment depreciation, employee compensation including benefits and stock-based compensation, facilities costs and overhead allocations associated with the manufacturing process for molds and custom parts. We expect our personnel-related costs to increase in order to retain and attract top talent and remain competitive in the market. Overall, we expect cost of revenue to increase in absolute dollars.</w:t>
      </w:r>
    </w:p>
    <w:p>
      <w:pPr>
        <w:spacing w:after="0" w:line="180"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quick-turn factory business model requires that we invest in our capacity well in advance of demand to ensure we can fulfill the expectations for quick delivery of products manufactured in house to our customers. Therefore, over the last several years, we have made significant investments in additional factory space, equipment and infrastructure across</w:t>
      </w:r>
    </w:p>
    <w:p>
      <w:pPr>
        <w:sectPr>
          <w:pgSz w:w="11900" w:h="16838" w:orient="portrait"/>
          <w:cols w:equalWidth="0" w:num="1">
            <w:col w:w="11300"/>
          </w:cols>
          <w:pgMar w:left="320" w:top="337" w:right="2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geographic segments. We expect to continue to grow in future periods, which will result in the need for additional investments in factory space and equipment. We expect that these additional costs for factory and equipment expansion can be absorbed by revenue growth, and allow gross margins by product line to remain relatively consistent over time. Our addition of Hubs in 2021 provides a complementary opportunity to add revenue growth through the use of premium manufacturing partners, without the significant investments required by our internal manufacturing business model.</w:t>
      </w:r>
    </w:p>
    <w:p>
      <w:pPr>
        <w:spacing w:after="0" w:line="1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exchange rates.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6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 in the future.</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 consists primarily of employee compensation, benefits, commissions,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programs such as electronic, print and pay-per-click advertising, trade shows and other related overhead. We expect sales and marketing expense to increase in the future as we increase the number of marketing and sales professionals and marketing programs targeted to increase our customer base and grow revenue.</w:t>
      </w:r>
    </w:p>
    <w:p>
      <w:pPr>
        <w:spacing w:after="0" w:line="180"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and outside service costs related to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processes and product lines, enhancement of existing product lines, software developed for internal use, maintenance of internally developed software, quality assurance and testing. Costs for internal use software are evaluated by project and capitalized where appropriate under Accounting Standards Codification (ASC) 350-40</w:t>
      </w:r>
      <w:r>
        <w:rPr>
          <w:rFonts w:ascii="Times New Roman" w:cs="Times New Roman" w:eastAsia="Times New Roman" w:hAnsi="Times New Roman"/>
          <w:sz w:val="18"/>
          <w:szCs w:val="18"/>
          <w:i w:val="1"/>
          <w:iCs w:val="1"/>
          <w:color w:val="auto"/>
        </w:rPr>
        <w:t>, Intangibles — Goodwill and Other, Internal-Use Software</w:t>
      </w:r>
      <w:r>
        <w:rPr>
          <w:rFonts w:ascii="Times New Roman" w:cs="Times New Roman" w:eastAsia="Times New Roman" w:hAnsi="Times New Roman"/>
          <w:sz w:val="18"/>
          <w:szCs w:val="18"/>
          <w:color w:val="auto"/>
        </w:rPr>
        <w:t>. We expect research and development expense to increase in the future as we seek to enhance our e-commerce interface technology, internal software and supporting business systems, and continue to expand our product lines.</w:t>
      </w:r>
    </w:p>
    <w:p>
      <w:pPr>
        <w:spacing w:after="0" w:line="182"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employee compensation, benefits,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 fees related to accounting, tax and legal and other related overhead. We expect general and administrative expense to increase in the future as we continue to grow and expand as a global organization.</w:t>
      </w:r>
    </w:p>
    <w:p>
      <w:pPr>
        <w:spacing w:after="0" w:line="173" w:lineRule="exact"/>
        <w:rPr>
          <w:sz w:val="20"/>
          <w:szCs w:val="20"/>
          <w:color w:val="auto"/>
        </w:rPr>
      </w:pPr>
    </w:p>
    <w:p>
      <w:pPr>
        <w:ind w:right="2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Goodwill is tested for impairment annually as of the first day of the fourth quarter. An impairment charge for goodwill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for our Europe reporting unit in the fourth quarter of 2022, as it was determined the estimated fair value of the reporting unit, including goodwill, was less than its carrying amount.</w:t>
      </w:r>
    </w:p>
    <w:p>
      <w:pPr>
        <w:spacing w:after="0" w:line="173"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Costs related to disposal and exit activities. </w:t>
      </w:r>
      <w:r>
        <w:rPr>
          <w:rFonts w:ascii="Times New Roman" w:cs="Times New Roman" w:eastAsia="Times New Roman" w:hAnsi="Times New Roman"/>
          <w:sz w:val="18"/>
          <w:szCs w:val="18"/>
          <w:color w:val="auto"/>
        </w:rPr>
        <w:t>Costs related to disposal and exit activities is driven by our decision to close certain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in Germany and Japan and further to exit the Japan market. The expenses consist primarily of operating expenses, including employee severance, write-down of fixed assets, facility-related charges and goodwill impairment charges.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is comprised of federal, state, local and foreign taxes based on pre-tax income. Overall, our effective tax rate for 2024 and beyond may differ from historical effective tax rates due to changes in losses in foreign operations that are not eligible for tax benefits on account of valuation allowances, as well as any future tax law changes that may impact the effective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6"/>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6"/>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6"/>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6"/>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6"/>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540" w:type="dxa"/>
            <w:vAlign w:val="bottom"/>
          </w:tcPr>
          <w:p>
            <w:pPr>
              <w:spacing w:after="0"/>
              <w:rPr>
                <w:sz w:val="14"/>
                <w:szCs w:val="14"/>
                <w:color w:val="auto"/>
              </w:rPr>
            </w:pPr>
          </w:p>
        </w:tc>
      </w:tr>
      <w:tr>
        <w:trPr>
          <w:trHeight w:val="29"/>
        </w:trPr>
        <w:tc>
          <w:tcPr>
            <w:tcW w:w="1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7"/>
        </w:trPr>
        <w:tc>
          <w:tcPr>
            <w:tcW w:w="1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9"/>
        </w:trPr>
        <w:tc>
          <w:tcPr>
            <w:tcW w:w="1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6"/>
        </w:trPr>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83"/>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500,890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503,877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503,877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488,398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3.2</w:t>
            </w:r>
          </w:p>
        </w:tc>
      </w:tr>
      <w:tr>
        <w:trPr>
          <w:trHeight w:val="173"/>
        </w:trPr>
        <w:tc>
          <w:tcPr>
            <w:tcW w:w="1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277,690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272,933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55.9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r>
      <w:tr>
        <w:trPr>
          <w:trHeight w:val="29"/>
        </w:trPr>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221,993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221,993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215,465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w:t>
            </w:r>
          </w:p>
        </w:tc>
      </w:tr>
      <w:tr>
        <w:trPr>
          <w:trHeight w:val="173"/>
        </w:trPr>
        <w:tc>
          <w:tcPr>
            <w:tcW w:w="1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9"/>
        </w:trPr>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1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Marketing and sales</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92,073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87,688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82,752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6.0</w:t>
            </w:r>
          </w:p>
        </w:tc>
      </w:tr>
      <w:tr>
        <w:trPr>
          <w:trHeight w:val="157"/>
        </w:trPr>
        <w:tc>
          <w:tcPr>
            <w:tcW w:w="1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Research and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4"/>
        </w:trPr>
        <w:tc>
          <w:tcPr>
            <w:tcW w:w="1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development</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5.0</w:t>
            </w:r>
          </w:p>
        </w:tc>
      </w:tr>
      <w:tr>
        <w:trPr>
          <w:trHeight w:val="29"/>
        </w:trPr>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57"/>
        </w:trPr>
        <w:tc>
          <w:tcPr>
            <w:tcW w:w="1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General and</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4"/>
        </w:trPr>
        <w:tc>
          <w:tcPr>
            <w:tcW w:w="1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administrative</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64,333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65,788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67,544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w:t>
            </w:r>
          </w:p>
        </w:tc>
      </w:tr>
      <w:tr>
        <w:trPr>
          <w:trHeight w:val="173"/>
        </w:trPr>
        <w:tc>
          <w:tcPr>
            <w:tcW w:w="14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Goodwill impairment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57"/>
        </w:trPr>
        <w:tc>
          <w:tcPr>
            <w:tcW w:w="1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Costs related to disposal</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94"/>
        </w:trPr>
        <w:tc>
          <w:tcPr>
            <w:tcW w:w="1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and exit activities</w:t>
            </w: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7"/>
        </w:trPr>
        <w:tc>
          <w:tcPr>
            <w:tcW w:w="148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auto"/>
              </w:rPr>
              <w:t>Total operating</w:t>
            </w: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r>
      <w:tr>
        <w:trPr>
          <w:trHeight w:val="164"/>
        </w:trPr>
        <w:tc>
          <w:tcPr>
            <w:tcW w:w="1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expenses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313,448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64.2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(38.2)</w:t>
            </w:r>
          </w:p>
        </w:tc>
      </w:tr>
      <w:tr>
        <w:trPr>
          <w:trHeight w:val="30"/>
        </w:trPr>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37"/>
        </w:trPr>
        <w:tc>
          <w:tcPr>
            <w:tcW w:w="14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Income (loss) from</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4"/>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operations</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28,167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28,167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(97,983)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128.7</w:t>
            </w:r>
          </w:p>
        </w:tc>
      </w:tr>
      <w:tr>
        <w:trPr>
          <w:trHeight w:val="173"/>
        </w:trPr>
        <w:tc>
          <w:tcPr>
            <w:tcW w:w="14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Other (expense) income, net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(302.8)</w:t>
            </w:r>
          </w:p>
        </w:tc>
      </w:tr>
      <w:tr>
        <w:trPr>
          <w:trHeight w:val="30"/>
        </w:trPr>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37"/>
        </w:trPr>
        <w:tc>
          <w:tcPr>
            <w:tcW w:w="14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Income (loss) before</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4"/>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24,672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(97,877)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125,829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128.6</w:t>
            </w:r>
          </w:p>
        </w:tc>
      </w:tr>
      <w:tr>
        <w:trPr>
          <w:trHeight w:val="173"/>
        </w:trPr>
        <w:tc>
          <w:tcPr>
            <w:tcW w:w="1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92.2</w:t>
            </w:r>
          </w:p>
        </w:tc>
      </w:tr>
      <w:tr>
        <w:trPr>
          <w:trHeight w:val="30"/>
        </w:trPr>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0"/>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116.6 %</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1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not meaningful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included in the statements of comprehensive income data above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other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17,545</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reportable segment and the related changes for 2024 and 2023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gridSpan w:val="3"/>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60" w:type="dxa"/>
            <w:vAlign w:val="bottom"/>
          </w:tcPr>
          <w:p>
            <w:pPr>
              <w:spacing w:after="0"/>
              <w:rPr>
                <w:sz w:val="20"/>
                <w:szCs w:val="20"/>
                <w:color w:val="auto"/>
              </w:rPr>
            </w:pP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79.1 %</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(0.2 %)</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503,877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9"/>
              </w:rPr>
              <w:t>(0.6 %)</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revenue decreased $3.0 million, or 0.6%, for 2024 compared with 2023. By reportable segment, revenue in the United States decreased $0.6 million, or 0.2%, for 2024 compared with 2023. Revenue in Europe decreased $2.4 million, or 2.2%, for 2024 compared with 2023. International revenue was positively impacted by $1.9 million during 2024 compared to the same period in 2023 as a result of foreign currency movements, primarily the strengthening of the British Pound and Euro relative to the United States Dollar.</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During 2024, we served 51,552 unique customer contacts, a decrease of 3.6% over 2023. Our customer contacts served decreased at a rate greater than our decrease in revenue. This was primarily due to our mix of customers served in 2024 as compared to 2023 and our strategic focus to earn larger orders from our customers as we strive to be their supplier of choice by serving their custom parts needs through the comprehensive offer of our factory and the Protolabs Network. Our revenue per customer grew 3.1% as compared to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product line and the related changes for 2024 and 2023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gridSpan w:val="3"/>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vMerge w:val="continue"/>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36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Injection Molding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CNC Machining</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3D Printing</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Sheet Metal</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By product line, our revenue decrease was driven by a 4.8% decrease in Injection Molding revenue, a 7.7% decrease in Sheet Metal revenue, a 0.6% decrease in 3D Printing revenue and a 14.4% decrease in Other Revenue, which was partially offset by a 4.4% increase in CNC Machining revenue, in each case for 2024 compared with 2023.</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p>
      <w:pPr>
        <w:spacing w:after="0" w:line="22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decreased $4.2 million, or 1.5%, for 2024 compared to 2023, which was more than the rate of revenue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0.6% for 2024 compared to 2023. The decrease in the cost of revenue of $4.2 million was driven by reductions in headcount and overtime leading to lower personnel and related costs of $4.1 million in our digital factory business and $0.1 million in other operating costs in 2024 compared with 2023. The cost reductions in our digital manufacturing business were the result of focused management of resources aligned to order volumes, partially supported by increased automation.</w:t>
      </w:r>
    </w:p>
    <w:p>
      <w:pPr>
        <w:spacing w:after="0" w:line="183" w:lineRule="exact"/>
        <w:rPr>
          <w:sz w:val="20"/>
          <w:szCs w:val="20"/>
          <w:color w:val="auto"/>
        </w:rPr>
      </w:pPr>
    </w:p>
    <w:p>
      <w:pPr>
        <w:ind w:right="1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increased to $223.2 million in 2024 from $222.0 million in 2023. Gross margin increased to 44.6%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 2024 from 44.1% in 2023, primarily due to focused management of resources aligned to order volumes, partially supported by increased automation.</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 increased $4.4 million, or 5.0%, for 2024 compared to 2023, primarily due to increases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and related costs of $2.7 million, marketing demand generation costs increases of $0.7 million and other operating costs of $1.0 million for 2024 compared with 2023.</w:t>
      </w:r>
    </w:p>
    <w:p>
      <w:pPr>
        <w:spacing w:after="0" w:line="173"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 increased $1.2 million, or 2.9%, for 2024 compared to 2023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of $1.1 million in other operating costs, $0.4 million in professional services and $0.3 million in administrative costs, partially offset by decreases in personnel and related costs of $0.6 million for 2024 compared with 2023.</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 decreased $1.5 million, or 2.2%, for 2024 compared to 2023 primarily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intangible amortization costs of $2.2 million, other operating costs of $1.7 million and administrative costs of $0.3 million, which were partially offset by an increase in stock-based compensation of $1.1 million, personnel and related costs of $1.0 million and professional services of $0.6 million.</w:t>
      </w:r>
    </w:p>
    <w:p>
      <w:pPr>
        <w:spacing w:after="0" w:line="173"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Costs related to disposal and exit activities. </w:t>
      </w:r>
      <w:r>
        <w:rPr>
          <w:rFonts w:ascii="Times New Roman" w:cs="Times New Roman" w:eastAsia="Times New Roman" w:hAnsi="Times New Roman"/>
          <w:sz w:val="18"/>
          <w:szCs w:val="18"/>
          <w:color w:val="auto"/>
        </w:rPr>
        <w:t>Our decision to exit and close certain operations in Germany resulted in $5.6 million in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during 2024. Operating expenses included $3.3 million of employee severance and $2.3 million related to the write-down of fixed assets. During 2023 we recognized $0.2 million in professional services expenses related to the closure of the Japan business.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227"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Income from operations decreased $8.3 million, or 29.3%, for 2024 compared with 2023. By reportable segment, income from operations for the United States increased $3.6 million for 2024 compared with 2023. Loss from operations for Europe increased $3.0 million for 2024 compared with 2023, which was primarily driven by $5.6 million in operating expenses associated with our decision to exit and close certain operations in Germany. Loss from operations included in Corporate Unallocated and Japan increased $8.9 million for 2024 compared with 2023.</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(Expense) Income, Net and Provision for Income Taxes</w:t>
      </w:r>
    </w:p>
    <w:p>
      <w:pPr>
        <w:spacing w:after="0" w:line="22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We recognized other expense, net of $4.8 million in 2024, an increase of $5.0 million compared to other income,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$0.2 million for 2023. Other expense, net for 2024 primarily consisted of $5.4 million of interest income on investments and other income, partially offset by $0.4 million of foreign currency losses and $0.2 million of interest expense and other expenses. Other income, net for 2023 primarily consisted of $3.9 million foreign currency translation loss from the completion on the closure of our Japan business and $1.1 million of interest expense, which was partially offset by a $3.3 million of interest income on investments and $1.5 of other income and gains on foreign currency.</w:t>
      </w:r>
    </w:p>
    <w:p>
      <w:pPr>
        <w:spacing w:after="0" w:line="183"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income tax provision decreased by $2.7 million for 2024 compared to 2023. The decrease in the provision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release of tax reserves arising from a successful audit closure, and a reduction in deferred tax liabilities from being revalued at a lower state tax rate, partially offset by an increase in losses in foreign operations that are not eligible for tax benefits on account of valuation allowances. Our effective tax rate of 32.7% for 2024 decreased 5.7% compared to 38.4% for the same period in 2023, primarily due to a release of tax reserves arising from a successful audit closure, and a reduction in deferred tax liabilities from being revalued at a lower state tax rate, partially offset by an increase in losses in foreign operations that are not eligible for tax benefits on account of valuation allowances.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For a comparison of our results of operations for fiscal years ended December 31, 2023 and December 31, 2022, see Part II, Item 7. "Management's Discussion and Analysis of Financial Condition and Results of Operations" of our Annual Report on Form 10-K for the fiscal year ended December 31, 2023, filed with the SEC on February 16, 2024.</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finance our operations and capital expenditures through cash flow from operations. We had cash and cash equivalents of $89.1 million as of December 31, 2024, an increase of $5.3 million from December 31, 2023. The increase in our cash was primarily due to cash generated through operations of $77.8 million, which was partially offset by cash used in investing activities of $13.6 million, consisting primarily of net purchases of property, equipment and other capital</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assets of $9.1 million and net purchases of marketable securities of $4.4 million, and cash used in financing activities of $58.6 million, primarily for repurchases of common stock of $60.3 million and purchases of shares withheld for tax obligations of $2.0 million, which was partially offset by cash proceeds from the issuance of common stock from equity plans of $4.0 million. We had cash and cash equivalents of $83.8 million as of December 31, 2023, an increase of $27.2 million from December 31, 2022. The increase in our cash was primarily due to cash generated through operations of $73.3 million, which was partially offset by cash used in investing activities $4.6 million, consisting primarily of net purchases of property, equipment and other capital assets of $27.4 million, partially offset by proceeds from the maturity of marketable securities of $23.9 million, and cash used in financing activities of $41.9 million, primarily for repurchases of common stock of $44.0 million.</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the amount of cash and cash equivalents held by foreign subsidiaries was $12.1 million. Our intent is to continue to reinvest these funds outside the U.S. and our current plans do not demonstrate a need to repatriate them to fund our domestic operations. We believe that our existing cash and cash equivalents together with cash generated from operations will be sufficient to meet our working capital expenditure requirements for at least the next 12 months.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Cash flow from operating activities of $77.8 million during 2024 primarily consisted of net income of $16.6 million, adjusted for certain non-cash items, including depreciation and amortization of $35.8 million, stock-based compensation expense of $17.0 million, changes in operating assets and liabilities and other items totaling $11.0 million and non-cash fixed asset impairment charges primarily related to the exit of certain operations in Germany $2.6 million, which were partially offset by changes in deferred taxes of $5.2 million. The cash flow from operating activities during 2024 compared to 2023 increased $4.6 million primarily due to changes in operating assets and liabilities of $5.4 million, non-cash fixed impairment charges primarily related to certain operations in Germany of $2.6 million, increases in deferred taxes of $2.5 million, increases in stock-based compensation of $1.0 million and other items of $0.3 million, which were partially offset by decreases in foreign currency translation losses of $3.9 million, depreciation and amortization of $1.7 million, interest on finance lease obligations of $1.0 million and net income of $0.6 million.</w:t>
      </w:r>
    </w:p>
    <w:p>
      <w:pPr>
        <w:spacing w:after="0" w:line="192"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Cash flow from operating activities of $73.3 million during 2023 primarily consisted of net income of $17.2 million, adjusted for certain non-cash items, including depreciation and amortization of $37.5 million, stock-based compensation expense of $16.0 million, foreign currency translation losses of $3.9 million, interest on finance lease obligations of $1.1 million and changes in operating asset and liabilities and other items totaling $5.2 million, which were partially offset by changes in deferred taxes of $7.7 million. The cash flow from operating activities during 2023 compared to 2022 increased $11.2 million primarily due to changes in operating assets and liabilities and other items of $7.2 million, increases in deferred taxes of $1.8 million, increases in interest on finance lease obligations of $1.1 million and increases in net income of $120.7 million, which were partially offset by decreases in stock-based compensation of $1.6 million and loss on impairment of goodwill of $118.0 million.</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$13.6 million for the year ended December 31, 2024, consisting of $9.1 million for the net purchases of property, equipment and other capital assets and $4.4 million in net purchases of marketable securities.</w:t>
      </w:r>
    </w:p>
    <w:p>
      <w:pPr>
        <w:spacing w:after="0" w:line="162"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$4.6 million for the year ended December 31, 2023, consisting of $27.4 million for the net purchases of property, equipment and other capital assets, $1.0 million in other investing activities, which were partially offset by $23.9 million of net proceeds from maturities of marketable securities.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$58.6 million for the year ended December 31, 2024, consisting of $60.3 million in repurchases of common stock, $2.0 million in shares withheld for tax obligations associated with equity transactions, and $0.3 million for repayments of finance lease obligations, which were partially offset by $4.0 million in proceeds from issuance of common stock from equity plans.</w:t>
      </w:r>
    </w:p>
    <w:p>
      <w:pPr>
        <w:spacing w:after="0" w:line="17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$41.9 million for the year ended December 31, 2023, consisting of $44.0 million in repurchases of common stock, $1.4 million in shares withheld for tax obligations associated with equity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transactions, and $0.3 million for repayments of finance lease obligations, which were partially offset by $3.8 million in proceeds from issuance of common stock from equity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Capital Expenditure Requirements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balances and cash generated through operations and interest income will be sufficient to meet our anticipated cash requirements through at least the next 12 months. From time to time we may seek to sell equity or convertible debt securities or enter into credit facilities. The sale of equity and convertible debt securities may result in dilution to our shareholders. If we raise additional funds through the issuance of convertible debt securities or enter into credit facilities, these securities and debt holders could have rights senior to those of our common stock, and this debt could contain covenants that would restrict our operations. We may require additional capital beyond our currently forecasted amounts. Any such required additional capital may not be available on terms acceptable to us, or at all.</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following:</w:t>
      </w:r>
    </w:p>
    <w:p>
      <w:pPr>
        <w:spacing w:after="0" w:line="225" w:lineRule="exact"/>
        <w:rPr>
          <w:sz w:val="20"/>
          <w:szCs w:val="20"/>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growth in Injection Molding, CNC Machining, 3D Printing and Sheet Metal product lines;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operations, including costs relating to expansion and growth;</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225"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product rights, or participating in litigation-related activities; and</w:t>
      </w:r>
    </w:p>
    <w:p>
      <w:pPr>
        <w:spacing w:after="0" w:line="161"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 although we currently have no commitments or agreements relating to any of these types of transactions.</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recent annual capital expenditures have varied between 2% and 7% of annual revenue. We believe future growth capital expenditures, excluding any expenditures for buildings and maintenance capital we might purchase for our operations, are likely to vary between approximately 2% and 7% of annual revenue.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our contractual obligations are $3.5 million related to current and long-term operating and finance lease liabilities and $8.7 million related to unsatisfied performance obligations for revenue generating contracts with an original expected length of one year or less.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no financing arrangements as of December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these financial statements requires us to make estimates, judgments and assumptions that affect the reported amount of assets, liabilities, revenue, expenses and related disclosures. Critical accounting estimates are those estimates made in accordance with GAAP which involve a significant level of estimation uncertainty and have had or are reasonably likely to have a material impact on our financial condition and results of operations. On an ongoing basis, we evaluate our estimates, including those related to revenue recognition, goodwill, other intangible assets, stock-based compensation, and income taxes. We base our estimates of the carrying value of certain assets and liabilities on historical experience and on various other assumptions that we believe to be reasonable under the circumstances. In many cases, we could reasonably have used different accounting policies and estimates. In some cases, changes in the accounting estimates are reasonably likely to occur from period to period. Management has discussed the development, selection and disclosure of these estimates with the audit committee of our board of directors. Our actual results may differ significantly from these estimates under different assumptions or conditions.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believe the following critical accounting policies and estimates affect our more significant judgments used in the preparation of our consolidated financial statements. See the Notes to Consolidated Financial Statements included in Item 8. “Financial Statements and Supplementary Data” in this Annual Report on Form 10-K for additional information about these critical accounting policies and estimates, as well as a description of our other accounting policies and estimates.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recognize revenue for our internal and outsourced manufacturing operations in accordance with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We manufacture custom parts to specific customer orders that have no alternative use to us, and we believe there is a legally enforceable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payment for performance completed to date on internally and outsourced manufactured parts. For manufactured parts that meet these two criteria, we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majority of our CNC machining, 3D printing, and sheet metal contracts have a single performance obligation. The majority of our injection molding contracts have multiple performance obligations including one obligation to produce the mold and a second obligation to produce parts. For injection molding contracts with multiple performance obligations, we allocate revenue to each performance obligation based on its relative standalone selling price. We generally determine standalone selling price based on the price charged to customers.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recognize goodwill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Goodwill is the excess of cost of an acquired entity over the amounts assigned to assets acquired and liabilities assumed in a business combination. Goodwill is allocated to our reporting units, which are determined by the discrete financial information available for the component and whether it is regularly reviewed by segment management. Our reporting units are the United States and Europe. Goodwill is not amortized.</w:t>
      </w:r>
    </w:p>
    <w:p>
      <w:pPr>
        <w:spacing w:after="0" w:line="182"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Goodwill is tested for impairment annually as of the first day of the fourth quarter, and is tested for impairment between annual tests if an event occurs or circumstances change that would indicate the carrying amount may be impaired. An impairment charge for goodwill is recognized only when the estimated fair value of a reporting unit, including goodwill, is less than its carrying amount. In performing the goodwill impairment assessment, the Company may assess qualitative factors to determine whether it is more likely than not that the fair value of the reporting unit is less than its carrying value. Qualitative factors may include, but are not limited to, economic, market and industry conditions, cost factors and overall financial performance of the reporting unit. If after assessing these qualitative factors, the Company determines it is "more-likely-than not" that the fair value is less than the carrying value, a quantitative assessment of goodwill is required. The quantitative impairment test requires judgment, including the identification of reporting units, the assignment of assets, liabilities and goodwill to reporting units, and the determination of fair value of each reporting unit. The impairment test requires the comparison of the fair value of each reporting unit with its carrying amount, including goodwill. In performing the impairment test, we determined the fair value of our reporting units through the income approach by using discounted cash flow (DCF) analyses. Determining fair value requires us to make judgments about appropriate discount rates, perpetual growth rates and the amount and timing of expected future cash flows. The cash flows employed in the DCF analysis for each reporting unit are based on the reporting unit's budget, long-term business plan and recent operating performance. Discount rate assumptions are based on an assessment of the risk inherent in the future cash flows of the respective reporting unit and market conditions. Given the inherent uncertainty in determining the assumptions underlying a DCF analysis, actual results may differ from those used in our valuations. As a result of the fiscal year 2022 analysis, which used the quantitative assessment, a $118.0 million impairment related to the Europe reporting unit was identified, which represented a write-off of all Europe goodwill, and recorded during the year ended December 31, 2022. As a result of the fiscal years 2024 and 2023 analyses, which used the qualitative assessment, there were no impairments recorded during the years ended December 31, 2024 and 2023.</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recognize other intangibles assets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Other intangible assets include software technology, customer relationships and other intangible assets acquired from independent parties. We used a multi-period excess earnings method under the income approach to measure the software platform when acquired through an acquisition. The significant assumptions used to estimate the value of the software platform included forecasted annual revenue growth, gross margin rates, operating expenses as a percentage of sales and the weighted-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average cost of capital, which are affected by our business plans and expectations about future market or economic conditions. Other intangible assets with a definite life are amortized over a period ranging from two to 12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As of December 31, 2024, no impairment charges for intangible assets have been recognized.</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ind w:right="2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We determine our stock-based compensation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which requires the measurement and recognition of compensation expense for all share-based payment awards made to employees and non-employee directors based on the grant date fair value of the award.</w:t>
      </w:r>
    </w:p>
    <w:p>
      <w:pPr>
        <w:spacing w:after="0" w:line="175"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stock option grants requires the input of subjective assumptions. We use the Black-Scholes option pricing model to value our stock option awards. Stock-based compensation expense is significant to our consolidated financial statements and is calculated using our best estimates, which involve inherent uncertainties and the application of management’s judgment. Significant estimates include our expected term and stock price volatility. If different estimates and assumptions had been used, our common stock valuations could be significantly different and related stock-based compensation expense may be materially impacted.</w:t>
      </w:r>
    </w:p>
    <w:p>
      <w:pPr>
        <w:spacing w:after="0" w:line="18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requires inputs such as the risk-free interest rate, expected term, expected volatility and expected dividend yield. We base the risk-free interest rate that we use in the Black-Scholes option pricing model on zero coupon U.S. Treasury instruments with maturities similar to the expected term of the award being valued. The expected term of stock options is estimated from the vesting period of the award and represents the weighted average period that our stock options are expected to be outstanding. We estimated the volatility of our stock price based on the historic volatility of our common stock. We have never paid and do not anticipate paying any cash dividends in the foreseeable future and, therefore, we use an expected dividend yield of zero in the option pricing model. We account for forfeitures as they occur.</w:t>
      </w:r>
    </w:p>
    <w:p>
      <w:pPr>
        <w:spacing w:after="0" w:line="187"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each new employee option awarded was estimated on the date of grant for the periods below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9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7"/>
        </w:trPr>
        <w:tc>
          <w:tcPr>
            <w:tcW w:w="59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9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4.28 - 4.30%</w:t>
            </w:r>
          </w:p>
        </w:tc>
        <w:tc>
          <w:tcPr>
            <w:tcW w:w="198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3.55 - 4.55%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1.94 - 3.40%</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6.25</w:t>
            </w:r>
          </w:p>
        </w:tc>
        <w:tc>
          <w:tcPr>
            <w:tcW w:w="198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2.00 - 6.25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6.25</w:t>
            </w:r>
          </w:p>
        </w:tc>
      </w:tr>
      <w:tr>
        <w:trPr>
          <w:trHeight w:val="27"/>
        </w:trPr>
        <w:tc>
          <w:tcPr>
            <w:tcW w:w="5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50.62 -53.17%</w:t>
            </w:r>
          </w:p>
        </w:tc>
        <w:tc>
          <w:tcPr>
            <w:tcW w:w="198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49.23 -55.92%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45.95 - 46.03%</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0%</w:t>
            </w:r>
          </w:p>
        </w:tc>
        <w:tc>
          <w:tcPr>
            <w:tcW w:w="19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5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$18.17</w:t>
            </w:r>
          </w:p>
        </w:tc>
        <w:tc>
          <w:tcPr>
            <w:tcW w:w="198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$23.11</w:t>
            </w:r>
          </w:p>
        </w:tc>
      </w:tr>
      <w:tr>
        <w:trPr>
          <w:trHeight w:val="216"/>
        </w:trPr>
        <w:tc>
          <w:tcPr>
            <w:tcW w:w="5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bl>
    <w:p>
      <w:pPr>
        <w:spacing w:after="0" w:line="29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2012 Employee Stock Purchase Plan (ESPP) allows eligible employees to purchase a variable number of shares of our common stock during each offering period at a discount through payroll deductions of up to 15% of their eligible compensation, subject to plan limitations. The ESPP provides for six-month offering periods with a single purchase period. At the end of each offering period, employees are able to purchase shares at 85% of the lower of the fair market value of our common stock on the first trading day of the offering period or on the last trading day of the offering period. We determine the fair value stock-based compensation related to our ESPP in accordance with ASC 718 using the component measurement approach and the Black-Scholes standard option pricing model.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each offering period was estimated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61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7"/>
        </w:trPr>
        <w:tc>
          <w:tcPr>
            <w:tcW w:w="6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- 5.16%</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4.60 - 5.16%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- 4.60%</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(months)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5"/>
              </w:rPr>
              <w:t>6.00</w:t>
            </w:r>
          </w:p>
        </w:tc>
      </w:tr>
      <w:tr>
        <w:trPr>
          <w:trHeight w:val="27"/>
        </w:trPr>
        <w:tc>
          <w:tcPr>
            <w:tcW w:w="6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- 65.60%</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47.38 - 67.84%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- 67.84%</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40" w:type="dxa"/>
            <w:vAlign w:val="bottom"/>
          </w:tcPr>
          <w:p>
            <w:pPr>
              <w:spacing w:after="0"/>
              <w:rPr>
                <w:sz w:val="21"/>
                <w:szCs w:val="21"/>
                <w:color w:val="auto"/>
              </w:rPr>
            </w:pPr>
          </w:p>
        </w:tc>
        <w:tc>
          <w:tcPr>
            <w:tcW w:w="9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0%</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6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bl>
    <w:p>
      <w:pPr>
        <w:spacing w:after="0" w:line="292"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There are significant differences among option valuation models, and this may result in a lack of comparability with other companies that use different models, methods and assumptions. If factors change and we employ different assumptions in the application of ASC 718 in future periods, or if we decide to use a different valuation model, such as a lattice model, the stock-based compensation expense that we record in the future under ASC 718 may differ significantly from what we have recorded using the Black-Scholes option pricing model and could materially affect our operating results.</w:t>
      </w:r>
    </w:p>
    <w:p>
      <w:pPr>
        <w:spacing w:after="0" w:line="180" w:lineRule="exact"/>
        <w:rPr>
          <w:sz w:val="20"/>
          <w:szCs w:val="20"/>
          <w:color w:val="auto"/>
        </w:rPr>
      </w:pPr>
    </w:p>
    <w:p>
      <w:pPr>
        <w:ind w:right="160" w:firstLine="486"/>
        <w:spacing w:after="0" w:line="253" w:lineRule="auto"/>
        <w:rPr>
          <w:sz w:val="20"/>
          <w:szCs w:val="20"/>
          <w:color w:val="auto"/>
        </w:rPr>
      </w:pPr>
      <w:r>
        <w:rPr>
          <w:rFonts w:ascii="Times New Roman" w:cs="Times New Roman" w:eastAsia="Times New Roman" w:hAnsi="Times New Roman"/>
          <w:sz w:val="18"/>
          <w:szCs w:val="18"/>
          <w:color w:val="auto"/>
        </w:rPr>
        <w:t>We recognize stock-based compensation expense on a straight-line basis over the requisite service period. We recorded stock-based compensation expense relating to stock options, restricted stock awards, performance stock units and our ESPP of $17.0 million, $16.0 million and $17.5 million during the years ended December 31, 2024, 2023 and 2022, respectively. As of December 31, 2024, we had $3.6 million of unrecognized stock-based compensation costs related to unvested stock options that are expected to be recognized over a weighted average period of 2.5 years. We issued options to purchase 140,405, 186,804 and 118,434 shares of our common stock during the years ended December 31, 2024, 2023 and 2022, respectively. As of December 31, 2024, we had $18.4 million of unrecognized stock-based compensation costs related to unvested restricted stock, which is expected to be recognized over a weighted average period of 2.6 years. We issued restricted stock awards of 377,961, 410,682 and 315,432 shares of our common stock during the years ended December 31, 2024, 2023 and 2022, respectively. As of December 31, 2024, we had $4.2 million of unrecognized stock-based compensation costs related to unvested performance stock, which is expected to be recognized over a weighted average period of 1.7 years. We issued performance stock awards of 79,436, 71,295 and 35,697 shares of our common stock during the years ended December 31, 2024, 2023 and 2022, respectively.</w:t>
      </w:r>
    </w:p>
    <w:p>
      <w:pPr>
        <w:spacing w:after="0" w:line="19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In future periods, our stock-based compensation expense is expected to increase due to our existing unrecognized stock-based compensation and the issuance of additional stock-based awards to continue to attract and retain employees and non-employee directors.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we determine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we assume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We establish a valuation allowance for any portion of our deferred tax assets that we believe will not be recognized.</w:t>
      </w:r>
    </w:p>
    <w:p>
      <w:pPr>
        <w:spacing w:after="0" w:line="18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by defining a criterion that an individual tax position must meet for any part of the benefit of that position to be recognized in an enterprise’s financial statements. The Company recognizes the effect of income tax positions only if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sustaining those positions is more likely than not. The Company records penalties and interest related to unrecognized tax benefits in income taxes in the Company’s Consolidated Statements of Income. Including interest and penalties, we have established a liability for uncertain tax positions of $4.6 million as of December 31, 2024.</w:t>
      </w:r>
    </w:p>
    <w:p>
      <w:pPr>
        <w:spacing w:after="0" w:line="17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effective tax rate decreased by 5.7% for the year ended December 31, 2024 when compared to 2023 primarily due to a release of tax reserves arising from a successful audit closure, and a reduction in deferred tax liabilities from being revalued at a lower state tax rate, partially offset by an increase in losses in foreign operations that are not eligible for tax benefits on account of valuation allowances.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that updates reportable segment disclosure requirements primarily through enhanced disclosures about significant expenses and information used to assess segment performance on an annual and interim basis. The Company adopted this guidance for its annual year ended December 31, 2024 and all interim periods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No. 2023-09, Income Taxes (Topic 740): Improvements to Income Tax Disclosures, that enhances the transparency of income tax disclosures by expanding annual disclosure requirements related to the rate reconciliation and income taxes paid. The Company is required to adopt this guidance for its annual year ending December 31, 2025. Early adoption is permitted. The Company is currently evaluating the impact of this guidance on its disclosures.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("ASU 2024-03"), Income Statement - Reporting Comprehensive Income - Expense Disaggregation Disclosures (Subtopic 220-40): Disaggregation of Income Statement Expenses, which is intended to improve disclosures about a public business entity's expenses, primarily through additional disaggregation of income statement expenses. The Company is required to adopt this guidance for its annual year ending December 15, 2027 and all interim periods thereafter. Early adoption is permitted. The Company is currently evaluating ASU 2024-03 to determine the impact on the Company's disclosures.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of Market Risks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exposure to market risk is confined to our cash and cash equivalent balances and investments. The primary goals of our investment policy are preservation of capital, fulfillment of liquidity needs and fiduciary control of cash and cash equivalent balances. We also seek to maximize income from our investments without assuming significant risk. To achieve our goals, we maintain a portfolio of debt securities with various maturities ranging from one to three years. Due to the nature of our investment portfolio, we are subject to interest rate risks, which we mitigate by generally holding our investments to maturity. In future periods, we will continue to evaluate our investment policy in order to continue our overall goals.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As a result of our foreign operations, we have revenue, expenses, assets and liabilities that are denominated in foreign currencies. We generate revenue and incur production costs and operating expenses in British Pound, Euro and Japanese Yen.</w:t>
      </w:r>
    </w:p>
    <w:p>
      <w:pPr>
        <w:spacing w:after="0" w:line="162" w:lineRule="exact"/>
        <w:rPr>
          <w:sz w:val="20"/>
          <w:szCs w:val="20"/>
          <w:color w:val="auto"/>
        </w:rPr>
      </w:pPr>
    </w:p>
    <w:p>
      <w:pPr>
        <w:jc w:val="both"/>
        <w:ind w:right="800" w:firstLine="486"/>
        <w:spacing w:after="0" w:line="266" w:lineRule="auto"/>
        <w:rPr>
          <w:sz w:val="20"/>
          <w:szCs w:val="20"/>
          <w:color w:val="auto"/>
        </w:rPr>
      </w:pPr>
      <w:r>
        <w:rPr>
          <w:rFonts w:ascii="Times New Roman" w:cs="Times New Roman" w:eastAsia="Times New Roman" w:hAnsi="Times New Roman"/>
          <w:sz w:val="18"/>
          <w:szCs w:val="18"/>
          <w:color w:val="auto"/>
        </w:rPr>
        <w:t>Our operating results and cash flows are adversely impacted when the United States dollar appreciates relative to other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7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During the year ended December 31, 2023, we recognized a foreign currency translation loss of $3.9 million in connection with completing the closure of our Japan business. We recognized net foreign currency losses of $0.4 million and gains of $0.2 million for the years ended December 31, 2024 and 2023,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0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047"/>
        </w:trPr>
        <w:tc>
          <w:tcPr>
            <w:tcW w:w="104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960" w:type="dxa"/>
            <w:vAlign w:val="bottom"/>
            <w:gridSpan w:val="6"/>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Proto Labs, Inc.</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4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7"/>
        </w:trPr>
        <w:tc>
          <w:tcPr>
            <w:tcW w:w="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on Consolidated Financial Statements</w:t>
            </w:r>
          </w:p>
        </w:tc>
        <w:tc>
          <w:tcPr>
            <w:tcW w:w="34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45</w:t>
            </w:r>
          </w:p>
        </w:tc>
        <w:tc>
          <w:tcPr>
            <w:tcW w:w="3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900" w:type="dxa"/>
            <w:vAlign w:val="bottom"/>
            <w:gridSpan w:val="5"/>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2024 and 2023</w:t>
            </w:r>
          </w:p>
        </w:tc>
        <w:tc>
          <w:tcPr>
            <w:tcW w:w="5960" w:type="dxa"/>
            <w:vAlign w:val="bottom"/>
            <w:gridSpan w:val="6"/>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5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99"/>
              </w:rPr>
              <w:t>49</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 for the years ended December 31, 2024, 2023 and 2022</w:t>
            </w:r>
          </w:p>
        </w:tc>
        <w:tc>
          <w:tcPr>
            <w:tcW w:w="2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640" w:type="dxa"/>
            <w:vAlign w:val="bottom"/>
            <w:tcBorders>
              <w:top w:val="single" w:sz="8" w:color="0000FF"/>
            </w:tcBorders>
            <w:gridSpan w:val="2"/>
          </w:tcPr>
          <w:p>
            <w:pPr>
              <w:spacing w:after="0"/>
              <w:rPr>
                <w:sz w:val="21"/>
                <w:szCs w:val="21"/>
                <w:color w:val="auto"/>
              </w:rPr>
            </w:pPr>
          </w:p>
        </w:tc>
        <w:tc>
          <w:tcPr>
            <w:tcW w:w="28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40" w:type="dxa"/>
            <w:vAlign w:val="bottom"/>
            <w:gridSpan w:val="7"/>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320" w:type="dxa"/>
            <w:vAlign w:val="bottom"/>
          </w:tcPr>
          <w:p>
            <w:pPr>
              <w:spacing w:after="0"/>
              <w:rPr>
                <w:sz w:val="21"/>
                <w:szCs w:val="21"/>
                <w:color w:val="auto"/>
              </w:rPr>
            </w:pPr>
          </w:p>
        </w:tc>
      </w:tr>
      <w:tr>
        <w:trPr>
          <w:trHeight w:val="952"/>
        </w:trPr>
        <w:tc>
          <w:tcPr>
            <w:tcW w:w="6940" w:type="dxa"/>
            <w:vAlign w:val="bottom"/>
            <w:gridSpan w:val="6"/>
          </w:tcPr>
          <w:p>
            <w:pPr>
              <w:jc w:val="center"/>
              <w:ind w:left="4230"/>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Proto Labs,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Proto Labs, Inc. (the Company) as of December 31, 2024 and 2023, the related consolidated statements of comprehensive income,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Revenue Recognized Over Time</w:t>
      </w:r>
    </w:p>
    <w:p>
      <w:pPr>
        <w:spacing w:after="0" w:line="281" w:lineRule="exact"/>
        <w:rPr>
          <w:sz w:val="20"/>
          <w:szCs w:val="20"/>
          <w:color w:val="auto"/>
        </w:rPr>
      </w:pPr>
    </w:p>
    <w:p>
      <w:pPr>
        <w:ind w:left="2280" w:right="20" w:hanging="2253"/>
        <w:spacing w:after="0" w:line="254"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discussed in the notes to the consolidated financial statements, the Company provides quality, quick-turn prototyping and on-demand manufacturing services. The majority of revenue recognized in a reporting period is based on completed, invoiced contracts. The Company manufactures custom parts to specific customer orders that have no alternative use to the Company, and the Company believes that there is a legally enforceable right to payment for performance completed to date on the internally and outsourced manufacturing parts. Revenue is recognized over time for internal and outsourced manufactured parts which meet these two criteria. For revenue recognized over time, management uses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w:t>
      </w:r>
    </w:p>
    <w:p>
      <w:pPr>
        <w:spacing w:after="0" w:line="190" w:lineRule="exact"/>
        <w:rPr>
          <w:sz w:val="20"/>
          <w:szCs w:val="20"/>
          <w:color w:val="auto"/>
        </w:rPr>
      </w:pPr>
    </w:p>
    <w:p>
      <w:pPr>
        <w:ind w:left="2280" w:right="60"/>
        <w:spacing w:after="0" w:line="256" w:lineRule="auto"/>
        <w:rPr>
          <w:sz w:val="20"/>
          <w:szCs w:val="20"/>
          <w:color w:val="auto"/>
        </w:rPr>
      </w:pPr>
      <w:r>
        <w:rPr>
          <w:rFonts w:ascii="Times New Roman" w:cs="Times New Roman" w:eastAsia="Times New Roman" w:hAnsi="Times New Roman"/>
          <w:sz w:val="18"/>
          <w:szCs w:val="18"/>
          <w:color w:val="auto"/>
        </w:rPr>
        <w:t>Auditing revenue recognized over time was challenging because the relevant accounting standard requires the Company to estimate the progress towards satisfaction of performance obligations, applying a single appropriate method to measure progress. The input method requires an analysis of the incurred time in production and an estimate of the total time necessary to complete the total parts per the customer’s order. The Company also estimates inventory and production costs incurred to date. These estimates are based on management’s assessment of the current status of production as well as historical results.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How We Addressed the Matter </w:t>
      </w: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p>
      <w:pPr>
        <w:spacing w:after="0" w:line="29" w:lineRule="exact"/>
        <w:rPr>
          <w:sz w:val="20"/>
          <w:szCs w:val="20"/>
          <w:color w:val="auto"/>
        </w:rPr>
      </w:pPr>
    </w:p>
    <w:p>
      <w:pPr>
        <w:ind w:left="2280" w:right="100" w:hanging="2253"/>
        <w:spacing w:after="0" w:line="255"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in Our Audit</w:t>
      </w:r>
      <w:r>
        <w:rPr>
          <w:sz w:val="20"/>
          <w:szCs w:val="20"/>
          <w:color w:val="auto"/>
        </w:rPr>
        <w:tab/>
      </w:r>
      <w:r>
        <w:rPr>
          <w:rFonts w:ascii="Times New Roman" w:cs="Times New Roman" w:eastAsia="Times New Roman" w:hAnsi="Times New Roman"/>
          <w:sz w:val="18"/>
          <w:szCs w:val="18"/>
          <w:color w:val="auto"/>
        </w:rPr>
        <w:t>process for recognizing revenue over time. This included testing controls over management’s evaluation of contract terms, the estimation of production time incurred to date and total production time used in the input method, estimation of a reasonable profit margin and the completeness and accuracy of the data used in the input method.</w:t>
      </w:r>
    </w:p>
    <w:p>
      <w:pPr>
        <w:spacing w:after="0" w:line="186" w:lineRule="exact"/>
        <w:rPr>
          <w:sz w:val="20"/>
          <w:szCs w:val="20"/>
          <w:color w:val="auto"/>
        </w:rPr>
      </w:pPr>
    </w:p>
    <w:p>
      <w:pPr>
        <w:ind w:left="2280"/>
        <w:spacing w:after="0" w:line="255" w:lineRule="auto"/>
        <w:rPr>
          <w:sz w:val="20"/>
          <w:szCs w:val="20"/>
          <w:color w:val="auto"/>
        </w:rPr>
      </w:pPr>
      <w:r>
        <w:rPr>
          <w:rFonts w:ascii="Times New Roman" w:cs="Times New Roman" w:eastAsia="Times New Roman" w:hAnsi="Times New Roman"/>
          <w:sz w:val="18"/>
          <w:szCs w:val="18"/>
          <w:color w:val="auto"/>
        </w:rPr>
        <w:t>To test the Company’s revenue recognition over time, we performed audit procedures that included, among others, inspecting a sample of contracts to evaluate the existence of an enforceable right to payment for performance completed to-date, evaluating the progress towards completion of orders in process through examination of a sample of product shipments subsequent to the end of the reporting period, evaluating the reasonableness of management’s estimate of profit margins based on a comparison to historical margins, testing the appropriateness of the timing and amount of revenue recognized over time based on the underlying inputs, and performing an independent sensitivity analysis to evaluate the impact on revenues of changes in significant assumptions.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Proto Labs,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audited Proto Labs, Inc.'s internal control over financial reporting as of December 31, 2024, based on criteria established in Internal Control— Integrated Framework issued by the Committee of Sponsoring Organizations of the Treadway Commission (2013 framework) (the COSO criteria). In our opinion, Proto Labs, Inc. (the Company) maintained, in all material respects, effective internal control over financial reporting as of December 31, 2024, based on the COSO criteria.</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comprehensive income, shareholders' equity and cash flows for each of the three years in the period ended December 31, 2024, and the related notes and our report dated February 21,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83,790</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$1,975 and $2,499 as of December 31, 2024</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72,848</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200,660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253,655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743,512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772,353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16,872</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7"/>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77,058</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authorized 10,000,000 shares; issued and outstanding 0 shares as of</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$0.001 par value, authorized 150,000,000 shares; issued and outstanding 24,226,088 and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25,721,957 shares as of December 31, 2024 and December 31, 2023,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466,884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256,398</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670,151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695,295</w:t>
            </w:r>
          </w:p>
        </w:tc>
      </w:tr>
      <w:tr>
        <w:trPr>
          <w:trHeight w:val="26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743,512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772,353</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37" w:right="339" w:bottom="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56"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503,877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488,398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272,933</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38,222</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118,008</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related to disposal and exit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313,448</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(97,983)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5"/>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net income (loss)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26,186,533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27,409,838</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25,212,178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26,223,498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27,409,838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investments in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200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18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27,465,945</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468,548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376,734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828,493</w:t>
            </w:r>
          </w:p>
        </w:tc>
        <w:tc>
          <w:tcPr>
            <w:tcW w:w="0" w:type="dxa"/>
            <w:vAlign w:val="bottom"/>
          </w:tcPr>
          <w:p>
            <w:pPr>
              <w:spacing w:after="0"/>
              <w:rPr>
                <w:sz w:val="1"/>
                <w:szCs w:val="1"/>
                <w:color w:val="auto"/>
              </w:rPr>
            </w:pPr>
          </w:p>
        </w:tc>
      </w:tr>
      <w:tr>
        <w:trPr>
          <w:trHeight w:val="180"/>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279,603</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17,545</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(857,123)</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(29,659)</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(103,462)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(103,462)</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loss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(16,278)</w:t>
            </w:r>
          </w:p>
        </w:tc>
        <w:tc>
          <w:tcPr>
            <w:tcW w:w="0" w:type="dxa"/>
            <w:vAlign w:val="bottom"/>
          </w:tcPr>
          <w:p>
            <w:pPr>
              <w:spacing w:after="0"/>
              <w:rPr>
                <w:sz w:val="1"/>
                <w:szCs w:val="1"/>
                <w:color w:val="auto"/>
              </w:rPr>
            </w:pPr>
          </w:p>
        </w:tc>
      </w:tr>
      <w:tr>
        <w:trPr>
          <w:trHeight w:val="193"/>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loss</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(121,000)</w:t>
            </w:r>
          </w:p>
        </w:tc>
        <w:tc>
          <w:tcPr>
            <w:tcW w:w="0" w:type="dxa"/>
            <w:vAlign w:val="bottom"/>
          </w:tcPr>
          <w:p>
            <w:pPr>
              <w:spacing w:after="0"/>
              <w:rPr>
                <w:sz w:val="1"/>
                <w:szCs w:val="1"/>
                <w:color w:val="auto"/>
              </w:rPr>
            </w:pPr>
          </w:p>
        </w:tc>
      </w:tr>
      <w:tr>
        <w:trPr>
          <w:trHeight w:val="21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26,888,425</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473,740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258,236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(34,355)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697,648</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80" w:type="dxa"/>
            <w:vAlign w:val="bottom"/>
            <w:shd w:val="clear" w:color="auto" w:fill="CCEEFF"/>
          </w:tcPr>
          <w:p>
            <w:pPr>
              <w:ind w:left="180"/>
              <w:spacing w:after="0" w:line="152"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266,453</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15,989</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(1,432,921)</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(44,303)</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17,220</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86"/>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23,562</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25,721,957</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466,884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256,398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695,295</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1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278,189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16,999</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(1,774,058)</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(60,785)</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16,593</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 (loss)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93"/>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income</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16,622</w:t>
            </w:r>
          </w:p>
        </w:tc>
        <w:tc>
          <w:tcPr>
            <w:tcW w:w="0" w:type="dxa"/>
            <w:vAlign w:val="bottom"/>
          </w:tcPr>
          <w:p>
            <w:pPr>
              <w:spacing w:after="0"/>
              <w:rPr>
                <w:sz w:val="1"/>
                <w:szCs w:val="1"/>
                <w:color w:val="auto"/>
              </w:rPr>
            </w:pPr>
          </w:p>
        </w:tc>
      </w:tr>
      <w:tr>
        <w:trPr>
          <w:trHeight w:val="21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24,226,088</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453,705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244,406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670,151</w:t>
            </w: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4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on finance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impairment of goodwill</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on foreign currency translation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impairment of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Impairments related to exit and closure of Germany and Japan businesses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4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4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4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62,079</w:t>
            </w:r>
          </w:p>
        </w:tc>
      </w:tr>
      <w:tr>
        <w:trPr>
          <w:trHeight w:val="250"/>
        </w:trPr>
        <w:tc>
          <w:tcPr>
            <w:tcW w:w="66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and other capital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equipment and other capital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other assets and investments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w:t>
            </w:r>
          </w:p>
        </w:tc>
      </w:tr>
      <w:tr>
        <w:trPr>
          <w:trHeight w:val="237"/>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from equity plans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shares withheld for tax obligations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repayments of finance lease obligations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(27,922)</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65,929</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w:t>
            </w:r>
          </w:p>
        </w:tc>
      </w:tr>
      <w:tr>
        <w:trPr>
          <w:trHeight w:val="216"/>
        </w:trPr>
        <w:tc>
          <w:tcPr>
            <w:tcW w:w="6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202" w:gutter="0" w:footer="0" w:header="0"/>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337" w:right="339" w:bottom="202"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Proto Labs, Inc. and its subsidiaries (Proto Labs, the Company, we, us, or our) is a digital manufacturer of parts. The Company utilizes injection molding, computer numerical control (CNC) machining, 3D printing and sheet metal fabrication to manufacture custom parts for its customers. The Company's customers conduct nearly all their business over the internet. The Company targets its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low-volume custom parts. The Company has established operations in the United States and Europe. On October 21, 2024, the Company's board of directors approved a plan related to the Company's manufacturing facilities in Germany. The plan included the closure of the Company's injection molding manufacturing facility in Eschenlohe, Germany, and the discontinuation of Direct Metal Laser Sintering 3D printing services through its 3D printing facility in Putzbrunn, Germany. The Company will continue offering all its manufacturing services to customers across Europe, including injection molding and metal 3D printing. These services will be fulfilled through internal manufacturing facilities and a network of manufacturing partners. The Company expects to substantially complete the plan within fiscal year 2025. Previously we had established operations in Japan. On May 27, 2022, the Company's board of directors approved a plan for the closure of the Company's manufacturing facility in Japan and announced an intention to cease operations in the region. The Company dissolved its Japan operations in December 2023. Through the acquisition of Hubs in 2021, the Company provides its customers access to a global network of premium manufacturing partners who reside across North America, Europe and Asia, complementing its in-house manufacturing. Proto Labs, Inc. is headquartered in Maple Plain, Minnesota. The Company’s subsidiaries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Location</w:t>
            </w:r>
          </w:p>
        </w:tc>
      </w:tr>
      <w:tr>
        <w:trPr>
          <w:trHeight w:val="27"/>
        </w:trPr>
        <w:tc>
          <w:tcPr>
            <w:tcW w:w="59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50"/>
        </w:trPr>
        <w:tc>
          <w:tcPr>
            <w:tcW w:w="59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International LLC</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Hubs Manufacturing Inc.</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3D Hubs Manufacturing LLC</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Proto Labs Ltd.</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 International Holdings, UK, Ltd.</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 Euro Services Limited</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Proto Labs GmbH</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Proto Labs Tooling GmbH</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3D Hubs B.V.</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598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62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tc>
        <w:tc>
          <w:tcPr>
            <w:tcW w:w="5260" w:type="dxa"/>
            <w:vAlign w:val="bottom"/>
          </w:tcPr>
          <w:p>
            <w:pPr>
              <w:spacing w:after="0"/>
              <w:rPr>
                <w:sz w:val="24"/>
                <w:szCs w:val="24"/>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tc>
        <w:tc>
          <w:tcPr>
            <w:tcW w:w="5260" w:type="dxa"/>
            <w:vAlign w:val="bottom"/>
          </w:tcPr>
          <w:p>
            <w:pPr>
              <w:spacing w:after="0"/>
              <w:rPr>
                <w:sz w:val="24"/>
                <w:szCs w:val="24"/>
                <w:color w:val="auto"/>
              </w:rPr>
            </w:pPr>
          </w:p>
        </w:tc>
      </w:tr>
    </w:tbl>
    <w:p>
      <w:pPr>
        <w:spacing w:after="0" w:line="198"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as listed within “Organization and business” above. All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Components of comprehensive income (loss) include net income (loss), foreign currency translation adjustments and net unrealized gains and losses on investments in securities. Comprehensive income (loss) is disclosed in the accompanying Consolidated Statements of Comprehensive Income and Consolidated Statements of Shareholders’ Equity.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229"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related disclosures at the date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and other investments, including marketable securities, with maturities of three months or less at the date of purchase. The Company maintains its cash in bank deposit accounts, which, at times, may exceed federally insured limits. The Company has not experienced any losses on such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Marketable securities are categorized as available-for-sale and are recorded at fair value. Management determines the appropriate classification of debt securities at the time of purchase and reevaluates such designation as of each balance sheet date. The classification of marketable securities as current or non-current is dependent upon the security’s maturity date. Securities with maturities of three months or less at the time of purchase are categorized as cash equivalents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Accounts receivable are reported at the invoiced amount less an allowance for doubtful accounts. As of each balance sheet date, the Company evaluates its accounts receivable and establishes an allowance for doubtful accounts based on a combination of specific customer circumstances and credit conditions taking into account the history of write-offs and collections. A receivable is considered past due if payment has not been received within the period agreed upon in the invoice. Accounts receivable are written off after all collection efforts have been exhausted. Recoveries of trade receivables previously written off are recorded when received.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leasehold improvements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Property, equipment and leasehold improvements are stated at cost. Major improvements that substantially extend an asset’s useful life are capitalized. Repairs, maintenance and minor improvements are charged to operations as incurred. Depreciation, including amortization of leasehold improvements and assets recorded under capital leases, is calculated using the straight-line method over the estimated useful lives of the individual assets and ranges from 3 to 39 years. Manufacturing equipment is depreciated over 3 to 15 years, office furniture and equipment are depreciated over 3 to 7 years, computer hardware and software are depreciated over 3 to 5 years, building costs are depreciated over 39 years, leasehold improvements are depreciated over the estimated lives of the related assets or the life of the lease, whichever is shorter, and building and land improvements are depreciated over 10 to 39 years. Assets not in service are not depreciated until the asset is put into use.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Company follows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in accounting for internally developed software.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goodwill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Goodwill is the excess of cost of an acquired entity over the amounts assigned to assets acquired and liabilities assumed in a business combination. Goodwill is allocated to the Company's reporting units, which are determined by the discrete financial information available for the component and whether it is regularly reviewed by segment management. The Company's reporting units are the United States and Europe. Goodwill is not amortized.</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Goodwill is tested for impairment annually as of the first day of the fourth quarter, and is tested for impairment between annual tests if an event occurs or circumstances change that would indicate the carrying amount may be impaired. An impairment charge for goodwill is recognized only when the estimated fair value of a reporting unit, including goodwill, is less than its carrying amount. In performing the goodwill impairment assessment, the Company may assess qualitative factors to determine whether it is more likely than not that the fair value of the reporting unit is less than its carrying value. Qualitative factors may include, but are not limited to, economic, market and industry conditions, cost factors and overall financial performance of the reporting unit. If after assessing these qualitative factors, the Company determines it is "more-likely-than-not" that the fair value is less than the carrying value, a quantitative assessment of goodwill is required. The quantitative impairment test requires judgment, including the identification of reporting units, the assignment of assets, liabilities and goodwill to reporting units, and the determination of fair value of each reporting unit. The impairment test requires the comparison of the fair value of each reporting unit with its carrying amount, including goodwill. In performing an impairment test, the Company determines the fair value of its reporting units through the income approach by using discounted cash flow (DCF) analyses. Determining fair value requires the Company to make judgments about appropriate discount rates, perpetual growth rates and the amount and timing of expected future cash flows. The cash flows employed in the DCF analysis for each reporting unit are based on the reporting unit's budget, long-term business plan and recent operating performance. Discount rate assumptions are based on an assessment of the risk inherent in the future cash flows of the respective reporting unit and market conditions. Given the inherent uncertainty in determining the assumptions underlying a DCF analysis, actual results may differ from those used in the Company's valuations. As a result of the fiscal year 2022 analysis, which used the quantitative assessment, a $118.0 million impairment related to the Europe reporting unit was identified, which represented a write-off of all Europe goodwill, and recorded during the year ended December 31, 2022. As a result of the fiscal years 2024 and 2023 analyses, which used the qualitative assessment, there were no impairments recorded during the years ended December 31, 2024 and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Other intangible assets include software technology, customer relationships and other intangible assets acquired from other independent parties. Other intangible assets with a definite life are amortized over a period ranging from two to 12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The amount of the impairment loss recorded is calculated by the excess of the asset’s carrying value over its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long-lived assets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 periodically reviews the carrying amount of its property, equipment and leasehold improvements to determine if circumstances exist indicating an impairment or if depreciation periods should be modified. If facts or circumstances indicate that an impairment may exist, the Company will prepare a projection of the undiscounted future cash flows of the specific assets to determine if the assets are recoverable. If impairment exists based on these projections, an adjustment will be made to reduce the carrying amount of the specific assets to fair value. During the years ended December 31, 2024 and 2022, the Company recognized $2.3 million and $2.8 million, respectively, related to write-down of fixed assets for certain manufacturing operations in Germany and Japan manufacturing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recognizes revenue for its internal and outsourced manufacturing operations in accordance with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The Company manufactures custom parts to specific customer orders that have no alternative use to the Company, and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there is a legally enforceable right to payment for performance completed to date on internally and outsourced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majority of the Company’s injection molding contracts have multiple performance obligations including one obligation to produce the mold and a second obligation to produce parts. For injection molding contracts with multiple performance obligations, the Company allocates revenue to each performance obligation based on its relative standalone selling price. The Company generally determines standalone selling price based on the price charged to customers.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the balance sheet recognition of lease assets and lease liabilities by lessees for those leases classified as operating and finance leases. The Company determines if an arrangement is a lease at inception. Operating leases are included in operating lease assets, current operating lease liabilities and long-term operating lease liabilities in the Consolidated Balance Sheets and are recognized based on the present value of lease payments over the lease term at the commencement date. Finance leases are included in finance lease assets, current finance lease liabilities and long-term finance lease liabilities in the Consolidated Balance Sheets and are recognized based on the present value of lease payments over the lease term at commencement date. The majority of the Company’s leases do not provide an implicit rate of return, therefore, the Company uses its incremental borrowing rate based on the information available at commencement date in determining the present value of lease payments. Lease agreements that contain non-lease components, with the exception of certain real estate leases, are accounted for as a single lease component.</w:t>
      </w:r>
    </w:p>
    <w:p>
      <w:pPr>
        <w:spacing w:after="0" w:line="19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office space, manufacturing facilities and certain company vehicles and equipment and finance leases for certain company equipment and manufacturing facilities. The leases have remaining lease terms of less than one year to five years. Leases with an initial term of 12 months or less are not recorded on the balance sheet; we recognize lease expense for these leases on a straight-line basis over the lease term. For purposes of calculating operating lease liabilities, lease terms may be deemed to include options to extend or terminate the lease when it is reasonably certain that the Company will exercise that option. As of December 31, 2024, the operating lease liability does not include any options to extend or terminate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the Company determines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the Company assumes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The Company establishes a valuation allowance for any portion of its deferred tax assets that are not at a level of "more-likely-than-not" to be recognized.</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by requiring that individual tax positions are recorded only when they meet a "more-likely-than-not" criterion. The Company recognizes the effect of income tax positions only if sustaining those positions is "more-likely-than-not". The Company records penalties and interest related to unrecognized tax benefits in income taxes in the Company’s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Under the fair value recognition provisions of ASC 718, the Company measures stock-based compensation cost at the grant date fair value and recognizes the compensation expense over the requisite service period, which is the vesting period, using a straight-line attribution method. The amount of stock-based compensation expense recognized during a period is based on the portion of the awards that are ultimately expected to vest. The Company accounts for forfeitures as they occur. Ultimately, the total expense recognized over the vesting period will only be for those awards that vest. The Company’s awards are not eligible to vest early in the event of retirement, however, the awards vest early in the event of a change in control.</w:t>
      </w:r>
    </w:p>
    <w:p>
      <w:pPr>
        <w:spacing w:after="0" w:line="184"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In determining the compensation cost of the options granted, the fair value of options granted has been estimated on the date of grant using the Black-Scholes option-pricing model.</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7" w:lineRule="exact"/>
        <w:rPr>
          <w:sz w:val="20"/>
          <w:szCs w:val="20"/>
          <w:color w:val="auto"/>
        </w:rPr>
      </w:pPr>
    </w:p>
    <w:p>
      <w:pPr>
        <w:ind w:right="140" w:firstLine="486"/>
        <w:spacing w:after="0" w:line="284" w:lineRule="auto"/>
        <w:rPr>
          <w:sz w:val="20"/>
          <w:szCs w:val="20"/>
          <w:color w:val="auto"/>
        </w:rPr>
      </w:pPr>
      <w:r>
        <w:rPr>
          <w:rFonts w:ascii="Times New Roman" w:cs="Times New Roman" w:eastAsia="Times New Roman" w:hAnsi="Times New Roman"/>
          <w:sz w:val="18"/>
          <w:szCs w:val="18"/>
          <w:color w:val="auto"/>
        </w:rPr>
        <w:t>Advertising is expensed as incurred and was approximately $14.3 million, $13.8 million and $13.2 million for the years ended December 31,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2023 and 2022,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Research and development expenses consist primarily of personnel and outside service costs related to the development of new processes and product lines, enhancements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8"/>
          <w:szCs w:val="18"/>
          <w:i w:val="1"/>
          <w:iCs w:val="1"/>
          <w:color w:val="auto"/>
        </w:rPr>
        <w:t>Intangibles -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Internal-Use Software</w:t>
      </w:r>
      <w:r>
        <w:rPr>
          <w:rFonts w:ascii="Times New Roman" w:cs="Times New Roman" w:eastAsia="Times New Roman" w:hAnsi="Times New Roman"/>
          <w:sz w:val="18"/>
          <w:szCs w:val="18"/>
          <w:color w:val="auto"/>
        </w:rPr>
        <w:t>. Research and development costs were approximately $41.3 million, $40.1 million and $38.2 million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2023 and 2022,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translation/transactions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Company translated the balance sheets of its foreign subsidiaries at period-end exchange rates and the income statement at the average exchange rates in effect throughout the period. The Company has recorded the translation adjustment as a separate component of consolidated shareholders’ equity. Foreign currency transaction gains and losses are recognized in the Consolidated Statements of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that updates reportable segment disclosure requirements primarily through enhanced disclosures about significant expenses and information used to assess segment performance on an annual and interim basis. The Company adopted this guidance for its annual year ended December 31, 2024 and all interim periods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that enhances the transparency of income tax disclosures by expanding annual disclosure requirements related to the rate reconciliation and income taxes paid. The Company is required to adopt this guidance for its annual year ending December 31, 2025. Early adoption is permitted. The Company is currently evaluating the impact of this guidance on its disclosures.</w:t>
      </w:r>
    </w:p>
    <w:p>
      <w:pPr>
        <w:spacing w:after="0" w:line="180"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("ASU 2024-03"), Income Statement - Reporting Comprehensive Income - Expense Disaggregation Disclosures (Subtopic 220-40): Disaggregation of Income Statement Expenses, which is intended to improve disclosures about a public business entity's expenses, primarily through additional disaggregation of income statement expenses. ASU 2024-03 is effective for annual periods beginning after December 15, 2026, and interim periods beginning after December 15, 2027, with early adoption permitted. The Company is currently evaluating ASU 2024-03 to determine the impact on the Company's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7"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provides quality, quick-turn prototyping and on-demand manufacturing services. As a result, the majority of revenue recognized in a reporting period is based on completed, invoiced contracts.</w:t>
      </w:r>
    </w:p>
    <w:p>
      <w:pPr>
        <w:spacing w:after="0" w:line="17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Company manufactures parts that have no alternative use to the Company since the parts are custom made to specific customer orders, and the Company believes there is a legally enforceable right to payment for performance completed to date on these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value of unbilled receivables related to the performance on manufactured parts not yet completed as of December 31, 2024 and 2023 was $10.1 million and $10.1 million, respectively, recorded within accounts receivable, net of allowance for doubtful accounts. The value of unsatisfied performance obligations for contracts with an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original expected length of one year or less as of December 31, 2024 and 2023 was $8.7 million and $9.8 million, respectively, recorded within accrued liabilities.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geographic region for the years ended December 31, 2024, 2023 and 2022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396,192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92,770</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488,398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product line for the years ended December 31, 2024, 2023 and 2022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Injection Molding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194,215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200,578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CNC Machining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188,372</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3D Printing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Sheet Metal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488,398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7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Company generally expenses sales commissions when incurred because the amortization period would have been one year or less. These costs are recorded within marketing and sales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Income (Loss) Per Common Share</w:t>
      </w:r>
    </w:p>
    <w:p>
      <w:pPr>
        <w:spacing w:after="0" w:line="22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Basic net income (loss) per share is computed based on the weighted average number of common shares outstanding. Diluted net income (loss) per share is computed based on the weighted average number of common shares outstanding, increased by the number of additional shares that would have been outstanding had the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For the years ended December 31, 2024, 2023 and 2022 respectively, 451,029, 263,992 and 197,827 anti-dilutive options were excluded from the calculation of diluted weighted average shares outstanding.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net income (loss) per basic and diluted share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(103,462)</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 weighted-average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26,186,533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27,409,838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stock options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 weighted-average shares outstanding:</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25,212,178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26,223,498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27,409,838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changes in the carrying amount of goodwill for the years ended December 31, 2024 and 2023.</w:t>
      </w:r>
    </w:p>
    <w:p>
      <w:pPr>
        <w:spacing w:after="0" w:line="22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Goodwill decreased $126.6 million for the year ended December 31, 2022 as a result of impairments related to our Europe and Japan reporting units. The Euro denominated goodwill had been translated at the end of each period using the current exchange rates resulting in a foreign currency translation adjustment that was recorded as a component of Other Comprehensive Income.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other than goodwill for the years ended December 31,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6"/>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6"/>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6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(in years)</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Marketing assets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30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93"/>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Non-compete agreement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3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2.0 - 5.0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technology</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130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platform</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19,798</w:t>
            </w:r>
          </w:p>
        </w:tc>
        <w:tc>
          <w:tcPr>
            <w:tcW w:w="13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12.0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Tradenames</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300" w:type="dxa"/>
            <w:vAlign w:val="bottom"/>
            <w:tcBorders>
              <w:bottom w:val="single" w:sz="8" w:color="CCEEFF"/>
            </w:tcBorders>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93"/>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3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3.0 - 9.0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37"/>
        </w:trPr>
        <w:tc>
          <w:tcPr>
            <w:tcW w:w="18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25,584</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for the years ended December 31, 2024, 2023 and 2022 was $3.7 million, $5.9 million and $6.0 million, respectively. The Euro denominated intangible assets are translated at the end of each period using the current exchange rates resulting in a foreign currency translation adjustment that is recorded as a component of Other Comprehensive Income. For the years ended December 31, 2024, 2023 and 2022 the foreign currency translation adjustment was $2.2 million, $1.3 million and $1.7 million,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aggregated amortization expense based on the current carrying value of the amortizable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6"/>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2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classification based on observable and unobservable inputs when measuring fair value. There are three levels of inputs that may be used to measure fair value: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1—Quoted prices in active markets for identical assets or liabilities.</w:t>
      </w:r>
    </w:p>
    <w:p>
      <w:pPr>
        <w:spacing w:after="0" w:line="225" w:lineRule="exact"/>
        <w:rPr>
          <w:sz w:val="20"/>
          <w:szCs w:val="20"/>
          <w:color w:val="auto"/>
        </w:rPr>
      </w:pPr>
    </w:p>
    <w:p>
      <w:pPr>
        <w:ind w:right="4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2—Observable inputs other than Level 1 prices such as quoted prices for similar assets or liabilities; quoted prices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assets or liabilities.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3—Unobservable inputs that are supported by little or no market activity and that are significant to the fair value of the assets or liabilities.</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that are required to be measured or disclosed at fair value on a recurring basis include cash and cash equivalents and marketable securities. The Company’s cash consists of bank deposits. The Company’s cash equivalents measured at fair value consist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summarizes financial assets as of December 31, 2024 and 2023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3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5"/>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excluding</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mutual fund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86,366</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77,423</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mutual fund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106,332</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88,272</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Marketable Securities</w:t>
      </w:r>
    </w:p>
    <w:p>
      <w:pPr>
        <w:spacing w:after="0" w:line="2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Company invests in short-term and long-term agency, municipal, corporate and other debt securities. As of December 31, 2024 and 2023, the securities are categorized as available-for-sale and are recorded at fair value.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the Company’s short-term and long-term marketable securities as of December 31, 2024 and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318"/>
        </w:trPr>
        <w:tc>
          <w:tcPr>
            <w:tcW w:w="5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16,520</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deposit/time deposits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Fair values for the corporate debt securities are primarily determined based on quoted market prices (Level 1). Fair values for the U.S. government agency securities, U.S. municipal securities, commercial paper and certificates of deposit are primarily determined using dealer quotes or quoted market prices for similar securities (Level 2).</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Classification of marketable securities as current or non-current is based upon the security’s maturity date as of the date of these financial statements.</w:t>
      </w:r>
    </w:p>
    <w:p>
      <w:pPr>
        <w:spacing w:after="0" w:line="237"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The December 31, 2024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62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8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spacing w:after="0"/>
              <w:rPr>
                <w:sz w:val="21"/>
                <w:szCs w:val="21"/>
                <w:color w:val="auto"/>
              </w:rPr>
            </w:pPr>
          </w:p>
        </w:tc>
      </w:tr>
      <w:tr>
        <w:trPr>
          <w:trHeight w:val="439"/>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235,527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86,659</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483,834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(230,179)</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227,263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$32.1 million, $31.6 million and $33.4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Inventory</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obsolescence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of allowance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Financing Obligations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had no financing obligations as of December 31, 2024 and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Employee Benefit Plans</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401(k) retirement plan that covers employees in the United States. Under the plan, a full-time or regular part-time (over 20 hours/week) employee becomes a participant after completing three months of employment. Employees may elect to contribute up to 50 percent of regular gross pay, subject to federal law limits on the dollar amount that participants may contribute to the plan, each calendar year. The Company matches part of the employee contributions and may make a discretionary contribution to the plan. Total employer contributions were approximately $4.3 million, $4.6 million and $3.9 million for the years ended December 31, 2024, 2023 and 2022, respectively.</w:t>
      </w:r>
    </w:p>
    <w:p>
      <w:pPr>
        <w:spacing w:after="0" w:line="183"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The Company also sponsors defined contribution retirement plans that covers the employees in the United Kingdom and the Netherlands. Total employer contributions in the United Kingdom were approximately $0.5 million in each of the years ended December 31, 2024, 2023 and 2022, respectively. Total employer contributions in the Netherlands were approximately $0.6 million in each of the years ended December 31, 2024 and 2023, respectively. There were no employer contributions in the Netherlands in the year ended December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July 8, 2022, the board of directors approved the Proto Labs, Inc. 2022 Long-Term Incentive Plan, which was approved by the Company's shareholders at a Special Meeting of Shareholders on August 29, 2022, and subsequently amended and restated by the Company's shareholders at the Annual Meeting of Shareholders on May 23, 2024 (as amended and restated, the "2022 Plan") to increase the number of shares available for issuance pursuant to awards under the 2022 Plan by an additional 430,000 shares, add a minimum vesting requirement, and extend the expiration date so that the term of the 2022 Plan runs for ten years from the date of the shareholder approval.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and talent committee may provide that the vesting or payment of any award will be subject to the attainment of specified performance measures in addition to the satisfaction of any continued service requirements and the compensation and talent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154"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The Company also has outstanding awards under the 2012 Long-Term Incentive Plan, as amended (the 2012 Plan), although the plan expired in February 2022 and no additional awards have since been or will be made under the 2012 Plan. The 2012 Plan provided the Company the ability to grant stock options, SARs, restricted stock, restricted stock units, other stock-based awards and cash incentive awards. Awards under the 2012 Plan that subsequently expired, were forfeited or cancelled, or settled in cash after August 29, 2022 became available for awards under the 2022 Plan.</w:t>
      </w:r>
    </w:p>
    <w:p>
      <w:pPr>
        <w:spacing w:after="0" w:line="180"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Company’s 2012 Employee Stock Purchase Plan (ESPP) allows eligible employees to purchase a variable number of shares of the Company’s common stock at a discount through payroll deductions of up to 15 percent of their eligible compensation, subject to plan limitations. The ESPP provides for six-month offering periods with a single purchase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period, and at the end of each offering period, employees are able to purchase shares at 85 percent of the lower of the fair market value of the Company’s common stock on the first trading day of the offering period or on the last trading day of the offering period. The Company determines the fair value stock-based compensation related to its ESPP in accordance with ASC 718 using the component measurement approach and the Black-Scholes standard option pricing model.</w:t>
      </w:r>
    </w:p>
    <w:p>
      <w:pPr>
        <w:spacing w:after="0" w:line="180"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Employees purchased 141,743 and 171,991 shares of common stock under the ESPP at an average exercise price of $27.91 and $22.30 during 2024 and 2023, respectively. As of December 31, 2024, 602,150 shares remained available for future issuance under the ESPP.</w:t>
      </w:r>
    </w:p>
    <w:p>
      <w:pPr>
        <w:spacing w:after="0" w:line="162"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The Company determines its stock-based compensation in accordance with ASC 718, which requires the measurement and recognition of compensation expense for all share-based payment awards made to employees and non-employee directors based on fair value.</w:t>
      </w:r>
    </w:p>
    <w:p>
      <w:pPr>
        <w:spacing w:after="0" w:line="16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stock option grants requires the input of subjective assumptions. The Company uses the Black-Scholes option pricing model to value its stock option awards. Stock-based compensation expense is calculated using the Company’s best estimates, which involve inherent uncertainties and the application of management’s judgment. Significant estimates include its expected term and stock price volatility.</w:t>
      </w:r>
    </w:p>
    <w:p>
      <w:pPr>
        <w:spacing w:after="0" w:line="18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expected term of stock options is estimated from the vesting period of the award and represents the weighted average period that the Company's stock options are expected to be outstanding. The Company estimates the volatility of its stock price based on the historic volatility of its common stock. The Company bases the risk-free interest rate that it uses in the Black-Scholes option pricing model on U.S. Treasury instruments with maturities similar to the expected term of the award being valued. The Company has never paid, and does not anticipate paying, any cash dividends in the foreseeable future and, therefore, the Company uses an expected dividend yield of zero in the option pricing model. The Company accounts for forfeitures as they occur. The Company recognizes stock-based compensation expense on a straight-line basis over the requisite service period.</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the years ended December 31, 2024,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other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r>
      <w:tr>
        <w:trPr>
          <w:trHeight w:val="270"/>
        </w:trPr>
        <w:tc>
          <w:tcPr>
            <w:tcW w:w="66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the assumptions used in the Black-Scholes option pricing model for the years ended December 31, 2024,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7"/>
        </w:trPr>
        <w:tc>
          <w:tcPr>
            <w:tcW w:w="59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4.28 - 4.30%</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3.55 - 4.55%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1.94 - 3.40%</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6.25</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2 - 6.25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6.25</w:t>
            </w:r>
          </w:p>
        </w:tc>
      </w:tr>
      <w:tr>
        <w:trPr>
          <w:trHeight w:val="27"/>
        </w:trPr>
        <w:tc>
          <w:tcPr>
            <w:tcW w:w="5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50.62 - 53.17%</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49.23 - 55.92%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45.95 - 46.03%</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5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5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$18.17</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$23.11</w:t>
            </w:r>
          </w:p>
        </w:tc>
      </w:tr>
      <w:tr>
        <w:trPr>
          <w:trHeight w:val="216"/>
        </w:trPr>
        <w:tc>
          <w:tcPr>
            <w:tcW w:w="59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the weighted average exercise price for the years ended December 31, 2024,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18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445,136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bl>
    <w:p>
      <w:pPr>
        <w:spacing w:after="0" w:line="2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outstanding options have a term of 10 years. For employees, options that have been granted become exercisable ratably over the vesting period, which is generally a four-year period, beginning on the first anniversary of the grant date, subject to the employee’s continuing service to the Company. For directors, options generally become exercisable in full on the first anniversary of the grant date.</w:t>
      </w:r>
    </w:p>
    <w:p>
      <w:pPr>
        <w:spacing w:after="0" w:line="176"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2024 and 2022, was less than $0.1 million for each period respectively. There were no options exercised during the year ended December 31, 2023.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intrinsic value represents the cumulative difference between the fair market value of the underlying common stock and the option exercise prices.</w:t>
      </w:r>
    </w:p>
    <w:p>
      <w:pPr>
        <w:spacing w:after="0" w:line="225"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For options outstanding at December 31, 2024, the weighted-average remaining contractual term was 6.9 years and the aggregate intrinsic value was $1.6 million. For options exercisable at December 31, 2024, the weighted-average remaining contractual term was 4.7 years and the aggregate intrinsic value was $0.3 million. Refer to the table below for additional information.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0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Outstanding, Vested and Expected to Vest</w:t>
            </w:r>
          </w:p>
        </w:tc>
        <w:tc>
          <w:tcPr>
            <w:tcW w:w="32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27"/>
        </w:trPr>
        <w:tc>
          <w:tcPr>
            <w:tcW w:w="2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4"/>
        </w:trPr>
        <w:tc>
          <w:tcPr>
            <w:tcW w:w="2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298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w:t>
            </w:r>
          </w:p>
        </w:tc>
      </w:tr>
      <w:tr>
        <w:trPr>
          <w:trHeight w:val="27"/>
        </w:trPr>
        <w:tc>
          <w:tcPr>
            <w:tcW w:w="2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9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$32.13 to $33.68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163,427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8,883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32.32</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$33.69 to $39.59</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145,977</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67,050</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35.07</w:t>
            </w:r>
          </w:p>
        </w:tc>
      </w:tr>
      <w:tr>
        <w:trPr>
          <w:trHeight w:val="27"/>
        </w:trPr>
        <w:tc>
          <w:tcPr>
            <w:tcW w:w="2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$39.60 to $180.46</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135,732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90.84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108,009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94.88</w:t>
            </w:r>
          </w:p>
        </w:tc>
      </w:tr>
      <w:tr>
        <w:trPr>
          <w:trHeight w:val="216"/>
        </w:trPr>
        <w:tc>
          <w:tcPr>
            <w:tcW w:w="29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bl>
    <w:p>
      <w:pPr>
        <w:spacing w:after="0" w:line="29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share-based payment transactions is recognized in the Consolidated Statements of Comprehensive Income. As of December 31, 2024, there was $3.6 million of total unrecognized compensation cost related to unvested stock options, which is expected to be recognized over a weighted average period of 2.5 years. The total fair value of options vested was $2.3 million, $1.8 million and $2.3 million for the years ended December 31, 2024,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2012 Plan provides for the award of restricted stock or restricted stock units. Restricted stock awards are share settled and restrictions lapse ratably over the vesting period, which is generally a four-year period, beginning on the first anniversary of the grant date, subject to the employee’s continuing service to the Company. For directors, restrictions generally lapse in full on the first anniversary of the grant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818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818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343,782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763,261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$18.4 million of unrecognized compensation expense related to unvested restricted stock, which is expected to be recognized over a weighted-average period of 2.6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The Company’s outstanding PSUs at December 31, 2024 are based on market conditions and the related compensation cost is based on the fair value at grant date calculated using a Monte Carlo pricing model.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performance stock activity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818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818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at December 31, 2022</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change</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at December 31,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$4.2 million of unrecognized compensation expense related to unvested performance stock, which is expected to be recognized over a weighted-average period of 1.7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assumptions used to estimate the fair value of the ESPP during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15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7"/>
        </w:trPr>
        <w:tc>
          <w:tcPr>
            <w:tcW w:w="59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- 5.16%</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4.60 - 5.16%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- 4.60%</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(months)</w:t>
            </w:r>
          </w:p>
        </w:tc>
        <w:tc>
          <w:tcPr>
            <w:tcW w:w="15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6.00</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w w:val="95"/>
              </w:rPr>
              <w:t>6.00</w:t>
            </w:r>
          </w:p>
        </w:tc>
      </w:tr>
      <w:tr>
        <w:trPr>
          <w:trHeight w:val="27"/>
        </w:trPr>
        <w:tc>
          <w:tcPr>
            <w:tcW w:w="5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- 65.60%</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47.38 - 67.84%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- 67.84%</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tcPr>
          <w:p>
            <w:pPr>
              <w:spacing w:after="0"/>
              <w:rPr>
                <w:sz w:val="21"/>
                <w:szCs w:val="21"/>
                <w:color w:val="auto"/>
              </w:rPr>
            </w:pPr>
          </w:p>
        </w:tc>
        <w:tc>
          <w:tcPr>
            <w:tcW w:w="8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0%</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59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6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2"/>
        </w:trPr>
        <w:tc>
          <w:tcPr>
            <w:tcW w:w="8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lease term, with variable payments recognized in the period those payments are incurred. The components of lease expense for the periods reported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3"/>
                <w:szCs w:val="23"/>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w:t>
            </w: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December 31,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2029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6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8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As of December 31, 2024, we have no operating or finance leases that have not yet commenced.</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was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6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1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 finance leases (years)</w:t>
            </w: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5"/>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5"/>
              </w:rPr>
              <w:t>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4.4%</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8160" w:type="dxa"/>
            <w:vAlign w:val="bottom"/>
            <w:tcBorders>
              <w:bottom w:val="single" w:sz="8" w:color="auto"/>
            </w:tcBorders>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6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3"/>
                <w:szCs w:val="23"/>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1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816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assets obtained in exchange for new financing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8180" w:type="dxa"/>
            <w:vAlign w:val="bottom"/>
            <w:tcBorders>
              <w:bottom w:val="single" w:sz="8" w:color="auto"/>
            </w:tcBorders>
            <w:gridSpan w:val="3"/>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98"/>
        </w:trPr>
        <w:tc>
          <w:tcPr>
            <w:tcW w:w="8180" w:type="dxa"/>
            <w:vAlign w:val="bottom"/>
            <w:gridSpan w:val="3"/>
          </w:tcPr>
          <w:p>
            <w:pPr>
              <w:jc w:val="right"/>
              <w:ind w:right="246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Accumulated Other Comprehensive Loss</w:t>
      </w:r>
    </w:p>
    <w:p>
      <w:pPr>
        <w:spacing w:after="0" w:line="22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Other comprehensive loss is comprised of foreign currency translation adjustments and net unrealized gains (losses) on investments in securities. During the year ended December 31, 2023 we recognized a $3.9 million foreign currency translation loss from the completion on the closure of our Japan business.</w:t>
      </w:r>
    </w:p>
    <w:p>
      <w:pPr>
        <w:spacing w:after="0" w:line="17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balances for the years ended December 31, 2024,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translation adjustments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w:t>
            </w: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w:t>
            </w:r>
          </w:p>
        </w:tc>
      </w:tr>
      <w:tr>
        <w:trPr>
          <w:trHeight w:val="22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Net unrealized gains (losses) on investments in securities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(34,355)</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income tax in multiple jurisdictions and the use of estimates is required to determine the provision for income taxes. For the years ended December 31, 2024, 2023 and 2022, the Company recorded an income tax provision of $8.1 million, $10.7 million and $5.6 million, respectively. The effective income tax rate for the years ended December 31, 2024, 2023 and 2022 was 32.7 percent, 38.4 percent and (5.7) percent, respectively.</w:t>
      </w:r>
    </w:p>
    <w:p>
      <w:pPr>
        <w:spacing w:after="0" w:line="18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effective tax rate decreased by 5.7 percent for the year ended December 31, 2024 when compared to 2023 primarily due to a release of tax reserves arising from a successful audit closure, and a reduction in deferred tax liabilities from being revalued at a lower state tax rate, partially offset by an increase in losses in foreign operations that are not eligible for tax benefits on account of valuation allowances.</w:t>
      </w:r>
    </w:p>
    <w:p>
      <w:pPr>
        <w:spacing w:after="0" w:line="17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income taxes is based on income before income taxes reported for financial statement purposes. The components of income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39,386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38,099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(14,714)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(10,147)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24,672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27,952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the provision for income taxes for the following periods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36830</wp:posOffset>
            </wp:positionV>
            <wp:extent cx="31546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gridSpan w:val="2"/>
          </w:tcPr>
          <w:p>
            <w:pPr>
              <w:ind w:left="688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6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statutory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 against deferred tax assets</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reserves</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to return difference</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foreign exchange losses</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Revaluation of deferred tax liability</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Closure of Japan branch net operating loss reversal</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0.5</w:t>
            </w:r>
          </w:p>
        </w:tc>
      </w:tr>
      <w:tr>
        <w:trPr>
          <w:trHeight w:val="26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8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0"/>
        </w:trPr>
        <w:tc>
          <w:tcPr>
            <w:tcW w:w="6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3"/>
        </w:trPr>
        <w:tc>
          <w:tcPr>
            <w:tcW w:w="6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174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and other 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w:t>
            </w:r>
          </w:p>
        </w:tc>
      </w:tr>
      <w:tr>
        <w:trPr>
          <w:trHeight w:val="24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(17,667)</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(25,552)</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(42,021)</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(18,742)</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Company has recorded no U.S. deferred taxes related to the undistributed earnings of its non-U.S. subsidiaries as of December 31, 2024. Such amounts are intended to be reinvested outside of the United States indefinitely. It is not practicable to estimate the amount of additional tax that might be payable on the foreign earnings. As of December 31, 2024, the Company had accumulated undistributed earnings in non-U.S. subsidiaries of $2.0 million.</w:t>
      </w:r>
    </w:p>
    <w:p>
      <w:pPr>
        <w:spacing w:after="0" w:line="17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estimated net operating loss carry forwards of $19.7 million for tax purposes. The net operating losses relate to operations in the United Kingdom, Germany and Netherlands. The United Kingdom net operating losses may be carried forward without any time limitations, but are limited to £5 million, plus 50 percent of taxable income exceeding £5 million. Germany net operating losses may be carried forward without any time limitations but are limited to €1 million, plus 60 percent of taxable income exceeding €1 million. Netherlands net operating losses may be carried forward without any time limitations, but are limited to €1 million, plus 50 percent of taxable income exceeding €1 million.</w:t>
      </w:r>
    </w:p>
    <w:p>
      <w:pPr>
        <w:spacing w:after="0" w:line="183"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establishes valuation allowances for deferred tax assets when, after consideration of all positive and negative evidence, it is considered "more-likely-than-not" that a portion of the deferred tax assets will not be realized. The Company's valuation allowances of $21.8 million and $17.7 million at December 31, 2024 and 2023, respectively, reduce the carrying value of deferred tax assets associated with certain net operating loss carry forwards and other assets with insufficient positive evidence for recognition. The increase in the valuation allowance is primarily attributable to additional net operating losses generated in 2024</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Company files a U.S. federal income tax return and income tax returns in various states and foreign jurisdictions. With a few exceptions, the Company is no longer subject to U.S. federal, state, or foreign income tax examinations by tax authorities for years before 2020.</w:t>
      </w:r>
    </w:p>
    <w:p>
      <w:pPr>
        <w:spacing w:after="0" w:line="16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has liabilities related to unrecognized tax benefits totaling $3.4 million and $3.6 million at December 31, 2024 and 2023, respectively, that if recognized would result in a reduction of the Company’s effective tax rate. The liabilities are classified as other long-term liabilities in the accompanying consolidated balance sheets.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Company recognizes interest and penalties related to income tax matters in income tax expense and reports the liability in current or long-term income taxes payable as appropriate.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0719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8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3,236</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7"/>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related to the expiration of statutes of limitations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7"/>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for tax positions of prior years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period end</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3,616</w:t>
            </w:r>
          </w:p>
        </w:tc>
      </w:tr>
      <w:tr>
        <w:trPr>
          <w:trHeight w:val="21"/>
        </w:trPr>
        <w:tc>
          <w:tcPr>
            <w:tcW w:w="8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Litigation</w:t>
      </w:r>
    </w:p>
    <w:p>
      <w:pPr>
        <w:spacing w:after="0" w:line="229"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Although the results of litigation and claims cannot be predicted with certainty, the Company does not believe it is a party to any litigation the outcome of which, if determined adversely, would individually or in the aggregate be reasonably expected to have a material adverse effect on its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Company’s reportable segments are based on the internal reporting used by the Company’s CEO, who is the chief operating decision maker (CODM), to assess operating performance and make decisions about the allocation of resources. The Company’s reportable segments are based upon geographic region, consisting of the United States and Europe. The Corporate Unallocated and Japan category includes non-reportable segments, as well as research and development and general and administrative costs that are global in nature and that the Company does not allocate directly to its operating segments.</w:t>
      </w:r>
    </w:p>
    <w:p>
      <w:pPr>
        <w:spacing w:after="0" w:line="18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Revenue in the United States and Europe is derived primarily from Injection Molding, CNC Machining, 3D Printing and Sheet Metal product lines. Revenue in Japan was derived from Injection Molding and CNC Machining product lines. Injection Molding revenue consists of sales of custom injection molds and injection-molded parts. CNC Machining revenue consists of sales of CNC-machined and lathe-turned customer parts. 3D Printing revenue consists of sales of 3D-printed parts. Sheet Metal revenue consists of sales of fabricated sheet metal parts.</w:t>
      </w:r>
    </w:p>
    <w:p>
      <w:pPr>
        <w:spacing w:after="0" w:line="180" w:lineRule="exact"/>
        <w:rPr>
          <w:sz w:val="20"/>
          <w:szCs w:val="20"/>
          <w:color w:val="auto"/>
        </w:rPr>
      </w:pPr>
    </w:p>
    <w:p>
      <w:pPr>
        <w:ind w:right="440" w:firstLine="486"/>
        <w:spacing w:after="0" w:line="261"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2 – Summary of Significant Accounting Policies. Intercompany transactions primarily relate to intercontinental activity and have been eliminated and are excluded from the reported amounts. The difference between income (loss) from operations and pre-tax income relates to foreign currency-related gains and losses and interest income on cash balances and investments, which are not allocated to business segments.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selected financial information by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171450</wp:posOffset>
            </wp:positionV>
            <wp:extent cx="67036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36830</wp:posOffset>
            </wp:positionV>
            <wp:extent cx="67036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thousands)</w:t>
      </w:r>
    </w:p>
    <w:p>
      <w:pPr>
        <w:spacing w:after="0" w:line="54" w:lineRule="exact"/>
        <w:rPr>
          <w:sz w:val="20"/>
          <w:szCs w:val="20"/>
          <w:color w:val="auto"/>
        </w:rPr>
      </w:pPr>
    </w:p>
    <w:tbl>
      <w:tblPr>
        <w:tblLayout w:type="fixed"/>
        <w:tblInd w:w="500" w:type="dxa"/>
        <w:tblCellMar>
          <w:top w:w="0" w:type="dxa"/>
          <w:left w:w="0" w:type="dxa"/>
          <w:bottom w:w="0" w:type="dxa"/>
          <w:right w:w="0" w:type="dxa"/>
        </w:tblCellMar>
      </w:tblPr>
      <w:tr>
        <w:trPr>
          <w:trHeight w:val="200"/>
        </w:trPr>
        <w:tc>
          <w:tcPr>
            <w:tcW w:w="3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45"/>
        </w:trPr>
        <w:tc>
          <w:tcPr>
            <w:tcW w:w="3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3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and Japan</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396,192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104,698</w:t>
            </w:r>
          </w:p>
        </w:tc>
        <w:tc>
          <w:tcPr>
            <w:tcW w:w="10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4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297,902</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475,394</w:t>
            </w:r>
          </w:p>
        </w:tc>
        <w:tc>
          <w:tcPr>
            <w:tcW w:w="40" w:type="dxa"/>
            <w:vAlign w:val="bottom"/>
          </w:tcPr>
          <w:p>
            <w:pPr>
              <w:spacing w:after="0"/>
              <w:rPr>
                <w:sz w:val="23"/>
                <w:szCs w:val="23"/>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Exit, Disposal and Goodwill impairment costs</w:t>
            </w:r>
          </w:p>
        </w:tc>
        <w:tc>
          <w:tcPr>
            <w:tcW w:w="2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40" w:type="dxa"/>
            <w:vAlign w:val="bottom"/>
          </w:tcPr>
          <w:p>
            <w:pPr>
              <w:spacing w:after="0"/>
              <w:rPr>
                <w:sz w:val="21"/>
                <w:szCs w:val="2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19,911</w:t>
            </w:r>
          </w:p>
        </w:tc>
        <w:tc>
          <w:tcPr>
            <w:tcW w:w="40" w:type="dxa"/>
            <w:vAlign w:val="bottom"/>
          </w:tcPr>
          <w:p>
            <w:pPr>
              <w:spacing w:after="0"/>
              <w:rPr>
                <w:sz w:val="24"/>
                <w:szCs w:val="24"/>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3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331"/>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36830</wp:posOffset>
            </wp:positionV>
            <wp:extent cx="67379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thousands)</w:t>
      </w:r>
    </w:p>
    <w:p>
      <w:pPr>
        <w:spacing w:after="0" w:line="54" w:lineRule="exact"/>
        <w:rPr>
          <w:sz w:val="20"/>
          <w:szCs w:val="20"/>
          <w:color w:val="auto"/>
        </w:rPr>
      </w:pPr>
    </w:p>
    <w:tbl>
      <w:tblPr>
        <w:tblLayout w:type="fixed"/>
        <w:tblInd w:w="500" w:type="dxa"/>
        <w:tblCellMar>
          <w:top w:w="0" w:type="dxa"/>
          <w:left w:w="0" w:type="dxa"/>
          <w:bottom w:w="0" w:type="dxa"/>
          <w:right w:w="0" w:type="dxa"/>
        </w:tblCellMar>
      </w:tblPr>
      <w:tr>
        <w:trPr>
          <w:trHeight w:val="200"/>
        </w:trPr>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45"/>
        </w:trPr>
        <w:tc>
          <w:tcPr>
            <w:tcW w:w="3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3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and Japan</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107,056</w:t>
            </w:r>
          </w:p>
        </w:tc>
        <w:tc>
          <w:tcPr>
            <w:tcW w:w="8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503,877</w:t>
            </w: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475,495</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Exit, Disposal and Goodwill impairment costs</w:t>
            </w:r>
          </w:p>
        </w:tc>
        <w:tc>
          <w:tcPr>
            <w:tcW w:w="2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28,167</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318"/>
        </w:trPr>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36830</wp:posOffset>
            </wp:positionV>
            <wp:extent cx="67379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thousands)</w:t>
      </w:r>
    </w:p>
    <w:p>
      <w:pPr>
        <w:spacing w:after="0" w:line="54"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2"/>
        </w:trPr>
        <w:tc>
          <w:tcPr>
            <w:tcW w:w="3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3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and Japan</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92,770</w:t>
            </w:r>
          </w:p>
        </w:tc>
        <w:tc>
          <w:tcPr>
            <w:tcW w:w="8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488,398</w:t>
            </w: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461,451</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Exit, Disposal and Goodwill impairment costs</w:t>
            </w:r>
          </w:p>
        </w:tc>
        <w:tc>
          <w:tcPr>
            <w:tcW w:w="2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124,930</w:t>
            </w: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(97,983)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ind w:left="660" w:hanging="166"/>
        <w:spacing w:after="0" w:line="244" w:lineRule="auto"/>
        <w:tabs>
          <w:tab w:leader="none" w:pos="586"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expenses consist primarily of raw materials, equipment depreciation, employee compensation including benefits, commissions and stock-based compensation, facilities costs and overhead allocations associated with the manufacturing process for molds and custom parts, marketing programs such as electronic, print and pay-per-click advertising and trade shows and other related costs for our United States and Europe reportable segments. Segment expenses for our Corporate Unallocated and Japan reportable segment consist primarily of personnel and outside service costs related to the development of new processes and product lines, enhancements of existing product lines, software developed for internal use, maintenance of internally developed software, quality assurance and testing and employee compensation including benefits, stock-based compensation, professional service fees related to accounting, tax and legal and other related overhead costs.</w:t>
      </w: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long-lived assets, expenditures for additions to long-lived assets and depreciation and amortization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203,816</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53,835</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long-lived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227,263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257,785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331"/>
        </w:trPr>
        <w:tc>
          <w:tcPr>
            <w:tcW w:w="6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Expenditures for additions to long-lived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expenditures for additions to long-lived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318"/>
        </w:trPr>
        <w:tc>
          <w:tcPr>
            <w:tcW w:w="6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Annual Report on Form 10-K, our disclosure controls and procedures were effective and provided reasonable assurance that information required to be disclosed by us in the reports that we file or submit under the Exchange Act is recorded, processed, summarized and reported accurately and within the timeframes specified in the SEC’s rules and forms and accumulated and communicated to our management, including our Chief Executive Officer and Chief Financial Officer, as appropriate to allow timely decisions regarding required disclosure.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an adequate system of internal control over financial reporting, as defined in the Exchange Act Rule 13a-15(f). Management conducted an assessment of the Company’s internal control over financial reporting based on the framework established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framework). Based on the assessment, management concluded that, as of December 31, 2024, the Company’s internal control over financial reporting is effective. The Company’s registered public accounting firm’s attestation report on the Company’s internal control over financial reporting is provided in Part II, Item 8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Item 401 relating to executive officers is contained in Part I, Item 1 of this Annual Report on Form 10-K under the heading “Information about our Executive Officers” and with respect to other information relating to our directors will be set forth in our 2025 Proxy Statement under the caption “Proposal 1 — Election of Directors,” which will be filed no later than 120 days after the end of the fiscal year covered by this Annual Report on Form 10-K, and is incorporated herein by reference.</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all of our directors, officers and employees, including our principal executive officer and principal financial officer. A copy of our current Code of Ethics and Business Conduct is available on our website at www.protolabs.com under the Investors Relations section. We plan to post to our website at the address described above any future amendments or waivers of our Code of Ethics and Business Conduct.</w:t>
      </w:r>
    </w:p>
    <w:p>
      <w:pPr>
        <w:spacing w:after="0" w:line="1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additional information required by this item is incorporated herein by reference to the section titled “Corporate Governance” of our 2025 Proxy Statement, which will be filed no later than 120 days after the end of the fiscal year covered by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“Compensation Discussion and Analysis,” "Executive Compensation Tables," "Director Compensation" “Compensation and Talent Committee Interlocks and Insider Participation,” and “Compensation and Talent Committee Report” of our 2025 Proxy Statement, which will be filed no later than 120 days after the end of the fiscal year covered by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“Security Ownership of Certain Beneficial Owners and Management” and "Equity Compensation Plan Information" of our 2025 Proxy Statement, which will be filed no later than 120 days after the end of the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“Corporate Governance — Certain Relationships and Related Party Transactions” and “Corporate Governance — Director Independence” of our 2025 Proxy Statement, which will be filed no later than 120 days after the end of the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titled “Fees Paid to Independent Registered Public Accounting Firm” of our 2025 Proxy Statement, which will be filed no later than 120 days after the end of the fiscal year covered by this Annual Report on Form 10-K.</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Index to Consolidated Financial Statement at Item 8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left="1300" w:right="10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 or notes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the Exhibit Index immediately following the signature page of this Annual Report on Form 10-K.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2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7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Third Amended and Restated Articles of Incorporation of Proto Labs, Inc. (incorporated by reference to Exhibit 3.2 to the</w:t>
              </w:r>
            </w:hyperlink>
          </w:p>
        </w:tc>
        <w:tc>
          <w:tcPr>
            <w:tcW w:w="740" w:type="dxa"/>
            <w:vAlign w:val="bottom"/>
            <w:gridSpan w:val="11"/>
          </w:tcPr>
          <w:p>
            <w:pPr>
              <w:spacing w:after="0"/>
              <w:rPr>
                <w:sz w:val="19"/>
                <w:szCs w:val="19"/>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Company’s Registration Statement on Form S-1/A, filed on February 13, 2012.)</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7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Articles of Amendment to Third Amended and Restated Articles of Incorporation of Proto Labs, Inc. dated May 20, 2015</w:t>
              </w:r>
            </w:hyperlink>
          </w:p>
        </w:tc>
        <w:tc>
          <w:tcPr>
            <w:tcW w:w="760" w:type="dxa"/>
            <w:vAlign w:val="bottom"/>
            <w:gridSpan w:val="12"/>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(incorporated by reference to Exhibit 3.1 to the Company’s Form 8-K, filed with the Commission on May 21, 2015).</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Third Amended and Restated By-Laws of Proto Labs, Inc, as amended through November 15, 2022 (incorporated by reference to</w:t>
              </w:r>
            </w:hyperlink>
          </w:p>
        </w:tc>
      </w:tr>
      <w:tr>
        <w:trPr>
          <w:trHeight w:val="196"/>
        </w:trPr>
        <w:tc>
          <w:tcPr>
            <w:tcW w:w="1720" w:type="dxa"/>
            <w:vAlign w:val="bottom"/>
          </w:tcPr>
          <w:p>
            <w:pPr>
              <w:spacing w:after="0"/>
              <w:rPr>
                <w:sz w:val="17"/>
                <w:szCs w:val="17"/>
                <w:color w:val="auto"/>
              </w:rPr>
            </w:pPr>
          </w:p>
        </w:tc>
        <w:tc>
          <w:tcPr>
            <w:tcW w:w="932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Exhibit 3.2 to the Company’s Form 8-K, filed on November 15, 2022).</w:t>
              </w:r>
            </w:hyperlink>
          </w:p>
        </w:tc>
        <w:tc>
          <w:tcPr>
            <w:tcW w:w="200" w:type="dxa"/>
            <w:vAlign w:val="bottom"/>
            <w:gridSpan w:val="3"/>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certificate representing common shares of Proto Labs, Inc. (incorporated by reference to Exhibit 4.1 to the Company’s</w:t>
              </w:r>
            </w:hyperlink>
          </w:p>
        </w:tc>
      </w:tr>
      <w:tr>
        <w:trPr>
          <w:trHeight w:val="196"/>
        </w:trPr>
        <w:tc>
          <w:tcPr>
            <w:tcW w:w="1720" w:type="dxa"/>
            <w:vAlign w:val="bottom"/>
          </w:tcPr>
          <w:p>
            <w:pPr>
              <w:spacing w:after="0"/>
              <w:rPr>
                <w:sz w:val="17"/>
                <w:szCs w:val="17"/>
                <w:color w:val="auto"/>
              </w:rPr>
            </w:pPr>
          </w:p>
        </w:tc>
        <w:tc>
          <w:tcPr>
            <w:tcW w:w="482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Registration Statement on Form S-1/A, filed on February 1, 2012).</w:t>
              </w:r>
            </w:hyperlink>
          </w:p>
        </w:tc>
        <w:tc>
          <w:tcPr>
            <w:tcW w:w="4320" w:type="dxa"/>
            <w:vAlign w:val="bottom"/>
            <w:tcBorders>
              <w:top w:val="single" w:sz="8" w:color="0000FF"/>
            </w:tcBorders>
            <w:gridSpan w:val="13"/>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7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Description of Securities of Registrant</w:t>
              </w:r>
            </w:hyperlink>
          </w:p>
        </w:tc>
        <w:tc>
          <w:tcPr>
            <w:tcW w:w="6740" w:type="dxa"/>
            <w:vAlign w:val="bottom"/>
            <w:gridSpan w:val="22"/>
          </w:tcPr>
          <w:p>
            <w:pPr>
              <w:spacing w:after="0"/>
              <w:rPr>
                <w:sz w:val="21"/>
                <w:szCs w:val="2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2012 Long-Term Incentive Plan, as amended as of August 5, 2015 (incorporated by reference to Exhibit 10.1 to the Company’s</w:t>
              </w:r>
            </w:hyperlink>
          </w:p>
        </w:tc>
      </w:tr>
      <w:tr>
        <w:trPr>
          <w:trHeight w:val="196"/>
        </w:trPr>
        <w:tc>
          <w:tcPr>
            <w:tcW w:w="1720" w:type="dxa"/>
            <w:vAlign w:val="bottom"/>
          </w:tcPr>
          <w:p>
            <w:pPr>
              <w:spacing w:after="0"/>
              <w:rPr>
                <w:sz w:val="17"/>
                <w:szCs w:val="17"/>
                <w:color w:val="auto"/>
              </w:rPr>
            </w:pPr>
          </w:p>
        </w:tc>
        <w:tc>
          <w:tcPr>
            <w:tcW w:w="29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Form 10-Q, filed on November 3, 2015).</w:t>
              </w:r>
            </w:hyperlink>
          </w:p>
        </w:tc>
        <w:tc>
          <w:tcPr>
            <w:tcW w:w="6200" w:type="dxa"/>
            <w:vAlign w:val="bottom"/>
            <w:tcBorders>
              <w:top w:val="single" w:sz="8" w:color="0000FF"/>
            </w:tcBorders>
            <w:gridSpan w:val="15"/>
          </w:tcPr>
          <w:p>
            <w:pPr>
              <w:spacing w:after="0"/>
              <w:rPr>
                <w:sz w:val="17"/>
                <w:szCs w:val="17"/>
                <w:color w:val="auto"/>
              </w:rPr>
            </w:pPr>
          </w:p>
        </w:tc>
        <w:tc>
          <w:tcPr>
            <w:tcW w:w="360" w:type="dxa"/>
            <w:vAlign w:val="bottom"/>
            <w:gridSpan w:val="6"/>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Form of Incentive Stock Option Agreement under 2012 Long-Term Incentive Plan (incorporated by reference to Exhibit 10.14 to</w:t>
              </w:r>
            </w:hyperlink>
          </w:p>
        </w:tc>
        <w:tc>
          <w:tcPr>
            <w:tcW w:w="220" w:type="dxa"/>
            <w:vAlign w:val="bottom"/>
            <w:gridSpan w:val="4"/>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6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the Company’s Registration Statement on Form S-1/A, filed on February 13, 2012).</w:t>
              </w:r>
            </w:hyperlink>
          </w:p>
        </w:tc>
        <w:tc>
          <w:tcPr>
            <w:tcW w:w="3480" w:type="dxa"/>
            <w:vAlign w:val="bottom"/>
            <w:gridSpan w:val="17"/>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Form of Non-Statutory Stock Option Agreement (Directors) under 2012 Long-Term Incentive Plan (incorporated by reference to</w:t>
              </w:r>
            </w:hyperlink>
          </w:p>
        </w:tc>
        <w:tc>
          <w:tcPr>
            <w:tcW w:w="220" w:type="dxa"/>
            <w:vAlign w:val="bottom"/>
            <w:gridSpan w:val="4"/>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Exhibit 10.15 to the Company’s Registration Statement on Form S-1/A, filed on February 13, 2012).</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8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Form of Non-Statutory Stock Option Agreement (U.S. Employees) under 2012 Long-Term Incentive Plan (incorporated by</w:t>
              </w:r>
            </w:hyperlink>
          </w:p>
        </w:tc>
        <w:tc>
          <w:tcPr>
            <w:tcW w:w="640" w:type="dxa"/>
            <w:vAlign w:val="bottom"/>
            <w:gridSpan w:val="10"/>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10.16 to the Company’s Registration Statement on Form S-1/A, filed on February 13, 2012).</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Non-Statutory Stock Option Agreement (U.K. Employees) under 2012 Long-Term Incentive Plan (incorporated by</w:t>
              </w:r>
            </w:hyperlink>
          </w:p>
        </w:tc>
      </w:tr>
      <w:tr>
        <w:trPr>
          <w:trHeight w:val="196"/>
        </w:trPr>
        <w:tc>
          <w:tcPr>
            <w:tcW w:w="1720" w:type="dxa"/>
            <w:vAlign w:val="bottom"/>
          </w:tcPr>
          <w:p>
            <w:pPr>
              <w:spacing w:after="0"/>
              <w:rPr>
                <w:sz w:val="17"/>
                <w:szCs w:val="17"/>
                <w:color w:val="auto"/>
              </w:rPr>
            </w:pPr>
          </w:p>
        </w:tc>
        <w:tc>
          <w:tcPr>
            <w:tcW w:w="890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reference to Exhibit 10.17 to the Company’s Registration Statement on Form S-1/A, filed on February 13, 2012).</w:t>
              </w:r>
            </w:hyperlink>
          </w:p>
        </w:tc>
        <w:tc>
          <w:tcPr>
            <w:tcW w:w="620" w:type="dxa"/>
            <w:vAlign w:val="bottom"/>
            <w:gridSpan w:val="9"/>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Employee Stock Purchase Plan (incorporated by reference to Exhibit 10.18 to the Company’s Registration Statement on Form S-</w:t>
              </w:r>
            </w:hyperlink>
          </w:p>
        </w:tc>
      </w:tr>
      <w:tr>
        <w:trPr>
          <w:trHeight w:val="196"/>
        </w:trPr>
        <w:tc>
          <w:tcPr>
            <w:tcW w:w="172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1/A, filed on February 13, 2012).</w:t>
              </w:r>
            </w:hyperlink>
          </w:p>
        </w:tc>
        <w:tc>
          <w:tcPr>
            <w:tcW w:w="6880" w:type="dxa"/>
            <w:vAlign w:val="bottom"/>
            <w:tcBorders>
              <w:top w:val="single" w:sz="8" w:color="0000FF"/>
            </w:tcBorders>
            <w:gridSpan w:val="18"/>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3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Amended and Restated Credit Agreement, dated as of September 30, 2011, between Proto Labs, Inc. and Wells Fargo Bank, N.A.</w:t>
              </w:r>
            </w:hyperlink>
          </w:p>
        </w:tc>
        <w:tc>
          <w:tcPr>
            <w:tcW w:w="180" w:type="dxa"/>
            <w:vAlign w:val="bottom"/>
            <w:gridSpan w:val="2"/>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(incorporated by reference to Exhibit 10.19 to the Company’s Registration Statement on Form S-1/A, filed on October 26, 2011).</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740" w:type="dxa"/>
            <w:vAlign w:val="bottom"/>
            <w:gridSpan w:val="8"/>
            <w:shd w:val="clear" w:color="auto" w:fill="0000FF"/>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4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Credit Agreement, dated November 27, 2017, by and among Proto Labs and Wells Fargo Bank, National Association (incorporated</w:t>
              </w:r>
            </w:hyperlink>
          </w:p>
        </w:tc>
        <w:tc>
          <w:tcPr>
            <w:tcW w:w="60" w:type="dxa"/>
            <w:vAlign w:val="bottom"/>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62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by reference to Exhibit 10.1 to the Company’s Form 8-K, filed on December 1, 2017).</w:t>
              </w:r>
            </w:hyperlink>
          </w:p>
        </w:tc>
        <w:tc>
          <w:tcPr>
            <w:tcW w:w="3300" w:type="dxa"/>
            <w:vAlign w:val="bottom"/>
            <w:gridSpan w:val="16"/>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U.S. Severance Agreement (incorporated by reference to Exhibit 99.1 to the Company’s Form 8-K, filed on March 1,</w:t>
              </w:r>
            </w:hyperlink>
          </w:p>
        </w:tc>
      </w:tr>
      <w:tr>
        <w:trPr>
          <w:trHeight w:val="196"/>
        </w:trPr>
        <w:tc>
          <w:tcPr>
            <w:tcW w:w="172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2013).</w:t>
              </w:r>
            </w:hyperlink>
          </w:p>
        </w:tc>
        <w:tc>
          <w:tcPr>
            <w:tcW w:w="19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52"/>
        </w:trPr>
        <w:tc>
          <w:tcPr>
            <w:tcW w:w="1720" w:type="dxa"/>
            <w:vAlign w:val="bottom"/>
          </w:tcPr>
          <w:p>
            <w:pPr>
              <w:spacing w:after="0"/>
              <w:rPr>
                <w:sz w:val="24"/>
                <w:szCs w:val="24"/>
                <w:color w:val="auto"/>
              </w:rPr>
            </w:pPr>
          </w:p>
        </w:tc>
        <w:tc>
          <w:tcPr>
            <w:tcW w:w="4820" w:type="dxa"/>
            <w:vAlign w:val="bottom"/>
            <w:gridSpan w:val="5"/>
          </w:tcPr>
          <w:p>
            <w:pPr>
              <w:ind w:left="382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60"/>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40" w:type="dxa"/>
            <w:vAlign w:val="bottom"/>
          </w:tcPr>
          <w:p>
            <w:pPr>
              <w:spacing w:after="0"/>
              <w:rPr>
                <w:sz w:val="24"/>
                <w:szCs w:val="24"/>
                <w:color w:val="auto"/>
              </w:rPr>
            </w:pPr>
          </w:p>
        </w:tc>
        <w:tc>
          <w:tcPr>
            <w:tcW w:w="94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Form of UK Severance Agreement (incorporated by reference to Exhibit 10.2 to the Company’s Form 10-Q, filed on May 8, 2013).</w:t>
              </w:r>
            </w:hyperlink>
          </w:p>
        </w:tc>
        <w:tc>
          <w:tcPr>
            <w:tcW w:w="40" w:type="dxa"/>
            <w:vAlign w:val="bottom"/>
            <w:gridSpan w:val="2"/>
          </w:tcPr>
          <w:p>
            <w:pPr>
              <w:spacing w:after="0"/>
              <w:rPr>
                <w:sz w:val="24"/>
                <w:szCs w:val="24"/>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21"/>
                <w:szCs w:val="21"/>
                <w:color w:val="auto"/>
              </w:rPr>
            </w:pPr>
          </w:p>
        </w:tc>
        <w:tc>
          <w:tcPr>
            <w:tcW w:w="95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Amended and Restated Executive Employment Agreement, dated August 1, 2019, by and between Proto Labs, Inc. and Victoria M.</w:t>
              </w:r>
            </w:hyperlink>
          </w:p>
        </w:tc>
        <w:tc>
          <w:tcPr>
            <w:tcW w:w="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3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Holt (incorporated by reference to Exhibit 10.1 to the Company’s Form 8-K, filed on August 2, 2019).</w:t>
              </w:r>
            </w:hyperlink>
          </w:p>
        </w:tc>
        <w:tc>
          <w:tcPr>
            <w:tcW w:w="2140" w:type="dxa"/>
            <w:vAlign w:val="bottom"/>
            <w:gridSpan w:val="17"/>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40" w:type="dxa"/>
            <w:vAlign w:val="bottom"/>
          </w:tcPr>
          <w:p>
            <w:pPr>
              <w:spacing w:after="0"/>
              <w:rPr>
                <w:sz w:val="21"/>
                <w:szCs w:val="21"/>
                <w:color w:val="auto"/>
              </w:rPr>
            </w:pPr>
          </w:p>
        </w:tc>
        <w:tc>
          <w:tcPr>
            <w:tcW w:w="93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Form of Restricted Stock Agreement under 2012 Long-Term Incentive Plan for the initial grant to Victoria M. Holt (incorporated</w:t>
              </w:r>
            </w:hyperlink>
          </w:p>
        </w:tc>
        <w:tc>
          <w:tcPr>
            <w:tcW w:w="200" w:type="dxa"/>
            <w:vAlign w:val="bottom"/>
            <w:gridSpan w:val="8"/>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by reference to Exhibit 10.2 to the Company’s Form 8-K, filed on February 6, 2014).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spacing w:after="0"/>
              <w:rPr>
                <w:sz w:val="21"/>
                <w:szCs w:val="21"/>
                <w:color w:val="auto"/>
              </w:rPr>
            </w:pPr>
          </w:p>
        </w:tc>
        <w:tc>
          <w:tcPr>
            <w:tcW w:w="93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Form of Restricted Stock Unit Agreement under 2012 Long-Term Incentive Plan (U.S. Employees) (incorporated by reference to</w:t>
              </w:r>
            </w:hyperlink>
          </w:p>
        </w:tc>
        <w:tc>
          <w:tcPr>
            <w:tcW w:w="200" w:type="dxa"/>
            <w:vAlign w:val="bottom"/>
            <w:gridSpan w:val="8"/>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Exhibit 10.1 to the Company’s Form 8-K, filed on February 12, 2014).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Restricted Stock Unit Agreement under 2012 Long-Term Incentive Plan (U.K. Employees) (incorporated by reference to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Exhibit 10.2 to the Company’s Form 8-K, filed on February 12, 2014).</w:t>
              </w:r>
            </w:hyperlink>
          </w:p>
        </w:tc>
        <w:tc>
          <w:tcPr>
            <w:tcW w:w="200" w:type="dxa"/>
            <w:vAlign w:val="bottom"/>
            <w:gridSpan w:val="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40" w:type="dxa"/>
            <w:vAlign w:val="bottom"/>
          </w:tcPr>
          <w:p>
            <w:pPr>
              <w:spacing w:after="0"/>
              <w:rPr>
                <w:sz w:val="21"/>
                <w:szCs w:val="21"/>
                <w:color w:val="auto"/>
              </w:rPr>
            </w:pPr>
          </w:p>
        </w:tc>
        <w:tc>
          <w:tcPr>
            <w:tcW w:w="93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Form of Restricted Stock Unit Agreement under 2012 Long-Term Incentive Plan (Directors) (incorporated by reference to Exhibit</w:t>
              </w:r>
            </w:hyperlink>
          </w:p>
        </w:tc>
        <w:tc>
          <w:tcPr>
            <w:tcW w:w="140" w:type="dxa"/>
            <w:vAlign w:val="bottom"/>
            <w:gridSpan w:val="5"/>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to the Company’s Registration Statement on Form S-8, filed on March 3, 2014).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tcPr>
          <w:p>
            <w:pPr>
              <w:spacing w:after="0"/>
              <w:rPr>
                <w:sz w:val="21"/>
                <w:szCs w:val="21"/>
                <w:color w:val="auto"/>
              </w:rPr>
            </w:pPr>
          </w:p>
        </w:tc>
        <w:tc>
          <w:tcPr>
            <w:tcW w:w="95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Consulting Agreement, dated February 4, 2021, by and between Proto Labs, Inc. and Victoria M. Holt (incorporated by reference to</w:t>
              </w:r>
            </w:hyperlink>
          </w:p>
        </w:tc>
        <w:tc>
          <w:tcPr>
            <w:tcW w:w="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Exhibit 10.2 to the Company’s Form 8-K, filed on February 4, 2021).</w:t>
              </w:r>
            </w:hyperlink>
          </w:p>
        </w:tc>
        <w:tc>
          <w:tcPr>
            <w:tcW w:w="4520" w:type="dxa"/>
            <w:vAlign w:val="bottom"/>
            <w:gridSpan w:val="23"/>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tcPr>
          <w:p>
            <w:pPr>
              <w:spacing w:after="0"/>
              <w:rPr>
                <w:sz w:val="21"/>
                <w:szCs w:val="21"/>
                <w:color w:val="auto"/>
              </w:rPr>
            </w:pPr>
          </w:p>
        </w:tc>
        <w:tc>
          <w:tcPr>
            <w:tcW w:w="92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Form of Performance Stock Unit Agreement under 2012 Long-Term Incentive Plan (incorporated by reference to Exhibit 10.1 to</w:t>
              </w:r>
            </w:hyperlink>
          </w:p>
        </w:tc>
        <w:tc>
          <w:tcPr>
            <w:tcW w:w="240" w:type="dxa"/>
            <w:vAlign w:val="bottom"/>
            <w:gridSpan w:val="10"/>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the Company’s Form 8-K, filed on February 17, 2017).</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Deferred Stock Unit Agreement under 2012 Long-Term Incentive Plan (incorporated by reference to Exhibit 10.1 to the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Company’s Form 10-Q, filed on August 1, 2018).</w:t>
              </w:r>
            </w:hyperlink>
          </w:p>
        </w:tc>
        <w:tc>
          <w:tcPr>
            <w:tcW w:w="5680" w:type="dxa"/>
            <w:vAlign w:val="bottom"/>
            <w:tcBorders>
              <w:top w:val="single" w:sz="8" w:color="0000FF"/>
            </w:tcBorders>
            <w:gridSpan w:val="17"/>
          </w:tcPr>
          <w:p>
            <w:pPr>
              <w:spacing w:after="0"/>
              <w:rPr>
                <w:sz w:val="17"/>
                <w:szCs w:val="17"/>
                <w:color w:val="auto"/>
              </w:rPr>
            </w:pPr>
          </w:p>
        </w:tc>
        <w:tc>
          <w:tcPr>
            <w:tcW w:w="260" w:type="dxa"/>
            <w:vAlign w:val="bottom"/>
            <w:gridSpan w:val="11"/>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Executive Severance Agreement (incorporated by reference to Exhibit 99.2 to the Company’s Form 8-K, filed on June 6,</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2022).</w:t>
              </w:r>
            </w:hyperlink>
          </w:p>
        </w:tc>
        <w:tc>
          <w:tcPr>
            <w:tcW w:w="3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440" w:type="dxa"/>
            <w:vAlign w:val="bottom"/>
          </w:tcPr>
          <w:p>
            <w:pPr>
              <w:spacing w:after="0"/>
              <w:rPr>
                <w:sz w:val="21"/>
                <w:szCs w:val="21"/>
                <w:color w:val="auto"/>
              </w:rPr>
            </w:pPr>
          </w:p>
        </w:tc>
        <w:tc>
          <w:tcPr>
            <w:tcW w:w="9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Executive Employment Agreement, dated January 29, 2021, by and between Proto Labs, Inc. and Robert Bodor (incorporated by</w:t>
              </w:r>
            </w:hyperlink>
          </w:p>
        </w:tc>
        <w:tc>
          <w:tcPr>
            <w:tcW w:w="220" w:type="dxa"/>
            <w:vAlign w:val="bottom"/>
            <w:gridSpan w:val="9"/>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reference to Exhibit 10.1 to the Company’s Form 8-K, filed on February 4, 2021).</w:t>
              </w:r>
            </w:hyperlink>
          </w:p>
        </w:tc>
        <w:tc>
          <w:tcPr>
            <w:tcW w:w="3620" w:type="dxa"/>
            <w:vAlign w:val="bottom"/>
            <w:gridSpan w:val="19"/>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440" w:type="dxa"/>
            <w:vAlign w:val="bottom"/>
          </w:tcPr>
          <w:p>
            <w:pPr>
              <w:spacing w:after="0"/>
              <w:rPr>
                <w:sz w:val="21"/>
                <w:szCs w:val="21"/>
                <w:color w:val="auto"/>
              </w:rPr>
            </w:pPr>
          </w:p>
        </w:tc>
        <w:tc>
          <w:tcPr>
            <w:tcW w:w="94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Amended and Restated Proto Labs, Inc. 2022 Long-Term Incentive Plan (as amended on May 23, 2024) (incorporated by reference</w:t>
              </w:r>
            </w:hyperlink>
          </w:p>
        </w:tc>
        <w:tc>
          <w:tcPr>
            <w:tcW w:w="60" w:type="dxa"/>
            <w:vAlign w:val="bottom"/>
            <w:gridSpan w:val="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to Exhibit 10.1 to the Company's Form 10-Q filed on August 2, 2024)</w:t>
              </w:r>
            </w:hyperlink>
          </w:p>
        </w:tc>
        <w:tc>
          <w:tcPr>
            <w:tcW w:w="4440" w:type="dxa"/>
            <w:vAlign w:val="bottom"/>
            <w:gridSpan w:val="22"/>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440" w:type="dxa"/>
            <w:vAlign w:val="bottom"/>
          </w:tcPr>
          <w:p>
            <w:pPr>
              <w:spacing w:after="0"/>
              <w:rPr>
                <w:sz w:val="21"/>
                <w:szCs w:val="21"/>
                <w:color w:val="auto"/>
              </w:rPr>
            </w:pPr>
          </w:p>
        </w:tc>
        <w:tc>
          <w:tcPr>
            <w:tcW w:w="94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Form of Incentive Stock Option Agreement under the 2022 Long-Term Incentive Plan (incorporated by reference to Exhibit 10.2 to</w:t>
              </w:r>
            </w:hyperlink>
          </w:p>
        </w:tc>
        <w:tc>
          <w:tcPr>
            <w:tcW w:w="40" w:type="dxa"/>
            <w:vAlign w:val="bottom"/>
            <w:gridSpan w:val="2"/>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the Company’s Form 8-K, filed on August 30, 2022).</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Non-Statutory Stock Option Agreement (Directors) under the 2022 Long-Term Incentive Plan (incorporated by reference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6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to Exhibit 10.3 to the Company’s Form 8-K, filed on August 30, 2022).</w:t>
              </w:r>
            </w:hyperlink>
          </w:p>
        </w:tc>
        <w:tc>
          <w:tcPr>
            <w:tcW w:w="16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Non-Statutory Stock Option Agreement (U.S. Employees) under the 2022 Long-Term Incentive Plan (incorporated by</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reference to Exhibit 10.4 to the Company’s Form 8-K, filed on August 30, 2022).</w:t>
              </w:r>
            </w:hyperlink>
          </w:p>
        </w:tc>
        <w:tc>
          <w:tcPr>
            <w:tcW w:w="3280" w:type="dxa"/>
            <w:vAlign w:val="bottom"/>
            <w:tcBorders>
              <w:top w:val="single" w:sz="8" w:color="0000FF"/>
            </w:tcBorders>
            <w:gridSpan w:val="5"/>
          </w:tcPr>
          <w:p>
            <w:pPr>
              <w:spacing w:after="0"/>
              <w:rPr>
                <w:sz w:val="17"/>
                <w:szCs w:val="17"/>
                <w:color w:val="auto"/>
              </w:rPr>
            </w:pPr>
          </w:p>
        </w:tc>
        <w:tc>
          <w:tcPr>
            <w:tcW w:w="380" w:type="dxa"/>
            <w:vAlign w:val="bottom"/>
            <w:gridSpan w:val="15"/>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440" w:type="dxa"/>
            <w:vAlign w:val="bottom"/>
          </w:tcPr>
          <w:p>
            <w:pPr>
              <w:spacing w:after="0"/>
              <w:rPr>
                <w:sz w:val="21"/>
                <w:szCs w:val="21"/>
                <w:color w:val="auto"/>
              </w:rPr>
            </w:pPr>
          </w:p>
        </w:tc>
        <w:tc>
          <w:tcPr>
            <w:tcW w:w="91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Form of Non-Statutory Stock Option Agreement (U.K. Employees) under the 2022 Long-Term Incentive Plan (incorporated by</w:t>
              </w:r>
            </w:hyperlink>
          </w:p>
        </w:tc>
        <w:tc>
          <w:tcPr>
            <w:tcW w:w="340" w:type="dxa"/>
            <w:vAlign w:val="bottom"/>
            <w:gridSpan w:val="14"/>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reference to Exhibit 10.5 to the Company’s Form 8-K, filed on August 30, 2022).</w:t>
              </w:r>
            </w:hyperlink>
          </w:p>
        </w:tc>
        <w:tc>
          <w:tcPr>
            <w:tcW w:w="3660" w:type="dxa"/>
            <w:vAlign w:val="bottom"/>
            <w:gridSpan w:val="20"/>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Restricted Stock Unit Award Agreement under the 2022 Long-Term Incentive Plan (U.S. Employees) (incorporated by</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reference to Exhibit 10.6 to the Company’s Form 8-K, filed on August 30, 2022).</w:t>
              </w:r>
            </w:hyperlink>
          </w:p>
        </w:tc>
        <w:tc>
          <w:tcPr>
            <w:tcW w:w="3320" w:type="dxa"/>
            <w:vAlign w:val="bottom"/>
            <w:tcBorders>
              <w:top w:val="single" w:sz="8" w:color="0000FF"/>
            </w:tcBorders>
            <w:gridSpan w:val="6"/>
          </w:tcPr>
          <w:p>
            <w:pPr>
              <w:spacing w:after="0"/>
              <w:rPr>
                <w:sz w:val="17"/>
                <w:szCs w:val="17"/>
                <w:color w:val="auto"/>
              </w:rPr>
            </w:pPr>
          </w:p>
        </w:tc>
        <w:tc>
          <w:tcPr>
            <w:tcW w:w="340" w:type="dxa"/>
            <w:vAlign w:val="bottom"/>
            <w:gridSpan w:val="14"/>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440" w:type="dxa"/>
            <w:vAlign w:val="bottom"/>
          </w:tcPr>
          <w:p>
            <w:pPr>
              <w:spacing w:after="0"/>
              <w:rPr>
                <w:sz w:val="21"/>
                <w:szCs w:val="21"/>
                <w:color w:val="auto"/>
              </w:rPr>
            </w:pPr>
          </w:p>
        </w:tc>
        <w:tc>
          <w:tcPr>
            <w:tcW w:w="92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Form of Restricted Stock Unit Award Agreement under the 2022 Long-Term Incentive Plan (U.K. Employees) (incorporated by</w:t>
              </w:r>
            </w:hyperlink>
          </w:p>
        </w:tc>
        <w:tc>
          <w:tcPr>
            <w:tcW w:w="300" w:type="dxa"/>
            <w:vAlign w:val="bottom"/>
            <w:gridSpan w:val="1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reference to Exhibit 10.7 to the Company’s Form 8-K, filed on August 30, 2022).</w:t>
              </w:r>
            </w:hyperlink>
          </w:p>
        </w:tc>
        <w:tc>
          <w:tcPr>
            <w:tcW w:w="3660" w:type="dxa"/>
            <w:vAlign w:val="bottom"/>
            <w:gridSpan w:val="20"/>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Restricted Stock Unit Award Agreement under the 2022 Long-Term Incentive Plan (Directors) (incorporated by reference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to Exhibit 10.8 to the Company’s Form 8-K, filed on August 30, 2022).</w:t>
              </w:r>
            </w:hyperlink>
          </w:p>
        </w:tc>
        <w:tc>
          <w:tcPr>
            <w:tcW w:w="12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Performance Stock Unit Award Agreement under the 2022 Long-Term Incentive Plan (incorporated by reference to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Exhibit 10.9 to the Company’s Form 8-K, filed on August 30, 2022).</w:t>
              </w:r>
            </w:hyperlink>
          </w:p>
        </w:tc>
        <w:tc>
          <w:tcPr>
            <w:tcW w:w="3980" w:type="dxa"/>
            <w:vAlign w:val="bottom"/>
            <w:tcBorders>
              <w:top w:val="single" w:sz="8" w:color="0000FF"/>
            </w:tcBorders>
            <w:gridSpan w:val="8"/>
          </w:tcPr>
          <w:p>
            <w:pPr>
              <w:spacing w:after="0"/>
              <w:rPr>
                <w:sz w:val="17"/>
                <w:szCs w:val="17"/>
                <w:color w:val="auto"/>
              </w:rPr>
            </w:pPr>
          </w:p>
        </w:tc>
        <w:tc>
          <w:tcPr>
            <w:tcW w:w="580" w:type="dxa"/>
            <w:vAlign w:val="bottom"/>
            <w:gridSpan w:val="16"/>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440" w:type="dxa"/>
            <w:vAlign w:val="bottom"/>
          </w:tcPr>
          <w:p>
            <w:pPr>
              <w:spacing w:after="0"/>
              <w:rPr>
                <w:sz w:val="21"/>
                <w:szCs w:val="21"/>
                <w:color w:val="auto"/>
              </w:rPr>
            </w:pPr>
          </w:p>
        </w:tc>
        <w:tc>
          <w:tcPr>
            <w:tcW w:w="92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Form of Deferred Stock Unit Award Agreement under the 2022 Long-Term Incentive Plan (incorporated by reference to Exhibit</w:t>
              </w:r>
            </w:hyperlink>
          </w:p>
        </w:tc>
        <w:tc>
          <w:tcPr>
            <w:tcW w:w="280" w:type="dxa"/>
            <w:vAlign w:val="bottom"/>
            <w:gridSpan w:val="12"/>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FF"/>
                </w:rPr>
                <w:t xml:space="preserve"> to the Company’s Form 8-K, filed on August 30, 2022).</w:t>
              </w:r>
            </w:hyperlink>
          </w:p>
        </w:tc>
      </w:tr>
      <w:tr>
        <w:trPr>
          <w:trHeight w:val="952"/>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80" w:type="dxa"/>
            <w:vAlign w:val="bottom"/>
            <w:tcBorders>
              <w:top w:val="single" w:sz="8" w:color="0000FF"/>
            </w:tcBorders>
            <w:gridSpan w:val="5"/>
          </w:tcPr>
          <w:p>
            <w:pPr>
              <w:ind w:left="3820"/>
              <w:spacing w:after="0"/>
              <w:rPr>
                <w:sz w:val="20"/>
                <w:szCs w:val="20"/>
                <w:color w:val="auto"/>
              </w:rPr>
            </w:pPr>
            <w:r>
              <w:rPr>
                <w:rFonts w:ascii="Times New Roman" w:cs="Times New Roman" w:eastAsia="Times New Roman" w:hAnsi="Times New Roman"/>
                <w:sz w:val="18"/>
                <w:szCs w:val="18"/>
                <w:color w:val="auto"/>
              </w:rPr>
              <w:t>79</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420" w:type="dxa"/>
            <w:vAlign w:val="bottom"/>
            <w:gridSpan w:val="16"/>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Restricted Stock Unit Agreement Grant Notice under the Amended and Restated 2022 Long-Term Incentive Plan (Non-</w:t>
              </w:r>
            </w:hyperlink>
          </w:p>
        </w:tc>
      </w:tr>
      <w:tr>
        <w:trPr>
          <w:trHeight w:val="196"/>
        </w:trPr>
        <w:tc>
          <w:tcPr>
            <w:tcW w:w="1700" w:type="dxa"/>
            <w:vAlign w:val="bottom"/>
          </w:tcPr>
          <w:p>
            <w:pPr>
              <w:spacing w:after="0"/>
              <w:rPr>
                <w:sz w:val="17"/>
                <w:szCs w:val="17"/>
                <w:color w:val="auto"/>
              </w:rPr>
            </w:pPr>
          </w:p>
        </w:tc>
        <w:tc>
          <w:tcPr>
            <w:tcW w:w="854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employee Director) (incorporated by reference to Exhibit 10.2 to the Company's Form 10-Q, filed on August 2, 2024).</w:t>
              </w:r>
            </w:hyperlink>
          </w:p>
        </w:tc>
        <w:tc>
          <w:tcPr>
            <w:tcW w:w="720" w:type="dxa"/>
            <w:vAlign w:val="bottom"/>
            <w:tcBorders>
              <w:top w:val="single" w:sz="8" w:color="0000FF"/>
            </w:tcBorders>
            <w:gridSpan w:val="3"/>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1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Form of Deferred Stock Unit Agreement Grant Notice under the Amended and Restated 2022 Long-Term Incentive Plan (Non-</w:t>
              </w:r>
            </w:hyperlink>
          </w:p>
        </w:tc>
        <w:tc>
          <w:tcPr>
            <w:tcW w:w="240" w:type="dxa"/>
            <w:vAlign w:val="bottom"/>
            <w:gridSpan w:val="3"/>
          </w:tcPr>
          <w:p>
            <w:pPr>
              <w:spacing w:after="0"/>
              <w:rPr>
                <w:sz w:val="21"/>
                <w:szCs w:val="21"/>
                <w:color w:val="auto"/>
              </w:rPr>
            </w:pPr>
          </w:p>
        </w:tc>
      </w:tr>
      <w:tr>
        <w:trPr>
          <w:trHeight w:val="196"/>
        </w:trPr>
        <w:tc>
          <w:tcPr>
            <w:tcW w:w="1700" w:type="dxa"/>
            <w:vAlign w:val="bottom"/>
          </w:tcPr>
          <w:p>
            <w:pPr>
              <w:spacing w:after="0"/>
              <w:rPr>
                <w:sz w:val="17"/>
                <w:szCs w:val="17"/>
                <w:color w:val="auto"/>
              </w:rPr>
            </w:pPr>
          </w:p>
        </w:tc>
        <w:tc>
          <w:tcPr>
            <w:tcW w:w="9420" w:type="dxa"/>
            <w:vAlign w:val="bottom"/>
            <w:gridSpan w:val="16"/>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 xml:space="preserve">Employee Director) </w:t>
              </w:r>
              <w:r>
                <w:rPr>
                  <w:rFonts w:ascii="Times New Roman" w:cs="Times New Roman" w:eastAsia="Times New Roman" w:hAnsi="Times New Roman"/>
                  <w:sz w:val="18"/>
                  <w:szCs w:val="18"/>
                  <w:u w:val="single" w:color="auto"/>
                  <w:color w:val="0000FF"/>
                </w:rPr>
                <w:t>(incorporated</w:t>
              </w:r>
              <w:r>
                <w:rPr>
                  <w:rFonts w:ascii="Times New Roman" w:cs="Times New Roman" w:eastAsia="Times New Roman" w:hAnsi="Times New Roman"/>
                  <w:sz w:val="18"/>
                  <w:szCs w:val="18"/>
                  <w:color w:val="0000FF"/>
                </w:rPr>
                <w:t xml:space="preserve"> by reference to Exhibit 10.3 to the Company's Form 10-Q, filed on August 2, 2024)</w:t>
              </w:r>
              <w:r>
                <w:rPr>
                  <w:rFonts w:ascii="Times New Roman" w:cs="Times New Roman" w:eastAsia="Times New Roman" w:hAnsi="Times New Roman"/>
                  <w:sz w:val="18"/>
                  <w:szCs w:val="18"/>
                  <w:color w:val="000000"/>
                </w:rPr>
                <w:t>.</w:t>
              </w:r>
            </w:hyperlink>
          </w:p>
        </w:tc>
      </w:tr>
      <w:tr>
        <w:trPr>
          <w:trHeight w:val="20"/>
        </w:trPr>
        <w:tc>
          <w:tcPr>
            <w:tcW w:w="1700" w:type="dxa"/>
            <w:vAlign w:val="bottom"/>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4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Settlement Agreement, fully executed on October 1, 2024 between Proto Labs, Inc., Proto Labs Germany GmbH and Bjoern Klaas</w:t>
              </w:r>
            </w:hyperlink>
          </w:p>
        </w:tc>
      </w:tr>
      <w:tr>
        <w:trPr>
          <w:trHeight w:val="196"/>
        </w:trPr>
        <w:tc>
          <w:tcPr>
            <w:tcW w:w="1700" w:type="dxa"/>
            <w:vAlign w:val="bottom"/>
          </w:tcPr>
          <w:p>
            <w:pPr>
              <w:spacing w:after="0"/>
              <w:rPr>
                <w:sz w:val="17"/>
                <w:szCs w:val="17"/>
                <w:color w:val="auto"/>
              </w:rPr>
            </w:pPr>
          </w:p>
        </w:tc>
        <w:tc>
          <w:tcPr>
            <w:tcW w:w="9420" w:type="dxa"/>
            <w:vAlign w:val="bottom"/>
            <w:gridSpan w:val="16"/>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(incorporated by reference to Exhibit 10.1 to the Company's Form 8-K, filed on October 7, 2024)</w:t>
              </w:r>
              <w:r>
                <w:rPr>
                  <w:rFonts w:ascii="Times New Roman" w:cs="Times New Roman" w:eastAsia="Times New Roman" w:hAnsi="Times New Roman"/>
                  <w:sz w:val="18"/>
                  <w:szCs w:val="18"/>
                  <w:color w:val="000000"/>
                </w:rPr>
                <w:t>.</w:t>
              </w:r>
            </w:hyperlink>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28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Proto Labs, Inc. Insider Trading Policy</w:t>
            </w:r>
          </w:p>
        </w:tc>
        <w:tc>
          <w:tcPr>
            <w:tcW w:w="4180" w:type="dxa"/>
            <w:vAlign w:val="bottom"/>
            <w:tcBorders>
              <w:top w:val="single" w:sz="8" w:color="0000FF"/>
            </w:tcBorders>
            <w:gridSpan w:val="4"/>
          </w:tcPr>
          <w:p>
            <w:pPr>
              <w:spacing w:after="0"/>
              <w:rPr>
                <w:sz w:val="21"/>
                <w:szCs w:val="21"/>
                <w:color w:val="auto"/>
              </w:rPr>
            </w:pPr>
          </w:p>
        </w:tc>
        <w:tc>
          <w:tcPr>
            <w:tcW w:w="2420" w:type="dxa"/>
            <w:vAlign w:val="bottom"/>
            <w:gridSpan w:val="7"/>
          </w:tcPr>
          <w:p>
            <w:pPr>
              <w:spacing w:after="0"/>
              <w:rPr>
                <w:sz w:val="21"/>
                <w:szCs w:val="2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19.2</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Proto Labs, Inc. Supplement to Insider Trading Policy</w:t>
            </w: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Subsidiaries of Proto Labs, Inc.</w:t>
            </w:r>
          </w:p>
        </w:tc>
        <w:tc>
          <w:tcPr>
            <w:tcW w:w="1620" w:type="dxa"/>
            <w:vAlign w:val="bottom"/>
            <w:tcBorders>
              <w:top w:val="single" w:sz="8" w:color="0000FF"/>
            </w:tcBorders>
            <w:gridSpan w:val="2"/>
          </w:tcPr>
          <w:p>
            <w:pPr>
              <w:spacing w:after="0"/>
              <w:rPr>
                <w:sz w:val="21"/>
                <w:szCs w:val="21"/>
                <w:color w:val="auto"/>
              </w:rPr>
            </w:pPr>
          </w:p>
        </w:tc>
        <w:tc>
          <w:tcPr>
            <w:tcW w:w="5520" w:type="dxa"/>
            <w:vAlign w:val="bottom"/>
            <w:gridSpan w:val="10"/>
          </w:tcPr>
          <w:p>
            <w:pPr>
              <w:spacing w:after="0"/>
              <w:rPr>
                <w:sz w:val="21"/>
                <w:szCs w:val="2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4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Powers of Attorney</w:t>
            </w:r>
          </w:p>
        </w:tc>
        <w:tc>
          <w:tcPr>
            <w:tcW w:w="800" w:type="dxa"/>
            <w:vAlign w:val="bottom"/>
            <w:tcBorders>
              <w:top w:val="single" w:sz="8" w:color="0000FF"/>
            </w:tcBorders>
            <w:gridSpan w:val="3"/>
          </w:tcPr>
          <w:p>
            <w:pPr>
              <w:spacing w:after="0"/>
              <w:rPr>
                <w:sz w:val="21"/>
                <w:szCs w:val="21"/>
                <w:color w:val="auto"/>
              </w:rPr>
            </w:pPr>
          </w:p>
        </w:tc>
        <w:tc>
          <w:tcPr>
            <w:tcW w:w="7140" w:type="dxa"/>
            <w:vAlign w:val="bottom"/>
            <w:gridSpan w:val="12"/>
          </w:tcPr>
          <w:p>
            <w:pPr>
              <w:spacing w:after="0"/>
              <w:rPr>
                <w:sz w:val="21"/>
                <w:szCs w:val="2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 Sarbanes-Oxley Act</w:t>
            </w:r>
          </w:p>
        </w:tc>
        <w:tc>
          <w:tcPr>
            <w:tcW w:w="2560" w:type="dxa"/>
            <w:vAlign w:val="bottom"/>
            <w:gridSpan w:val="8"/>
          </w:tcPr>
          <w:p>
            <w:pPr>
              <w:spacing w:after="0"/>
              <w:rPr>
                <w:sz w:val="21"/>
                <w:szCs w:val="2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Sarbanes-Oxley Act</w:t>
            </w:r>
          </w:p>
        </w:tc>
      </w:tr>
      <w:tr>
        <w:trPr>
          <w:trHeight w:val="20"/>
        </w:trPr>
        <w:tc>
          <w:tcPr>
            <w:tcW w:w="1700" w:type="dxa"/>
            <w:vAlign w:val="bottom"/>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800" w:type="dxa"/>
            <w:vAlign w:val="bottom"/>
            <w:gridSpan w:val="4"/>
            <w:shd w:val="clear" w:color="auto" w:fill="0000FF"/>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the Chief Financial Officer pursuant to Section 906 of the Sarbanes-Oxley Act</w:t>
            </w:r>
          </w:p>
        </w:tc>
      </w:tr>
      <w:tr>
        <w:trPr>
          <w:trHeight w:val="20"/>
        </w:trPr>
        <w:tc>
          <w:tcPr>
            <w:tcW w:w="1700" w:type="dxa"/>
            <w:vAlign w:val="bottom"/>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7140" w:type="dxa"/>
            <w:vAlign w:val="bottom"/>
            <w:gridSpan w:val="9"/>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3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Proto Labs, Inc. Required Compensation Recovery Policy (incorporated by reference to Exhibit 97 to the Company's Form 10-K,</w:t>
              </w:r>
            </w:hyperlink>
          </w:p>
        </w:tc>
        <w:tc>
          <w:tcPr>
            <w:tcW w:w="100" w:type="dxa"/>
            <w:vAlign w:val="bottom"/>
          </w:tcPr>
          <w:p>
            <w:pPr>
              <w:spacing w:after="0"/>
              <w:rPr>
                <w:sz w:val="21"/>
                <w:szCs w:val="21"/>
                <w:color w:val="auto"/>
              </w:rPr>
            </w:pPr>
          </w:p>
        </w:tc>
      </w:tr>
      <w:tr>
        <w:trPr>
          <w:trHeight w:val="196"/>
        </w:trPr>
        <w:tc>
          <w:tcPr>
            <w:tcW w:w="1700" w:type="dxa"/>
            <w:vAlign w:val="bottom"/>
          </w:tcPr>
          <w:p>
            <w:pPr>
              <w:spacing w:after="0"/>
              <w:rPr>
                <w:sz w:val="17"/>
                <w:szCs w:val="17"/>
                <w:color w:val="auto"/>
              </w:rPr>
            </w:pPr>
          </w:p>
        </w:tc>
        <w:tc>
          <w:tcPr>
            <w:tcW w:w="20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filed on February 16, 2024)</w:t>
              </w:r>
            </w:hyperlink>
          </w:p>
        </w:tc>
        <w:tc>
          <w:tcPr>
            <w:tcW w:w="7420" w:type="dxa"/>
            <w:vAlign w:val="bottom"/>
            <w:gridSpan w:val="13"/>
          </w:tcPr>
          <w:p>
            <w:pPr>
              <w:spacing w:after="0"/>
              <w:rPr>
                <w:sz w:val="17"/>
                <w:szCs w:val="17"/>
                <w:color w:val="auto"/>
              </w:rPr>
            </w:pPr>
          </w:p>
        </w:tc>
      </w:tr>
      <w:tr>
        <w:trPr>
          <w:trHeight w:val="27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w:t>
            </w:r>
          </w:p>
        </w:tc>
      </w:tr>
      <w:tr>
        <w:trPr>
          <w:trHeight w:val="234"/>
        </w:trPr>
        <w:tc>
          <w:tcPr>
            <w:tcW w:w="1700" w:type="dxa"/>
            <w:vAlign w:val="bottom"/>
          </w:tcPr>
          <w:p>
            <w:pPr>
              <w:spacing w:after="0"/>
              <w:rPr>
                <w:sz w:val="20"/>
                <w:szCs w:val="20"/>
                <w:color w:val="auto"/>
              </w:rPr>
            </w:pP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-3350895</wp:posOffset>
            </wp:positionV>
            <wp:extent cx="381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29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 or arrangement.</w:t>
      </w:r>
    </w:p>
    <w:p>
      <w:pPr>
        <w:spacing w:after="0" w:line="225" w:lineRule="exact"/>
        <w:rPr>
          <w:sz w:val="20"/>
          <w:szCs w:val="20"/>
          <w:color w:val="auto"/>
        </w:rPr>
      </w:pPr>
    </w:p>
    <w:p>
      <w:pPr>
        <w:ind w:left="260" w:hanging="252"/>
        <w:spacing w:after="0" w:line="261"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80" w:lineRule="exact"/>
        <w:rPr>
          <w:sz w:val="20"/>
          <w:szCs w:val="20"/>
          <w:color w:val="auto"/>
        </w:rPr>
      </w:pPr>
    </w:p>
    <w:p>
      <w:pPr>
        <w:ind w:left="260" w:right="280" w:hanging="252"/>
        <w:spacing w:after="0" w:line="266" w:lineRule="auto"/>
        <w:tabs>
          <w:tab w:leader="none" w:pos="2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of this data are advised that,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 under these sections.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Proto Labs, Inc.</w:t>
      </w:r>
    </w:p>
    <w:p>
      <w:pPr>
        <w:spacing w:after="0" w:line="333"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Robert Bodor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Daniel Schumacher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28"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16"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Robert Bodor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Daniel Schumacher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Chairman of the Board of Directors:</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Rainer Gawlick*</w:t>
      </w:r>
    </w:p>
    <w:p>
      <w:pPr>
        <w:spacing w:after="0" w:line="3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Archie C. Black*</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Sujeet Chand*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Moonhie Chin*</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Stacy Greiner*</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Donald G. Krantz*</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Sven A. Wehrwein*</w:t>
      </w:r>
    </w:p>
    <w:p>
      <w:pPr>
        <w:spacing w:after="0" w:line="315" w:lineRule="exact"/>
        <w:rPr>
          <w:sz w:val="20"/>
          <w:szCs w:val="20"/>
          <w:color w:val="auto"/>
        </w:rPr>
      </w:pPr>
    </w:p>
    <w:p>
      <w:pPr>
        <w:ind w:right="420" w:firstLine="494"/>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Bodor, by signing his name hereto, does hereby sign this document on behalf of each of the above named directors of the registrant pursuant to powers of attorney duly executed by such persons and filed as an exhibit hereto.</w:t>
      </w:r>
    </w:p>
    <w:p>
      <w:pPr>
        <w:spacing w:after="0" w:line="216"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Robert Bodor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11040"/>
          </w:cols>
          <w:pgMar w:left="320" w:top="337"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40"/>
          </w:cols>
          <w:pgMar w:left="320" w:top="337" w:right="539" w:bottom="1440" w:gutter="0" w:footer="0" w:header="0"/>
          <w:type w:val="continuous"/>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PROTO LABS,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Guidelines with Respect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Transactions in Company Securities</w:t>
      </w:r>
    </w:p>
    <w:p>
      <w:pPr>
        <w:spacing w:after="0" w:line="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116" w:lineRule="exact"/>
        <w:rPr>
          <w:sz w:val="20"/>
          <w:szCs w:val="20"/>
          <w:color w:val="auto"/>
        </w:rPr>
      </w:pPr>
    </w:p>
    <w:p>
      <w:pPr>
        <w:ind w:right="120" w:firstLine="216"/>
        <w:spacing w:after="0" w:line="256" w:lineRule="auto"/>
        <w:rPr>
          <w:sz w:val="20"/>
          <w:szCs w:val="20"/>
          <w:color w:val="auto"/>
        </w:rPr>
      </w:pPr>
      <w:r>
        <w:rPr>
          <w:rFonts w:ascii="Times New Roman" w:cs="Times New Roman" w:eastAsia="Times New Roman" w:hAnsi="Times New Roman"/>
          <w:sz w:val="22"/>
          <w:szCs w:val="22"/>
          <w:color w:val="auto"/>
        </w:rPr>
        <w:t>Proto Labs, Inc. (the “Company”) and its directors, officers and employees must act in a manner that does not misuse material financial or other information that has not been publicly disclosed. Failure to do so runs contrary to our values and integrity. In the United States, insider trading violates laws that impose strict penalties upon both companies and individuals, including both financial sanctions and possibly prison.</w:t>
      </w:r>
    </w:p>
    <w:p>
      <w:pPr>
        <w:spacing w:after="0" w:line="203" w:lineRule="exact"/>
        <w:rPr>
          <w:sz w:val="20"/>
          <w:szCs w:val="20"/>
          <w:color w:val="auto"/>
        </w:rPr>
      </w:pPr>
    </w:p>
    <w:p>
      <w:pPr>
        <w:ind w:right="420" w:firstLine="216"/>
        <w:spacing w:after="0" w:line="257" w:lineRule="auto"/>
        <w:rPr>
          <w:sz w:val="20"/>
          <w:szCs w:val="20"/>
          <w:color w:val="auto"/>
        </w:rPr>
      </w:pPr>
      <w:r>
        <w:rPr>
          <w:rFonts w:ascii="Times New Roman" w:cs="Times New Roman" w:eastAsia="Times New Roman" w:hAnsi="Times New Roman"/>
          <w:sz w:val="22"/>
          <w:szCs w:val="22"/>
          <w:color w:val="auto"/>
        </w:rPr>
        <w:t>Maintaining the confidence of shareholders and the public markets is important. The principle underlying the Company’s policy is fairness in dealings with other persons, which requires that Company representatives not take personal advantage of undisclosed information to the detriment of others who do not have the information.</w:t>
      </w:r>
    </w:p>
    <w:p>
      <w:pPr>
        <w:spacing w:after="0" w:line="200"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21"/>
          <w:szCs w:val="21"/>
          <w:color w:val="auto"/>
        </w:rPr>
        <w:t>Compliance with this Policy is an individual responsibility. Every officer, director and other employee, contractor and consultant has the individual responsibility to comply with this Policy against improper insider trading. This may, from time to time, require that they forego a transaction in the Company’s securities even if they had planned to make the transaction before they learned of material nonpublic information. They may have to forego an anticipated gain or suffer a loss by waiting to trade. Likewise, delaying a transaction to comply with this Policy may present a hardship if individuals face a personal financial emergency. However, in each case this Policy must be followed by the individual wishing to trade in the Company’s securities.</w:t>
      </w:r>
    </w:p>
    <w:p>
      <w:pPr>
        <w:spacing w:after="0" w:line="209" w:lineRule="exact"/>
        <w:rPr>
          <w:sz w:val="20"/>
          <w:szCs w:val="20"/>
          <w:color w:val="auto"/>
        </w:rPr>
      </w:pPr>
    </w:p>
    <w:p>
      <w:pPr>
        <w:ind w:right="280" w:firstLine="212"/>
        <w:spacing w:after="0" w:line="252" w:lineRule="auto"/>
        <w:rPr>
          <w:sz w:val="20"/>
          <w:szCs w:val="20"/>
          <w:color w:val="auto"/>
        </w:rPr>
      </w:pPr>
      <w:r>
        <w:rPr>
          <w:rFonts w:ascii="Times New Roman" w:cs="Times New Roman" w:eastAsia="Times New Roman" w:hAnsi="Times New Roman"/>
          <w:sz w:val="22"/>
          <w:szCs w:val="22"/>
          <w:color w:val="auto"/>
        </w:rPr>
        <w:t>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Policy</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i w:val="1"/>
          <w:iCs w:val="1"/>
          <w:color w:val="auto"/>
        </w:rPr>
        <w:t>No director, officer, employee, contractor or consultant (“Covered Persons”) of the Company or its subsidiaries may trade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 the Company’s securities unless they are sure that they do not possess material nonpublic information. No Covered Person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may disclose material nonpublic information to others who might use it for trading or pass it along to others who might trade.</w:t>
      </w:r>
    </w:p>
    <w:p>
      <w:pPr>
        <w:spacing w:after="0" w:line="234" w:lineRule="exact"/>
        <w:rPr>
          <w:sz w:val="20"/>
          <w:szCs w:val="20"/>
          <w:color w:val="auto"/>
        </w:rPr>
      </w:pPr>
    </w:p>
    <w:p>
      <w:pPr>
        <w:ind w:right="480" w:firstLine="216"/>
        <w:spacing w:after="0" w:line="256" w:lineRule="auto"/>
        <w:rPr>
          <w:sz w:val="20"/>
          <w:szCs w:val="20"/>
          <w:color w:val="auto"/>
        </w:rPr>
      </w:pPr>
      <w:r>
        <w:rPr>
          <w:rFonts w:ascii="Times New Roman" w:cs="Times New Roman" w:eastAsia="Times New Roman" w:hAnsi="Times New Roman"/>
          <w:sz w:val="22"/>
          <w:szCs w:val="22"/>
          <w:color w:val="auto"/>
        </w:rPr>
        <w:t>Covered Persons must protect material nonpublic information from disclosure and report any suspected leaks of this information to the Company’s Compliance Officer (as defined below). Covered Persons must not discuss material nonpublic information with any person inside or outside of the Company who does not need that information for a legitimate business purpose. The Company maintains an external communications policy which applies to all public</w:t>
      </w:r>
    </w:p>
    <w:p>
      <w:pPr>
        <w:sectPr>
          <w:pgSz w:w="11900" w:h="16838" w:orient="portrait"/>
          <w:cols w:equalWidth="0" w:num="1">
            <w:col w:w="11240"/>
          </w:cols>
          <w:pgMar w:left="320" w:top="117" w:right="339" w:bottom="1440" w:gutter="0" w:footer="0" w:header="0"/>
        </w:sectPr>
      </w:pPr>
    </w:p>
    <w:bookmarkStart w:id="83" w:name="page84"/>
    <w:bookmarkEnd w:id="83"/>
    <w:p>
      <w:pPr>
        <w:ind w:right="20"/>
        <w:spacing w:after="0" w:line="257" w:lineRule="auto"/>
        <w:rPr>
          <w:sz w:val="20"/>
          <w:szCs w:val="20"/>
          <w:color w:val="auto"/>
        </w:rPr>
      </w:pPr>
      <w:r>
        <w:rPr>
          <w:rFonts w:ascii="Times New Roman" w:cs="Times New Roman" w:eastAsia="Times New Roman" w:hAnsi="Times New Roman"/>
          <w:sz w:val="22"/>
          <w:szCs w:val="22"/>
          <w:color w:val="auto"/>
        </w:rPr>
        <w:t>communications involving the Company, whether in writing or orally. No public disclosure of material nonpublic information may be made by any employee except in accordance with that policy. Generally, only authorized spokespersons designated in the policy are authorized to speak publicly on behalf of the Company.</w:t>
      </w:r>
    </w:p>
    <w:p>
      <w:pPr>
        <w:spacing w:after="0" w:line="213" w:lineRule="exact"/>
        <w:rPr>
          <w:sz w:val="20"/>
          <w:szCs w:val="20"/>
          <w:color w:val="auto"/>
        </w:rPr>
      </w:pPr>
    </w:p>
    <w:p>
      <w:pPr>
        <w:ind w:right="420" w:firstLine="270"/>
        <w:spacing w:after="0" w:line="271" w:lineRule="auto"/>
        <w:rPr>
          <w:sz w:val="20"/>
          <w:szCs w:val="20"/>
          <w:color w:val="auto"/>
        </w:rPr>
      </w:pPr>
      <w:r>
        <w:rPr>
          <w:rFonts w:ascii="Times New Roman" w:cs="Times New Roman" w:eastAsia="Times New Roman" w:hAnsi="Times New Roman"/>
          <w:sz w:val="22"/>
          <w:szCs w:val="22"/>
          <w:color w:val="3D3D3D"/>
        </w:rPr>
        <w:t>No Covered Person may purchase or sell, or offer to purchase or sell, any Company security, whether or not issued by the Company, while in possession of material nonpublic information about the Company.</w:t>
      </w:r>
    </w:p>
    <w:p>
      <w:pPr>
        <w:spacing w:after="0" w:line="18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2"/>
          <w:szCs w:val="22"/>
          <w:color w:val="3D3D3D"/>
        </w:rPr>
        <w:t>No Covered Person who knows of any material nonpublic information about the Company may communicate that information to ("</w:t>
      </w:r>
      <w:r>
        <w:rPr>
          <w:rFonts w:ascii="Times New Roman" w:cs="Times New Roman" w:eastAsia="Times New Roman" w:hAnsi="Times New Roman"/>
          <w:sz w:val="22"/>
          <w:szCs w:val="22"/>
          <w:i w:val="1"/>
          <w:iCs w:val="1"/>
          <w:u w:val="single" w:color="auto"/>
          <w:color w:val="3D3D3D"/>
        </w:rPr>
        <w:t>tip</w:t>
      </w:r>
      <w:r>
        <w:rPr>
          <w:rFonts w:ascii="Times New Roman" w:cs="Times New Roman" w:eastAsia="Times New Roman" w:hAnsi="Times New Roman"/>
          <w:sz w:val="22"/>
          <w:szCs w:val="22"/>
          <w:color w:val="3D3D3D"/>
          <w:highlight w:val="white"/>
        </w:rPr>
        <w:t>") any other person, including family members and friends, or otherwise disclose such information without the Company’s</w:t>
      </w:r>
      <w:r>
        <w:rPr>
          <w:rFonts w:ascii="Times New Roman" w:cs="Times New Roman" w:eastAsia="Times New Roman" w:hAnsi="Times New Roman"/>
          <w:sz w:val="22"/>
          <w:szCs w:val="22"/>
          <w:color w:val="3D3D3D"/>
        </w:rPr>
        <w:t xml:space="preserve"> authorization.</w:t>
      </w:r>
    </w:p>
    <w:p>
      <w:pPr>
        <w:spacing w:after="0" w:line="213" w:lineRule="exact"/>
        <w:rPr>
          <w:sz w:val="20"/>
          <w:szCs w:val="20"/>
          <w:color w:val="auto"/>
        </w:rPr>
      </w:pPr>
    </w:p>
    <w:p>
      <w:pPr>
        <w:ind w:right="140" w:firstLine="216"/>
        <w:spacing w:after="0" w:line="252" w:lineRule="auto"/>
        <w:rPr>
          <w:sz w:val="20"/>
          <w:szCs w:val="20"/>
          <w:color w:val="auto"/>
        </w:rPr>
      </w:pPr>
      <w:r>
        <w:rPr>
          <w:rFonts w:ascii="Times New Roman" w:cs="Times New Roman" w:eastAsia="Times New Roman" w:hAnsi="Times New Roman"/>
          <w:sz w:val="22"/>
          <w:szCs w:val="22"/>
          <w:color w:val="3D3D3D"/>
        </w:rPr>
        <w:t>No Covered Person may purchase or sell any security of any other company while in possession of material nonpublic information that was obtained in the course of his or her involvement with the Company. No Covered Person who knows of any such material nonpublic information may communicate that information to, or tip, any other person, including family members and friends, or otherwise disclose such information without the Company's authorization.</w:t>
      </w:r>
    </w:p>
    <w:p>
      <w:pPr>
        <w:spacing w:after="0" w:line="206"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22"/>
          <w:szCs w:val="22"/>
          <w:color w:val="3D3D3D"/>
        </w:rPr>
        <w:t xml:space="preserve">No Covered Person should trade, tip or recommend securities (or otherwise cause the purchase or sale of securities) while in possession of information that the Covered Person has reason to believe is material and nonpublic unless the Covered Person first consults with, and obtains the advance approval of, the Compliance Officer, as is defined in the </w:t>
      </w:r>
      <w:r>
        <w:rPr>
          <w:rFonts w:ascii="Times New Roman" w:cs="Times New Roman" w:eastAsia="Times New Roman" w:hAnsi="Times New Roman"/>
          <w:sz w:val="22"/>
          <w:szCs w:val="22"/>
          <w:color w:val="000000"/>
        </w:rPr>
        <w:t>Company’s companion policy</w:t>
      </w:r>
      <w:r>
        <w:rPr>
          <w:rFonts w:ascii="Times New Roman" w:cs="Times New Roman" w:eastAsia="Times New Roman" w:hAnsi="Times New Roman"/>
          <w:sz w:val="22"/>
          <w:szCs w:val="22"/>
          <w:color w:val="3D3D3D"/>
        </w:rPr>
        <w:t xml:space="preserve"> </w:t>
      </w:r>
      <w:r>
        <w:rPr>
          <w:rFonts w:ascii="Times New Roman" w:cs="Times New Roman" w:eastAsia="Times New Roman" w:hAnsi="Times New Roman"/>
          <w:sz w:val="22"/>
          <w:szCs w:val="22"/>
          <w:color w:val="000000"/>
        </w:rPr>
        <w:t>titled “</w:t>
      </w:r>
      <w:r>
        <w:rPr>
          <w:rFonts w:ascii="Times New Roman" w:cs="Times New Roman" w:eastAsia="Times New Roman" w:hAnsi="Times New Roman"/>
          <w:sz w:val="22"/>
          <w:szCs w:val="22"/>
          <w:i w:val="1"/>
          <w:iCs w:val="1"/>
          <w:color w:val="000000"/>
        </w:rPr>
        <w:t>Supplemental Insider Trading Restrictions for Corporate Insiders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3D3D3D"/>
        </w:rPr>
        <w:t>(the “Supplemental Policy”.</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addition, no Covered Person may assist anyone engaged in the above activities.</w:t>
      </w:r>
    </w:p>
    <w:p>
      <w:pPr>
        <w:spacing w:after="0" w:line="24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Anyone who is a member of the immediate family of, or living in the same household as, a Covered Person will also be considered a Covered Person for purposes of this Policy. Also included are any persons or entities, including trusts, corporations, partnerships or associations, whose decisions are directed, influenced or controlled by a Covered Person. Even after a Covered Person severs their employment or other relationship with the Company, they will continue to be prohibited from trading on the basis of material nonpublic information, sharing it with others or providing tips based on this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12" w:lineRule="exact"/>
        <w:rPr>
          <w:sz w:val="20"/>
          <w:szCs w:val="20"/>
          <w:color w:val="auto"/>
        </w:rPr>
      </w:pPr>
    </w:p>
    <w:p>
      <w:pPr>
        <w:ind w:right="320" w:firstLine="216"/>
        <w:spacing w:after="0" w:line="265" w:lineRule="auto"/>
        <w:rPr>
          <w:sz w:val="20"/>
          <w:szCs w:val="20"/>
          <w:color w:val="auto"/>
        </w:rPr>
      </w:pPr>
      <w:r>
        <w:rPr>
          <w:rFonts w:ascii="Times New Roman" w:cs="Times New Roman" w:eastAsia="Times New Roman" w:hAnsi="Times New Roman"/>
          <w:sz w:val="22"/>
          <w:szCs w:val="22"/>
          <w:i w:val="1"/>
          <w:iCs w:val="1"/>
          <w:u w:val="single" w:color="auto"/>
          <w:color w:val="auto"/>
        </w:rPr>
        <w:t>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 common stock and derivative securities such as put and call options, options to acquire common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company-granted stock options, warrants, convertible debentures, preferred stock, and debt securities such as bonds and notes.</w:t>
      </w:r>
    </w:p>
    <w:p>
      <w:pPr>
        <w:spacing w:after="0" w:line="188" w:lineRule="exact"/>
        <w:rPr>
          <w:sz w:val="20"/>
          <w:szCs w:val="20"/>
          <w:color w:val="auto"/>
        </w:rPr>
      </w:pPr>
    </w:p>
    <w:p>
      <w:pPr>
        <w:ind w:right="180" w:firstLine="216"/>
        <w:spacing w:after="0" w:line="259" w:lineRule="auto"/>
        <w:rPr>
          <w:sz w:val="20"/>
          <w:szCs w:val="20"/>
          <w:color w:val="auto"/>
        </w:rPr>
      </w:pPr>
      <w:r>
        <w:rPr>
          <w:rFonts w:ascii="Times New Roman" w:cs="Times New Roman" w:eastAsia="Times New Roman" w:hAnsi="Times New Roman"/>
          <w:sz w:val="22"/>
          <w:szCs w:val="22"/>
          <w:i w:val="1"/>
          <w:iCs w:val="1"/>
          <w:u w:val="single" w:color="auto"/>
          <w:color w:val="auto"/>
        </w:rPr>
        <w:t>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includes buying or selling of securities. Bona fide gifts of securities will not be considered trading that is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Policy, although you are asked to refrain from making gifts of securities if you are aware of material nonpublic information and have reason to believe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1179" w:right="379" w:bottom="1440" w:gutter="0" w:footer="0" w:header="0"/>
        </w:sectPr>
      </w:pPr>
    </w:p>
    <w:bookmarkStart w:id="84" w:name="page85"/>
    <w:bookmarkEnd w:id="84"/>
    <w:p>
      <w:pPr>
        <w:ind w:right="460"/>
        <w:spacing w:after="0" w:line="271" w:lineRule="auto"/>
        <w:rPr>
          <w:sz w:val="20"/>
          <w:szCs w:val="20"/>
          <w:color w:val="auto"/>
        </w:rPr>
      </w:pPr>
      <w:r>
        <w:rPr>
          <w:rFonts w:ascii="Times New Roman" w:cs="Times New Roman" w:eastAsia="Times New Roman" w:hAnsi="Times New Roman"/>
          <w:sz w:val="22"/>
          <w:szCs w:val="22"/>
          <w:color w:val="auto"/>
        </w:rPr>
        <w:t>that the gift recipient may soon sell the securities. Sales of securities, whether they were purchased outright or were obtained through exercise of a stock option, are always prohibited by this Policy.</w:t>
      </w:r>
    </w:p>
    <w:p>
      <w:pPr>
        <w:spacing w:after="0" w:line="181" w:lineRule="exact"/>
        <w:rPr>
          <w:sz w:val="20"/>
          <w:szCs w:val="20"/>
          <w:color w:val="auto"/>
        </w:rPr>
      </w:pPr>
    </w:p>
    <w:p>
      <w:pPr>
        <w:ind w:right="200" w:firstLine="216"/>
        <w:spacing w:after="0" w:line="258" w:lineRule="auto"/>
        <w:rPr>
          <w:sz w:val="20"/>
          <w:szCs w:val="20"/>
          <w:color w:val="auto"/>
        </w:rPr>
      </w:pPr>
      <w:r>
        <w:rPr>
          <w:rFonts w:ascii="Times New Roman" w:cs="Times New Roman" w:eastAsia="Times New Roman" w:hAnsi="Times New Roman"/>
          <w:sz w:val="22"/>
          <w:szCs w:val="22"/>
          <w:i w:val="1"/>
          <w:iCs w:val="1"/>
          <w:u w:val="single" w:color="auto"/>
          <w:color w:val="auto"/>
        </w:rPr>
        <w:t>Material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any information that a reasonable investor would consider important in a decision to buy, sell or hold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securities. Any information that could reasonably be expected to affect the price of the securities is likely to be considered material. The public, the media, and the courts may use hindsight in judging what is material, and the information may be positive or negative. See below for examples of items that are customarily viewed as material information.</w:t>
      </w:r>
    </w:p>
    <w:p>
      <w:pPr>
        <w:spacing w:after="0" w:line="195" w:lineRule="exact"/>
        <w:rPr>
          <w:sz w:val="20"/>
          <w:szCs w:val="20"/>
          <w:color w:val="auto"/>
        </w:rPr>
      </w:pPr>
    </w:p>
    <w:p>
      <w:pPr>
        <w:ind w:right="80" w:firstLine="216"/>
        <w:spacing w:after="0" w:line="254" w:lineRule="auto"/>
        <w:rPr>
          <w:sz w:val="20"/>
          <w:szCs w:val="20"/>
          <w:color w:val="auto"/>
        </w:rPr>
      </w:pPr>
      <w:r>
        <w:rPr>
          <w:rFonts w:ascii="Times New Roman" w:cs="Times New Roman" w:eastAsia="Times New Roman" w:hAnsi="Times New Roman"/>
          <w:sz w:val="22"/>
          <w:szCs w:val="22"/>
          <w:i w:val="1"/>
          <w:iCs w:val="1"/>
          <w:u w:val="single" w:color="auto"/>
          <w:color w:val="auto"/>
        </w:rPr>
        <w:t>Nonpublic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information has not yet become publicly available or has been disclosed so recently that sufficient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not yet passed to allow the information to become widely available among investors and the financial community. Release of information to the media does not immediately free Covered Persons to trade. Covered Persons should refrain from trading until the market has had an opportunity to absorb and evaluate the information. If the information has been widely disseminated, it is usually sufficient to wait at least 48 hours after publication.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Guidance</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Exceptions</w:t>
      </w: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trading restrictions of this Policy do not apply to the following (“Exempted Transactions”):</w:t>
      </w:r>
    </w:p>
    <w:p>
      <w:pPr>
        <w:spacing w:after="0" w:line="260" w:lineRule="exact"/>
        <w:rPr>
          <w:sz w:val="20"/>
          <w:szCs w:val="20"/>
          <w:color w:val="auto"/>
        </w:rPr>
      </w:pPr>
    </w:p>
    <w:p>
      <w:pPr>
        <w:ind w:left="660" w:right="100" w:firstLine="401"/>
        <w:spacing w:after="0" w:line="262" w:lineRule="auto"/>
        <w:tabs>
          <w:tab w:leader="none" w:pos="130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ESPP</w:t>
      </w:r>
      <w:r>
        <w:rPr>
          <w:rFonts w:ascii="Times New Roman" w:cs="Times New Roman" w:eastAsia="Times New Roman" w:hAnsi="Times New Roman"/>
          <w:sz w:val="21"/>
          <w:szCs w:val="21"/>
          <w:color w:val="auto"/>
        </w:rPr>
        <w:t>. Purchasing Company stock through periodic, automatic payroll contributions to the Company's Employee Stock Purchase Plan ("ESPP"). However, electing to enroll in the ESPP, making any changes in elections under the ESPP and selling any Company stock acquired under the ESPP are subject to trading restrictions under this Policy.</w:t>
      </w:r>
    </w:p>
    <w:p>
      <w:pPr>
        <w:spacing w:after="0" w:line="2" w:lineRule="exact"/>
        <w:rPr>
          <w:rFonts w:ascii="Times New Roman" w:cs="Times New Roman" w:eastAsia="Times New Roman" w:hAnsi="Times New Roman"/>
          <w:sz w:val="21"/>
          <w:szCs w:val="21"/>
          <w:color w:val="auto"/>
        </w:rPr>
      </w:pPr>
    </w:p>
    <w:p>
      <w:pPr>
        <w:ind w:left="660" w:firstLine="401"/>
        <w:spacing w:after="0" w:line="246" w:lineRule="auto"/>
        <w:tabs>
          <w:tab w:leader="none" w:pos="130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Exercising stock options granted under the Company's Long-Term Incentive Plans for cash, or share withholding in order to satisfy tax obligations. However, the sale of any shares issued on the exercise of Company-granted stock options and any cashless exercise of Company-granted stock options are subject to trading restrictions under this Policy.</w:t>
      </w:r>
    </w:p>
    <w:p>
      <w:pPr>
        <w:spacing w:after="0" w:line="2" w:lineRule="exact"/>
        <w:rPr>
          <w:rFonts w:ascii="Times New Roman" w:cs="Times New Roman" w:eastAsia="Times New Roman" w:hAnsi="Times New Roman"/>
          <w:sz w:val="22"/>
          <w:szCs w:val="22"/>
          <w:color w:val="auto"/>
        </w:rPr>
      </w:pPr>
    </w:p>
    <w:p>
      <w:pPr>
        <w:ind w:left="660" w:right="220" w:firstLine="401"/>
        <w:spacing w:after="0" w:line="247" w:lineRule="auto"/>
        <w:tabs>
          <w:tab w:leader="none" w:pos="130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and Restricted Stock Unit Awards.</w:t>
      </w:r>
      <w:r>
        <w:rPr>
          <w:rFonts w:ascii="Times New Roman" w:cs="Times New Roman" w:eastAsia="Times New Roman" w:hAnsi="Times New Roman"/>
          <w:sz w:val="22"/>
          <w:szCs w:val="22"/>
          <w:color w:val="auto"/>
        </w:rPr>
        <w:t xml:space="preserve"> This Policy does not apply to the vesting of restricted stock/restricted stock units, or the exercise of a tax withholding right pursuant to which you elect to have the Company withhold shares of stock to satisfy tax withholding requirements upon the vesting of any restricted stock/restricted stock units. The Policy does apply, however, to any market sale of stock received upon vesting of restricted stock or restricted stock units.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Restricted Transactions</w:t>
      </w:r>
    </w:p>
    <w:p>
      <w:pPr>
        <w:spacing w:after="0" w:line="253" w:lineRule="exact"/>
        <w:rPr>
          <w:sz w:val="20"/>
          <w:szCs w:val="20"/>
          <w:color w:val="auto"/>
        </w:rPr>
      </w:pPr>
    </w:p>
    <w:p>
      <w:pPr>
        <w:ind w:right="480" w:firstLine="216"/>
        <w:spacing w:after="0" w:line="271" w:lineRule="auto"/>
        <w:rPr>
          <w:sz w:val="20"/>
          <w:szCs w:val="20"/>
          <w:color w:val="auto"/>
        </w:rPr>
      </w:pPr>
      <w:r>
        <w:rPr>
          <w:rFonts w:ascii="Times New Roman" w:cs="Times New Roman" w:eastAsia="Times New Roman" w:hAnsi="Times New Roman"/>
          <w:sz w:val="22"/>
          <w:szCs w:val="22"/>
          <w:color w:val="auto"/>
        </w:rPr>
        <w:t>Covered Persons are prohibited from entering into certain types of transactions in the Company’s securities. This includes “short sales” of the Company’s securities involving a sale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79" w:right="339" w:bottom="1440" w:gutter="0" w:footer="0" w:header="0"/>
        </w:sectPr>
      </w:pPr>
    </w:p>
    <w:bookmarkStart w:id="85" w:name="page86"/>
    <w:bookmarkEnd w:id="85"/>
    <w:p>
      <w:pPr>
        <w:ind w:right="220"/>
        <w:spacing w:after="0" w:line="251" w:lineRule="auto"/>
        <w:rPr>
          <w:sz w:val="20"/>
          <w:szCs w:val="20"/>
          <w:color w:val="auto"/>
        </w:rPr>
      </w:pPr>
      <w:r>
        <w:rPr>
          <w:rFonts w:ascii="Times New Roman" w:cs="Times New Roman" w:eastAsia="Times New Roman" w:hAnsi="Times New Roman"/>
          <w:sz w:val="22"/>
          <w:szCs w:val="22"/>
          <w:color w:val="auto"/>
        </w:rPr>
        <w:t>of securities borrowed from a broker and which the Covered person does not then own (including a “short sale against the box” which is a short sale that occurs while the Covered Person owns an equal amount of the securities). Likewise, standing orders should be used only for a very brief period of time (except standing orders under approved Rule 10b5-1 plans discussed in the Supplemental Policy)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problem with purchases or sales resulting from standing instructions to a broker is that there is no control over the timing of the transaction. The broker could execute a transaction when you are in possession of material nonpublic information.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Penalties for Non-Compliance</w:t>
      </w:r>
    </w:p>
    <w:p>
      <w:pPr>
        <w:spacing w:after="0" w:line="280" w:lineRule="exact"/>
        <w:rPr>
          <w:sz w:val="20"/>
          <w:szCs w:val="20"/>
          <w:color w:val="auto"/>
        </w:rPr>
      </w:pPr>
    </w:p>
    <w:p>
      <w:pPr>
        <w:ind w:right="20" w:firstLine="212"/>
        <w:spacing w:after="0" w:line="249" w:lineRule="auto"/>
        <w:rPr>
          <w:sz w:val="20"/>
          <w:szCs w:val="20"/>
          <w:color w:val="auto"/>
        </w:rPr>
      </w:pPr>
      <w:r>
        <w:rPr>
          <w:rFonts w:ascii="Times New Roman" w:cs="Times New Roman" w:eastAsia="Times New Roman" w:hAnsi="Times New Roman"/>
          <w:sz w:val="22"/>
          <w:szCs w:val="22"/>
          <w:color w:val="auto"/>
        </w:rPr>
        <w:t>Violations of this Policy may result in discipline up to and including termination of employment, as well as ineligibility to participate in the Company’s equity incentive plans. Civil and criminal penalties for violating insider trading laws are severe under U.S. laws, including Securities and Exchange Commission (SEC) Rule 10b-5 which prohibits trading on material nonpublic information. If you trade on or tip material nonpublic information, you are subject to civil penalties of up to 3 times the profit gained or loss avoided, criminal fines of up to $5,000,000 and imprisonment of up to 20 years, plus prejudgment interest and private party damages. Violations adversely affect the Company’s reputation. Furthermore, if the Company fails to take appropriate steps to prevent insider trading, the Company and its directors, officers and other supervisory personnel may be subject to “controlling person” liability and potential civil and criminal penalties.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Inquiries</w:t>
      </w:r>
    </w:p>
    <w:p>
      <w:pPr>
        <w:spacing w:after="0" w:line="253" w:lineRule="exact"/>
        <w:rPr>
          <w:sz w:val="20"/>
          <w:szCs w:val="20"/>
          <w:color w:val="auto"/>
        </w:rPr>
      </w:pPr>
    </w:p>
    <w:p>
      <w:pPr>
        <w:ind w:right="140" w:firstLine="212"/>
        <w:spacing w:after="0" w:line="263" w:lineRule="auto"/>
        <w:rPr>
          <w:sz w:val="20"/>
          <w:szCs w:val="20"/>
          <w:color w:val="auto"/>
        </w:rPr>
      </w:pPr>
      <w:r>
        <w:rPr>
          <w:rFonts w:ascii="Times New Roman" w:cs="Times New Roman" w:eastAsia="Times New Roman" w:hAnsi="Times New Roman"/>
          <w:sz w:val="22"/>
          <w:szCs w:val="22"/>
          <w:color w:val="auto"/>
        </w:rPr>
        <w:t>The Company has appointed the Company’s Chief Financial Officer as the Insider Trading Compliance Officer (“Compliance Officer”). Inquiries regarding any of the provisions or procedures of this Insider Trading Policy should be directed to the Compliance Officer.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Further Restrictions on Corporate Insiders and Certain Others</w:t>
      </w:r>
    </w:p>
    <w:p>
      <w:pPr>
        <w:spacing w:after="0" w:line="116" w:lineRule="exact"/>
        <w:rPr>
          <w:sz w:val="20"/>
          <w:szCs w:val="20"/>
          <w:color w:val="auto"/>
        </w:rPr>
      </w:pPr>
    </w:p>
    <w:p>
      <w:pPr>
        <w:ind w:firstLine="216"/>
        <w:spacing w:after="0" w:line="263" w:lineRule="auto"/>
        <w:rPr>
          <w:sz w:val="20"/>
          <w:szCs w:val="20"/>
          <w:color w:val="auto"/>
        </w:rPr>
      </w:pPr>
      <w:r>
        <w:rPr>
          <w:rFonts w:ascii="Times New Roman" w:cs="Times New Roman" w:eastAsia="Times New Roman" w:hAnsi="Times New Roman"/>
          <w:sz w:val="21"/>
          <w:szCs w:val="21"/>
          <w:color w:val="auto"/>
        </w:rPr>
        <w:t>Corporate Insiders, as defined in the Supplemental Policy, including members of the Board of Directors, executives qualifying as Section 16 officers under U.S. securities regulations, other officers and key employees of the Company and its subsidiaries are subject to additional restrictions on trading the Company’s securities as described in the Company’s Supplemental Policy. Also, non-insiders may be made subject to additional restrictions if they are notified by the Compliance Officer. This could occur, for example, if a limited group of the Company’s personnel have access to particularly sensitive material nonpublic information or are working on a critical non-public project. If you are notified of being subject to additional insider trading restrictions, you must not disclose this fact to anyone, or discuss the enhanced requirements or facts leading up to the restrictions.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Examples of Material Information</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Examples of particularly sensitive information that is presumed material include:</w:t>
      </w:r>
    </w:p>
    <w:p>
      <w:pPr>
        <w:spacing w:after="0" w:line="260" w:lineRule="exact"/>
        <w:rPr>
          <w:sz w:val="20"/>
          <w:szCs w:val="20"/>
          <w:color w:val="auto"/>
        </w:rPr>
      </w:pPr>
    </w:p>
    <w:p>
      <w:pPr>
        <w:ind w:left="1140" w:hanging="322"/>
        <w:spacing w:after="0"/>
        <w:tabs>
          <w:tab w:leader="none" w:pos="11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or financial condition</w:t>
      </w:r>
    </w:p>
    <w:p>
      <w:pPr>
        <w:spacing w:after="0" w:line="27"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financial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79" w:right="339" w:bottom="1440" w:gutter="0" w:footer="0" w:header="0"/>
        </w:sectPr>
      </w:pPr>
    </w:p>
    <w:bookmarkStart w:id="86" w:name="page87"/>
    <w:bookmarkEnd w:id="86"/>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merger, divestiture, or acquisition</w:t>
      </w:r>
    </w:p>
    <w:p>
      <w:pPr>
        <w:spacing w:after="0" w:line="27"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under a significant financing arrangement, or financial liquidity problems</w:t>
      </w:r>
    </w:p>
    <w:p>
      <w:pPr>
        <w:spacing w:after="0" w:line="3"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 or loss of a material supplier, customer or financing relationship</w:t>
      </w:r>
    </w:p>
    <w:p>
      <w:pPr>
        <w:spacing w:after="0" w:line="5"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business strategies of a significant nature</w:t>
      </w:r>
    </w:p>
    <w:p>
      <w:pPr>
        <w:spacing w:after="0" w:line="15"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equity or debt offerings</w:t>
      </w:r>
    </w:p>
    <w:p>
      <w:pPr>
        <w:spacing w:after="0" w:line="3"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exposure due to actual or threatened litigation</w:t>
      </w:r>
    </w:p>
    <w:p>
      <w:pPr>
        <w:spacing w:after="0" w:line="3"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regulatory exposure due to actual or threatened action by state or federal regulators</w:t>
      </w:r>
    </w:p>
    <w:p>
      <w:pPr>
        <w:spacing w:after="0" w:line="3"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management changes or changes in control of the company</w:t>
      </w:r>
    </w:p>
    <w:p>
      <w:pPr>
        <w:spacing w:after="0" w:line="5"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restructuring actions or asset impairments</w:t>
      </w:r>
    </w:p>
    <w:p>
      <w:pPr>
        <w:spacing w:after="0" w:line="15"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auditors</w:t>
      </w:r>
    </w:p>
    <w:p>
      <w:pPr>
        <w:spacing w:after="0" w:line="3" w:lineRule="exact"/>
        <w:rPr>
          <w:rFonts w:ascii="Times New Roman" w:cs="Times New Roman" w:eastAsia="Times New Roman" w:hAnsi="Times New Roman"/>
          <w:sz w:val="22"/>
          <w:szCs w:val="22"/>
          <w:color w:val="auto"/>
        </w:rPr>
      </w:pPr>
    </w:p>
    <w:p>
      <w:pPr>
        <w:ind w:left="1140" w:right="700" w:hanging="322"/>
        <w:spacing w:after="0" w:line="243" w:lineRule="auto"/>
        <w:tabs>
          <w:tab w:leader="none" w:pos="113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events regarding a company’s securities (such as defaults, redemptions, stock splits, repurchase plans, changes in dividends)</w:t>
      </w:r>
    </w:p>
    <w:p>
      <w:pPr>
        <w:ind w:left="1140" w:right="440" w:hanging="322"/>
        <w:spacing w:after="0" w:line="244" w:lineRule="auto"/>
        <w:tabs>
          <w:tab w:leader="none" w:pos="113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Discovery of an error in the company’s financial statements or notification from an independent auditor that the company may no longer rely on a previously issued audit report or completed interim review</w:t>
      </w:r>
    </w:p>
    <w:p>
      <w:pPr>
        <w:ind w:left="1140" w:right="80" w:hanging="322"/>
        <w:spacing w:after="0" w:line="248" w:lineRule="auto"/>
        <w:tabs>
          <w:tab w:leader="none" w:pos="113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Creation of a material financial obligation, including long-term or short-term debt, capital or operating lease, or off-balance sheet arrangement</w:t>
      </w:r>
    </w:p>
    <w:p>
      <w:pPr>
        <w:spacing w:after="0" w:line="1" w:lineRule="exact"/>
        <w:rPr>
          <w:rFonts w:ascii="Times New Roman" w:cs="Times New Roman" w:eastAsia="Times New Roman" w:hAnsi="Times New Roman"/>
          <w:sz w:val="22"/>
          <w:szCs w:val="22"/>
          <w:color w:val="auto"/>
        </w:rPr>
      </w:pPr>
    </w:p>
    <w:p>
      <w:pPr>
        <w:ind w:left="1140" w:right="680" w:hanging="322"/>
        <w:spacing w:after="0" w:line="243" w:lineRule="auto"/>
        <w:tabs>
          <w:tab w:leader="none" w:pos="113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to satisfy a rule or standard for the continued listing of the company’s securities on a national exchange</w:t>
      </w: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vulnerabilities and breaches</w:t>
      </w:r>
    </w:p>
    <w:p>
      <w:pPr>
        <w:spacing w:after="0" w:line="5"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debt ratings</w:t>
      </w:r>
    </w:p>
    <w:p>
      <w:pPr>
        <w:spacing w:after="0" w:line="15"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of a new product</w:t>
      </w:r>
    </w:p>
    <w:p>
      <w:pPr>
        <w:spacing w:after="0" w:line="3" w:lineRule="exact"/>
        <w:rPr>
          <w:rFonts w:ascii="Times New Roman" w:cs="Times New Roman" w:eastAsia="Times New Roman" w:hAnsi="Times New Roman"/>
          <w:sz w:val="22"/>
          <w:szCs w:val="22"/>
          <w:color w:val="auto"/>
        </w:rPr>
      </w:pPr>
    </w:p>
    <w:p>
      <w:pPr>
        <w:ind w:left="1140" w:hanging="322"/>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Company’s pricing or cost structure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Examples of Violations of this Policy</w:t>
      </w:r>
    </w:p>
    <w:p>
      <w:pPr>
        <w:spacing w:after="0" w:line="264"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Example 1</w:t>
      </w:r>
      <w:r>
        <w:rPr>
          <w:rFonts w:ascii="Times New Roman" w:cs="Times New Roman" w:eastAsia="Times New Roman" w:hAnsi="Times New Roman"/>
          <w:sz w:val="22"/>
          <w:szCs w:val="22"/>
          <w:color w:val="auto"/>
        </w:rPr>
        <w:t>: While at dinner with her in-laws, a finance employee of the Company describes how frantic her schedule has been as a consequence of a pending merger between the Company and its largest competitor (information that has not been publicly disclosed.) The next day, the employee’s father-in-law purchases 1,000 shares of the Company’s stock before news of the merger becomes public. A month later the merger is announced, the Company’s stock soars and the father-in-law sells his stock in the Company for a large profit. A violation occurred when the father-in-law purchased the Company’s stock while privy to the material nonpublic information. The SEC would consider the sharing of the material nonpublic information by the treasury employee a “tip,” exposing both the employee and father-in-law to possible civil and criminal liability. The fact that the employee’s disclosure was inadvertent and did not financially benefit her does not help her in the eyes of the law.</w:t>
      </w:r>
    </w:p>
    <w:p>
      <w:pPr>
        <w:spacing w:after="0" w:line="20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Example 2</w:t>
      </w:r>
      <w:r>
        <w:rPr>
          <w:rFonts w:ascii="Times New Roman" w:cs="Times New Roman" w:eastAsia="Times New Roman" w:hAnsi="Times New Roman"/>
          <w:sz w:val="22"/>
          <w:szCs w:val="22"/>
          <w:color w:val="auto"/>
        </w:rPr>
        <w:t>: Following a meeting of the Company’s senior leadership, an executive vice president mentions to a vice president that reports to him/her that the CFO believed that the Company would not meet its quarterly earnings projections. Three weeks later, the vice president decides to replace the family car. To raise some cash, the vice president sells 1,000 shares of his stock in the Company, forgetting about the earlier conversation involving the CFO’s concerns and not realizing that the Company hadn’t yet announced its quarterly financial results. Even though the vice president’s intentions were pure, his/her actions would nonetheless be 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1179" w:right="359" w:bottom="1440" w:gutter="0" w:footer="0" w:header="0"/>
        </w:sectPr>
      </w:pPr>
    </w:p>
    <w:bookmarkStart w:id="87" w:name="page88"/>
    <w:bookmarkEnd w:id="87"/>
    <w:p>
      <w:pPr>
        <w:ind w:right="340"/>
        <w:spacing w:after="0" w:line="271" w:lineRule="auto"/>
        <w:rPr>
          <w:sz w:val="20"/>
          <w:szCs w:val="20"/>
          <w:color w:val="auto"/>
        </w:rPr>
      </w:pPr>
      <w:r>
        <w:rPr>
          <w:rFonts w:ascii="Times New Roman" w:cs="Times New Roman" w:eastAsia="Times New Roman" w:hAnsi="Times New Roman"/>
          <w:sz w:val="22"/>
          <w:szCs w:val="22"/>
          <w:color w:val="auto"/>
        </w:rPr>
        <w:t>violation of federal law since the sale of the Company’s stock occurred while the vice president was in possession of material nonpublic information.</w:t>
      </w:r>
    </w:p>
    <w:p>
      <w:pPr>
        <w:spacing w:after="0" w:line="185"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21"/>
          <w:szCs w:val="21"/>
          <w:u w:val="single" w:color="auto"/>
          <w:color w:val="auto"/>
        </w:rPr>
        <w:t>Example 3</w:t>
      </w:r>
      <w:r>
        <w:rPr>
          <w:rFonts w:ascii="Times New Roman" w:cs="Times New Roman" w:eastAsia="Times New Roman" w:hAnsi="Times New Roman"/>
          <w:sz w:val="21"/>
          <w:szCs w:val="21"/>
          <w:color w:val="auto"/>
        </w:rPr>
        <w:t>: While requisitioning services from a large vendor, a manager in the Company’s IT area is told that the vendor is about to be placed into receivership. The vendor shares this information with the Company so the Company can take prudent steps to protect its IT operations, but asks that the information be kept confidential. The IT manager owns 500 shares of stock in the vendor and immediately logs on to E*TRADE to sell it. Within the week the vendor is placed in receivership and the price of its stock plummets to nearly $0. The sale of the vendor’s stock by the manager was in violation of U.S. law because it was made on the basis of material non-public information learned in the course of the manager’s employment and in violation of the manager’s duties to the Company. The fact that it was not the Company’s stock is immaterial. The vendor, on the other hand, shared the information on a confidential basis and for legitimate business purposes and faces no liability for providing a “tip.”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Acknowledgement and Certification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D3D3D"/>
        </w:rPr>
        <w:t>All Covered Persons are required to sign the attached acknowledgment and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80"/>
          </w:cols>
          <w:pgMar w:left="320" w:top="1179" w:right="399" w:bottom="1440" w:gutter="0" w:footer="0" w:header="0"/>
        </w:sectPr>
      </w:pPr>
    </w:p>
    <w:bookmarkStart w:id="88" w:name="page89"/>
    <w:bookmarkEnd w:id="88"/>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3D3D3D"/>
        </w:rPr>
        <w:t>ACKNOWLEDGMENT AND CERTIFICATION</w:t>
      </w:r>
    </w:p>
    <w:p>
      <w:pPr>
        <w:spacing w:after="0" w:line="1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3D3D3D"/>
        </w:rPr>
        <w:t>The undersigned does hereby acknowledge receipt of the Company's Insider Trading Policy and, as applicable, the Supplemental Policy. The undersigned has read and understands (or has had explained) such Policy(ies) and agrees to be governed by such Policy(ies) at all times in connection with the purchase and sale of securities and the confidentiality of nonpublic information.</w:t>
      </w:r>
    </w:p>
    <w:p>
      <w:pPr>
        <w:spacing w:after="0" w:line="200" w:lineRule="exact"/>
        <w:rPr>
          <w:sz w:val="20"/>
          <w:szCs w:val="20"/>
          <w:color w:val="auto"/>
        </w:rPr>
      </w:pPr>
    </w:p>
    <w:p>
      <w:pPr>
        <w:spacing w:after="0" w:line="2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-160020</wp:posOffset>
            </wp:positionV>
            <wp:extent cx="35915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-160020</wp:posOffset>
            </wp:positionV>
            <wp:extent cx="35915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19685</wp:posOffset>
            </wp:positionV>
            <wp:extent cx="23145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PROTO LABS,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 TO INSIDER TRADING POLICY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Insider Trading Restrictions for Corporate Insiders</w:t>
      </w:r>
    </w:p>
    <w:p>
      <w:pPr>
        <w:spacing w:after="0" w:line="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116" w:lineRule="exact"/>
        <w:rPr>
          <w:sz w:val="20"/>
          <w:szCs w:val="20"/>
          <w:color w:val="auto"/>
        </w:rPr>
      </w:pPr>
    </w:p>
    <w:p>
      <w:pPr>
        <w:ind w:right="60" w:firstLine="216"/>
        <w:spacing w:after="0" w:line="253" w:lineRule="auto"/>
        <w:rPr>
          <w:sz w:val="20"/>
          <w:szCs w:val="20"/>
          <w:color w:val="auto"/>
        </w:rPr>
      </w:pPr>
      <w:r>
        <w:rPr>
          <w:rFonts w:ascii="Times New Roman" w:cs="Times New Roman" w:eastAsia="Times New Roman" w:hAnsi="Times New Roman"/>
          <w:sz w:val="22"/>
          <w:szCs w:val="22"/>
          <w:color w:val="auto"/>
        </w:rPr>
        <w:t>Proto Labs, Inc.’s (the “Company”) Insider Trading Policy addresses securities trading restrictions affecting all employees of the Company. This document (the “Policy Supplement”) supplements the Insider Trading Policy with respect to members of the Company’s Board of Directors, officers and certain other key employees. These individuals are subject to both the Insider Trading Policy as well as the additional procedures and requirements described below. Definitions of terms in the Insider Trading Policy apply equally to this Policy Supplement and the documents should be read together.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Persons Covered</w:t>
      </w:r>
    </w:p>
    <w:p>
      <w:pPr>
        <w:spacing w:after="0" w:line="1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following individuals are subject to this Policy Supplement and are described as “Corporate Insiders”:</w:t>
      </w:r>
    </w:p>
    <w:p>
      <w:pPr>
        <w:spacing w:after="0" w:line="112" w:lineRule="exact"/>
        <w:rPr>
          <w:sz w:val="20"/>
          <w:szCs w:val="20"/>
          <w:color w:val="auto"/>
        </w:rPr>
      </w:pPr>
    </w:p>
    <w:p>
      <w:pPr>
        <w:ind w:left="660" w:right="80" w:hanging="328"/>
        <w:spacing w:after="0" w:line="256" w:lineRule="auto"/>
        <w:tabs>
          <w:tab w:leader="none" w:pos="65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Directors and Officers Subject to Section 16</w:t>
      </w:r>
      <w:r>
        <w:rPr>
          <w:rFonts w:ascii="Times New Roman" w:cs="Times New Roman" w:eastAsia="Times New Roman" w:hAnsi="Times New Roman"/>
          <w:sz w:val="22"/>
          <w:szCs w:val="22"/>
          <w:color w:val="auto"/>
        </w:rPr>
        <w:t>. All provisions of this Policy Supplement apply to the directors and officers of the Company subject to Section 16 of the Securities Exchange Act of 1934, as amended (collectively referred to herein as “Section 16 Directors and Officers”). The Compliance Officer, as defined below, will notify individuals who fall into this category.</w:t>
      </w:r>
    </w:p>
    <w:p>
      <w:pPr>
        <w:spacing w:after="0" w:line="68" w:lineRule="exact"/>
        <w:rPr>
          <w:rFonts w:ascii="Times New Roman" w:cs="Times New Roman" w:eastAsia="Times New Roman" w:hAnsi="Times New Roman"/>
          <w:sz w:val="22"/>
          <w:szCs w:val="22"/>
          <w:color w:val="auto"/>
        </w:rPr>
      </w:pPr>
    </w:p>
    <w:p>
      <w:pPr>
        <w:ind w:left="660" w:right="240" w:hanging="328"/>
        <w:spacing w:after="0" w:line="256" w:lineRule="auto"/>
        <w:tabs>
          <w:tab w:leader="none" w:pos="65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Officers and Key Employees</w:t>
      </w:r>
      <w:r>
        <w:rPr>
          <w:rFonts w:ascii="Times New Roman" w:cs="Times New Roman" w:eastAsia="Times New Roman" w:hAnsi="Times New Roman"/>
          <w:sz w:val="22"/>
          <w:szCs w:val="22"/>
          <w:color w:val="auto"/>
        </w:rPr>
        <w:t>. Designated provisions of this Policy Supplement apply to the other officers of the Company and to designated key employees. These other officers and key employees, whose duties cause them to regularly have access to material nonpublic information about the Company, will be notified by the Compliance Officer that they are subject to this Policy Supplement.</w:t>
      </w:r>
    </w:p>
    <w:p>
      <w:pPr>
        <w:spacing w:after="0" w:line="68" w:lineRule="exact"/>
        <w:rPr>
          <w:rFonts w:ascii="Times New Roman" w:cs="Times New Roman" w:eastAsia="Times New Roman" w:hAnsi="Times New Roman"/>
          <w:sz w:val="22"/>
          <w:szCs w:val="22"/>
          <w:color w:val="auto"/>
        </w:rPr>
      </w:pPr>
    </w:p>
    <w:p>
      <w:pPr>
        <w:ind w:left="660" w:right="500" w:hanging="328"/>
        <w:spacing w:after="0" w:line="256" w:lineRule="auto"/>
        <w:tabs>
          <w:tab w:leader="none" w:pos="65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If a director, officer or employee is covered in either of the above categories, this Policy Supplement applies equally to their immediate family members and other individuals living in their household. It also applies to anyone whose transactions in the Company’s securities are influenced or controlled by the individual subject to this Policy Supplement, including a trust, corporation, partnership or other association.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When Trading is Permitted – Trading Prohibitions during “Blackout Periods”</w:t>
      </w:r>
    </w:p>
    <w:p>
      <w:pPr>
        <w:spacing w:after="0" w:line="116" w:lineRule="exact"/>
        <w:rPr>
          <w:sz w:val="20"/>
          <w:szCs w:val="20"/>
          <w:color w:val="auto"/>
        </w:rPr>
      </w:pPr>
    </w:p>
    <w:p>
      <w:pPr>
        <w:ind w:right="20" w:firstLine="216"/>
        <w:spacing w:after="0" w:line="251" w:lineRule="auto"/>
        <w:rPr>
          <w:sz w:val="20"/>
          <w:szCs w:val="20"/>
          <w:color w:val="auto"/>
        </w:rPr>
      </w:pPr>
      <w:r>
        <w:rPr>
          <w:rFonts w:ascii="Times New Roman" w:cs="Times New Roman" w:eastAsia="Times New Roman" w:hAnsi="Times New Roman"/>
          <w:sz w:val="22"/>
          <w:szCs w:val="22"/>
          <w:color w:val="auto"/>
        </w:rPr>
        <w:t>Corporate Insiders may only trade in the Company’s securities when no “Blackout Period” is in effect, provided that there is no other prohibition described in this Policy Supplement. Regular blackout periods occur each quarter beginning on the tenth day of the calendar month in which each fiscal quarter closes and continuing through the end of the second trading day following the public release of the Company’s financial results for that fiscal quarter. Additional ad-hoc blackout periods may be declared from time to time by the Compliance Officer. Because of the unpredictability of ad-hoc blackout periods, Corporate Insiders should contact the Compliance Officer whenever they are considering a transaction in the Company’s</w:t>
      </w:r>
    </w:p>
    <w:p>
      <w:pPr>
        <w:sectPr>
          <w:pgSz w:w="11900" w:h="16838" w:orient="portrait"/>
          <w:cols w:equalWidth="0" w:num="1">
            <w:col w:w="11240"/>
          </w:cols>
          <w:pgMar w:left="320" w:top="114" w:right="339" w:bottom="1440" w:gutter="0" w:footer="0" w:header="0"/>
        </w:sectPr>
      </w:pPr>
    </w:p>
    <w:bookmarkStart w:id="90" w:name="page91"/>
    <w:bookmarkEnd w:id="90"/>
    <w:p>
      <w:pPr>
        <w:ind w:right="40"/>
        <w:spacing w:after="0" w:line="256" w:lineRule="auto"/>
        <w:rPr>
          <w:sz w:val="20"/>
          <w:szCs w:val="20"/>
          <w:color w:val="auto"/>
        </w:rPr>
      </w:pPr>
      <w:r>
        <w:rPr>
          <w:rFonts w:ascii="Times New Roman" w:cs="Times New Roman" w:eastAsia="Times New Roman" w:hAnsi="Times New Roman"/>
          <w:sz w:val="22"/>
          <w:szCs w:val="22"/>
          <w:color w:val="auto"/>
        </w:rPr>
        <w:t>securities. For Section 16 Directors and Officers wishing to trade, they must not only follow the blackout period restrictions but must also comply with the notification and pre-clearance procedures described below. Other employees that are merely subject to the basic Insider Trading Policy are not subject to the blackout periods and are not required to pre-clear their trades with the Compliance Officer but may not trade at any time that they possess material nonpublic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Illustration – Blackout Period</w:t>
      </w:r>
    </w:p>
    <w:p>
      <w:pPr>
        <w:spacing w:after="0" w:line="251" w:lineRule="exact"/>
        <w:rPr>
          <w:sz w:val="20"/>
          <w:szCs w:val="20"/>
          <w:color w:val="auto"/>
        </w:rPr>
      </w:pPr>
    </w:p>
    <w:p>
      <w:pPr>
        <w:ind w:right="80" w:firstLine="216"/>
        <w:spacing w:after="0" w:line="263" w:lineRule="auto"/>
        <w:rPr>
          <w:sz w:val="20"/>
          <w:szCs w:val="20"/>
          <w:color w:val="auto"/>
        </w:rPr>
      </w:pPr>
      <w:r>
        <w:rPr>
          <w:rFonts w:ascii="Times New Roman" w:cs="Times New Roman" w:eastAsia="Times New Roman" w:hAnsi="Times New Roman"/>
          <w:sz w:val="22"/>
          <w:szCs w:val="22"/>
          <w:color w:val="auto"/>
        </w:rPr>
        <w:t>If financial results for a quarter scheduled to end June 30 are released after the stock market closes on July 26, Corporate Insiders are prohibited from trading from June 10 through July 28, but could trade from July 29 through September 9 unless they are aware of material nonpublic information or the Compliance Officer has declared a special blackout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Trading when no Blackout Period is in Effect</w:t>
      </w:r>
    </w:p>
    <w:p>
      <w:pPr>
        <w:spacing w:after="0" w:line="251" w:lineRule="exact"/>
        <w:rPr>
          <w:sz w:val="20"/>
          <w:szCs w:val="20"/>
          <w:color w:val="auto"/>
        </w:rPr>
      </w:pPr>
    </w:p>
    <w:p>
      <w:pPr>
        <w:ind w:right="20" w:firstLine="216"/>
        <w:spacing w:after="0" w:line="250" w:lineRule="auto"/>
        <w:rPr>
          <w:sz w:val="20"/>
          <w:szCs w:val="20"/>
          <w:color w:val="auto"/>
        </w:rPr>
      </w:pPr>
      <w:r>
        <w:rPr>
          <w:rFonts w:ascii="Times New Roman" w:cs="Times New Roman" w:eastAsia="Times New Roman" w:hAnsi="Times New Roman"/>
          <w:sz w:val="22"/>
          <w:szCs w:val="22"/>
          <w:color w:val="auto"/>
        </w:rPr>
        <w:t>Merely because a blackout period is not in effect does not mean that unrestricted trading can commence. Trading between blackout periods does not amount to a “safe harbor” through which insider trading liability can be avoided. To the contrary, Corporate Insiders must always use good judgment when making trading decisions, particularly when there is any possibility that material non-public information could be involved. Also, there may be compelling reasons to voluntarily limit trading beyond what is legally required. The investment community regularly follows buying and selling practices by Section 16 Directors and Officers. Also, the Chief Executive Officer or the Board of Directors may have preferences regarding trading conduct by the executive group.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Requirement for Preclearance of Trades for Section 16 Directors and Officers</w:t>
      </w:r>
    </w:p>
    <w:p>
      <w:pPr>
        <w:spacing w:after="0" w:line="116" w:lineRule="exact"/>
        <w:rPr>
          <w:sz w:val="20"/>
          <w:szCs w:val="20"/>
          <w:color w:val="auto"/>
        </w:rPr>
      </w:pPr>
    </w:p>
    <w:p>
      <w:pPr>
        <w:ind w:firstLine="216"/>
        <w:spacing w:after="0" w:line="248" w:lineRule="auto"/>
        <w:rPr>
          <w:sz w:val="20"/>
          <w:szCs w:val="20"/>
          <w:color w:val="auto"/>
        </w:rPr>
      </w:pPr>
      <w:r>
        <w:rPr>
          <w:rFonts w:ascii="Times New Roman" w:cs="Times New Roman" w:eastAsia="Times New Roman" w:hAnsi="Times New Roman"/>
          <w:sz w:val="22"/>
          <w:szCs w:val="22"/>
          <w:color w:val="auto"/>
        </w:rPr>
        <w:t xml:space="preserve">Corporate Insiders who are Section 16 Directors and Officers may not engage in any transaction involving the Company’s securities </w:t>
      </w:r>
      <w:r>
        <w:rPr>
          <w:rFonts w:ascii="Times New Roman" w:cs="Times New Roman" w:eastAsia="Times New Roman" w:hAnsi="Times New Roman"/>
          <w:sz w:val="22"/>
          <w:szCs w:val="22"/>
          <w:i w:val="1"/>
          <w:iCs w:val="1"/>
          <w:color w:val="auto"/>
        </w:rPr>
        <w:t>without first obtaining pre-clearance of that transaction from the Compliance Officer</w:t>
      </w:r>
      <w:r>
        <w:rPr>
          <w:rFonts w:ascii="Times New Roman" w:cs="Times New Roman" w:eastAsia="Times New Roman" w:hAnsi="Times New Roman"/>
          <w:sz w:val="22"/>
          <w:szCs w:val="22"/>
          <w:color w:val="auto"/>
        </w:rPr>
        <w:t xml:space="preserve">. Prior to initiating any transaction in the Company’s securities, a Section 16 Director or Officer must deliver to the Compliance Officer a written notice describing any intended transaction in the Company’s securities during a permitted trading period (a form to request preclearance is attached as Exhibit A.) Notices of intended transactions and requests for approval may be delivered by fax or e-mail to the Compliance Officer. Clearance in response to a written request for approval will generally be valid until the end of the current permitted trading period, unless an earlier deadline is imposed by the Compliance Officer or the Corporate Insider is advised to the contrary. However, </w:t>
      </w:r>
      <w:r>
        <w:rPr>
          <w:rFonts w:ascii="Times New Roman" w:cs="Times New Roman" w:eastAsia="Times New Roman" w:hAnsi="Times New Roman"/>
          <w:sz w:val="22"/>
          <w:szCs w:val="22"/>
          <w:color w:val="3D3D3D"/>
        </w:rPr>
        <w:t>pre-clearance is not required for purchases and sales of securities under an Approved 10b5-1 Plan (as defined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D3D3D"/>
        </w:rPr>
        <w:t>below) once the applicable cooling-off period has expired. No trades may be made under an Approved 10b5-1 Plan until expiration of the applicable cooling-off period. With respect to any purchase or sale under an Approved 10b5-1 Plan, the third party effecting transactions on behalf of the Corporate Insider should be instructed to send duplicate confirmations of all such transactions to the Compliance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Form 144 Reports</w:t>
      </w:r>
    </w:p>
    <w:p>
      <w:pPr>
        <w:spacing w:after="0" w:line="116" w:lineRule="exact"/>
        <w:rPr>
          <w:sz w:val="20"/>
          <w:szCs w:val="20"/>
          <w:color w:val="auto"/>
        </w:rPr>
      </w:pPr>
    </w:p>
    <w:p>
      <w:pPr>
        <w:ind w:right="720" w:firstLine="216"/>
        <w:spacing w:after="0" w:line="271" w:lineRule="auto"/>
        <w:rPr>
          <w:sz w:val="20"/>
          <w:szCs w:val="20"/>
          <w:color w:val="auto"/>
        </w:rPr>
      </w:pPr>
      <w:r>
        <w:rPr>
          <w:rFonts w:ascii="Times New Roman" w:cs="Times New Roman" w:eastAsia="Times New Roman" w:hAnsi="Times New Roman"/>
          <w:sz w:val="22"/>
          <w:szCs w:val="22"/>
          <w:color w:val="auto"/>
        </w:rPr>
        <w:t>Section 16 Directors and Officers are required to file a Form 144 before making an open market sale of the Company’s securities. Form 144 notifies the Securities and Exchange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949" w:right="359" w:bottom="1440" w:gutter="0" w:footer="0" w:header="0"/>
        </w:sectPr>
      </w:pPr>
    </w:p>
    <w:bookmarkStart w:id="91" w:name="page92"/>
    <w:bookmarkEnd w:id="91"/>
    <w:p>
      <w:pPr>
        <w:jc w:val="both"/>
        <w:ind w:right="40"/>
        <w:spacing w:after="0" w:line="263" w:lineRule="auto"/>
        <w:rPr>
          <w:sz w:val="20"/>
          <w:szCs w:val="20"/>
          <w:color w:val="auto"/>
        </w:rPr>
      </w:pPr>
      <w:r>
        <w:rPr>
          <w:rFonts w:ascii="Times New Roman" w:cs="Times New Roman" w:eastAsia="Times New Roman" w:hAnsi="Times New Roman"/>
          <w:sz w:val="22"/>
          <w:szCs w:val="22"/>
          <w:color w:val="auto"/>
        </w:rPr>
        <w:t>Commission of the intention of such individuals to sell the Company’s securities. This form is the responsibility of the Section 16 Director or Officer but is often prepared and filed by the individual’s broker and is in addition to the Section 16 reports that must be filed by Section 16 Directors and Officers.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Restricted Transactions</w:t>
      </w:r>
    </w:p>
    <w:p>
      <w:pPr>
        <w:spacing w:after="0" w:line="116" w:lineRule="exact"/>
        <w:rPr>
          <w:sz w:val="20"/>
          <w:szCs w:val="20"/>
          <w:color w:val="auto"/>
        </w:rPr>
      </w:pPr>
    </w:p>
    <w:p>
      <w:pPr>
        <w:ind w:right="260" w:firstLine="216"/>
        <w:spacing w:after="0" w:line="271" w:lineRule="auto"/>
        <w:rPr>
          <w:sz w:val="20"/>
          <w:szCs w:val="20"/>
          <w:color w:val="auto"/>
        </w:rPr>
      </w:pPr>
      <w:r>
        <w:rPr>
          <w:rFonts w:ascii="Times New Roman" w:cs="Times New Roman" w:eastAsia="Times New Roman" w:hAnsi="Times New Roman"/>
          <w:sz w:val="22"/>
          <w:szCs w:val="22"/>
          <w:color w:val="auto"/>
        </w:rPr>
        <w:t>In addition to the restricted transactions set forth in the Company’s Insider Trading Policy, Section 16 Directors and Officers are also prohibited from engaging in the following additional transactions with respect to the Company’s securities:</w:t>
      </w:r>
    </w:p>
    <w:p>
      <w:pPr>
        <w:spacing w:after="0" w:line="50" w:lineRule="exact"/>
        <w:rPr>
          <w:sz w:val="20"/>
          <w:szCs w:val="20"/>
          <w:color w:val="auto"/>
        </w:rPr>
      </w:pPr>
    </w:p>
    <w:p>
      <w:pPr>
        <w:ind w:left="660" w:hanging="328"/>
        <w:spacing w:after="0"/>
        <w:tabs>
          <w:tab w:leader="none" w:pos="660" w:val="left"/>
        </w:tabs>
        <w:numPr>
          <w:ilvl w:val="0"/>
          <w:numId w:val="39"/>
        </w:numPr>
        <w:rPr>
          <w:rFonts w:ascii="Calibri" w:cs="Calibri" w:eastAsia="Calibri" w:hAnsi="Calibri"/>
          <w:sz w:val="22"/>
          <w:szCs w:val="22"/>
          <w:color w:val="auto"/>
        </w:rPr>
      </w:pPr>
      <w:r>
        <w:rPr>
          <w:rFonts w:ascii="Times New Roman" w:cs="Times New Roman" w:eastAsia="Times New Roman" w:hAnsi="Times New Roman"/>
          <w:sz w:val="22"/>
          <w:szCs w:val="22"/>
          <w:color w:val="auto"/>
        </w:rPr>
        <w:t>Purchasing the Company’s securities on margin, or otherwise pledging the Company’s securities;</w:t>
      </w:r>
    </w:p>
    <w:p>
      <w:pPr>
        <w:spacing w:after="0" w:line="136" w:lineRule="exact"/>
        <w:rPr>
          <w:rFonts w:ascii="Calibri" w:cs="Calibri" w:eastAsia="Calibri" w:hAnsi="Calibri"/>
          <w:sz w:val="22"/>
          <w:szCs w:val="22"/>
          <w:color w:val="auto"/>
        </w:rPr>
      </w:pPr>
    </w:p>
    <w:p>
      <w:pPr>
        <w:ind w:left="660" w:hanging="328"/>
        <w:spacing w:after="0"/>
        <w:tabs>
          <w:tab w:leader="none" w:pos="660" w:val="left"/>
        </w:tabs>
        <w:numPr>
          <w:ilvl w:val="0"/>
          <w:numId w:val="39"/>
        </w:numPr>
        <w:rPr>
          <w:rFonts w:ascii="Calibri" w:cs="Calibri" w:eastAsia="Calibri" w:hAnsi="Calibri"/>
          <w:sz w:val="22"/>
          <w:szCs w:val="22"/>
          <w:color w:val="auto"/>
        </w:rPr>
      </w:pPr>
      <w:r>
        <w:rPr>
          <w:rFonts w:ascii="Times New Roman" w:cs="Times New Roman" w:eastAsia="Times New Roman" w:hAnsi="Times New Roman"/>
          <w:sz w:val="22"/>
          <w:szCs w:val="22"/>
          <w:color w:val="auto"/>
        </w:rPr>
        <w:t>Short sales of the Company’s securities;</w:t>
      </w:r>
    </w:p>
    <w:p>
      <w:pPr>
        <w:spacing w:after="0" w:line="122" w:lineRule="exact"/>
        <w:rPr>
          <w:rFonts w:ascii="Calibri" w:cs="Calibri" w:eastAsia="Calibri" w:hAnsi="Calibri"/>
          <w:sz w:val="22"/>
          <w:szCs w:val="22"/>
          <w:color w:val="auto"/>
        </w:rPr>
      </w:pPr>
    </w:p>
    <w:p>
      <w:pPr>
        <w:ind w:left="660" w:right="40" w:hanging="328"/>
        <w:spacing w:after="0" w:line="262" w:lineRule="auto"/>
        <w:tabs>
          <w:tab w:leader="none" w:pos="660" w:val="left"/>
        </w:tabs>
        <w:numPr>
          <w:ilvl w:val="0"/>
          <w:numId w:val="39"/>
        </w:numPr>
        <w:rPr>
          <w:rFonts w:ascii="Calibri" w:cs="Calibri" w:eastAsia="Calibri" w:hAnsi="Calibri"/>
          <w:sz w:val="22"/>
          <w:szCs w:val="22"/>
          <w:color w:val="auto"/>
        </w:rPr>
      </w:pPr>
      <w:r>
        <w:rPr>
          <w:rFonts w:ascii="Times New Roman" w:cs="Times New Roman" w:eastAsia="Times New Roman" w:hAnsi="Times New Roman"/>
          <w:sz w:val="22"/>
          <w:szCs w:val="22"/>
          <w:color w:val="auto"/>
        </w:rPr>
        <w:t>Buying or selling put or call options on the Company’s securities, or entering into hedging transactions with respect to the Company’s securities such as “costless collars,” “prepaid variable forwards,” “equity swaps” or similar transactions intended to preserve value;</w:t>
      </w:r>
    </w:p>
    <w:p>
      <w:pPr>
        <w:spacing w:after="0" w:line="58" w:lineRule="exact"/>
        <w:rPr>
          <w:rFonts w:ascii="Calibri" w:cs="Calibri" w:eastAsia="Calibri" w:hAnsi="Calibri"/>
          <w:sz w:val="22"/>
          <w:szCs w:val="22"/>
          <w:color w:val="auto"/>
        </w:rPr>
      </w:pPr>
    </w:p>
    <w:p>
      <w:pPr>
        <w:ind w:left="660" w:right="240" w:hanging="328"/>
        <w:spacing w:after="0" w:line="282" w:lineRule="auto"/>
        <w:tabs>
          <w:tab w:leader="none" w:pos="660" w:val="left"/>
        </w:tabs>
        <w:numPr>
          <w:ilvl w:val="0"/>
          <w:numId w:val="39"/>
        </w:numPr>
        <w:rPr>
          <w:rFonts w:ascii="Calibri" w:cs="Calibri" w:eastAsia="Calibri" w:hAnsi="Calibri"/>
          <w:sz w:val="22"/>
          <w:szCs w:val="22"/>
          <w:color w:val="auto"/>
        </w:rPr>
      </w:pPr>
      <w:r>
        <w:rPr>
          <w:rFonts w:ascii="Times New Roman" w:cs="Times New Roman" w:eastAsia="Times New Roman" w:hAnsi="Times New Roman"/>
          <w:sz w:val="22"/>
          <w:szCs w:val="22"/>
          <w:color w:val="auto"/>
        </w:rPr>
        <w:t>Engaging in limit orders, standing orders or other pre-arranged transactions that execute automatically, except for under Approved 10b5-1 Plans (as defined below) that are not otherwise subject to limitations; and</w:t>
      </w:r>
    </w:p>
    <w:p>
      <w:pPr>
        <w:spacing w:after="0" w:line="48" w:lineRule="exact"/>
        <w:rPr>
          <w:rFonts w:ascii="Calibri" w:cs="Calibri" w:eastAsia="Calibri" w:hAnsi="Calibri"/>
          <w:sz w:val="22"/>
          <w:szCs w:val="22"/>
          <w:color w:val="auto"/>
        </w:rPr>
      </w:pPr>
    </w:p>
    <w:p>
      <w:pPr>
        <w:ind w:left="660" w:hanging="328"/>
        <w:spacing w:after="0" w:line="250" w:lineRule="auto"/>
        <w:tabs>
          <w:tab w:leader="none" w:pos="65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Short-swing Trading Restrictions. Section 16 Directors and Officers must also comply with the reporting obligations and limitations on short-swing trading transactions imposed by Section 16 of the Securities Exchange Act of 1934. Among other things, Section 16 may require Section 16 Directors and Officers to pay over to the Company any profit realized from any purchase and sale (in either order) of the Company’s securities that occur within six months of each other, unless an exemption exists.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Transaction Exceptions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D3D3D"/>
        </w:rPr>
        <w:t>The trading restrictions of this Policy do not apply to Exempted Transactions, as defined in the Insider Trading Policy.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Exceptions for Approved 10b5-1 Plans</w:t>
      </w:r>
    </w:p>
    <w:p>
      <w:pPr>
        <w:spacing w:after="0" w:line="116" w:lineRule="exact"/>
        <w:rPr>
          <w:sz w:val="20"/>
          <w:szCs w:val="20"/>
          <w:color w:val="auto"/>
        </w:rPr>
      </w:pPr>
    </w:p>
    <w:p>
      <w:pPr>
        <w:ind w:right="40" w:firstLine="216"/>
        <w:spacing w:after="0" w:line="263" w:lineRule="auto"/>
        <w:rPr>
          <w:sz w:val="20"/>
          <w:szCs w:val="20"/>
          <w:color w:val="auto"/>
        </w:rPr>
      </w:pPr>
      <w:r>
        <w:rPr>
          <w:rFonts w:ascii="Times New Roman" w:cs="Times New Roman" w:eastAsia="Times New Roman" w:hAnsi="Times New Roman"/>
          <w:sz w:val="22"/>
          <w:szCs w:val="22"/>
          <w:color w:val="3D3D3D"/>
        </w:rPr>
        <w:t xml:space="preserve">The trading restrictions of this Policy do not apply to transactions under a pre-existing written plan, contract, instruction, or arrangement under Rule 10b5-1 under the Securities Exchange Act of 1934 (an </w:t>
      </w:r>
      <w:r>
        <w:rPr>
          <w:rFonts w:ascii="Times New Roman" w:cs="Times New Roman" w:eastAsia="Times New Roman" w:hAnsi="Times New Roman"/>
          <w:sz w:val="22"/>
          <w:szCs w:val="22"/>
          <w:color w:val="000000"/>
        </w:rPr>
        <w:t>“Approved 10b5-1 Plan”</w:t>
      </w:r>
      <w:r>
        <w:rPr>
          <w:rFonts w:ascii="Times New Roman" w:cs="Times New Roman" w:eastAsia="Times New Roman" w:hAnsi="Times New Roman"/>
          <w:sz w:val="22"/>
          <w:szCs w:val="22"/>
          <w:color w:val="3D3D3D"/>
        </w:rPr>
        <w:t>) that meet the following requirements:</w:t>
      </w:r>
    </w:p>
    <w:p>
      <w:pPr>
        <w:spacing w:after="0" w:line="194" w:lineRule="exact"/>
        <w:rPr>
          <w:sz w:val="20"/>
          <w:szCs w:val="20"/>
          <w:color w:val="auto"/>
        </w:rPr>
      </w:pPr>
    </w:p>
    <w:p>
      <w:pPr>
        <w:ind w:left="660" w:right="360" w:hanging="328"/>
        <w:spacing w:after="0" w:line="250" w:lineRule="auto"/>
        <w:tabs>
          <w:tab w:leader="none" w:pos="655" w:val="left"/>
        </w:tabs>
        <w:numPr>
          <w:ilvl w:val="0"/>
          <w:numId w:val="40"/>
        </w:numPr>
        <w:rPr>
          <w:rFonts w:ascii="Times New Roman" w:cs="Times New Roman" w:eastAsia="Times New Roman" w:hAnsi="Times New Roman"/>
          <w:sz w:val="22"/>
          <w:szCs w:val="22"/>
          <w:color w:val="3D3D3D"/>
        </w:rPr>
      </w:pPr>
      <w:r>
        <w:rPr>
          <w:rFonts w:ascii="Times New Roman" w:cs="Times New Roman" w:eastAsia="Times New Roman" w:hAnsi="Times New Roman"/>
          <w:sz w:val="22"/>
          <w:szCs w:val="22"/>
          <w:color w:val="3D3D3D"/>
        </w:rPr>
        <w:t>it has been reviewed and approved by the Compliance Officer at least five days in advance of being entered into (or, if revised or amended, such proposed revisions or amendments have been reviewed and approved by the Compliance Officer at least five days in advance of being entered into);</w:t>
      </w:r>
    </w:p>
    <w:p>
      <w:pPr>
        <w:spacing w:after="0" w:line="2" w:lineRule="exact"/>
        <w:rPr>
          <w:rFonts w:ascii="Times New Roman" w:cs="Times New Roman" w:eastAsia="Times New Roman" w:hAnsi="Times New Roman"/>
          <w:sz w:val="22"/>
          <w:szCs w:val="22"/>
          <w:color w:val="3D3D3D"/>
        </w:rPr>
      </w:pPr>
    </w:p>
    <w:p>
      <w:pPr>
        <w:ind w:left="660" w:hanging="328"/>
        <w:spacing w:after="0"/>
        <w:tabs>
          <w:tab w:leader="none" w:pos="660" w:val="left"/>
        </w:tabs>
        <w:numPr>
          <w:ilvl w:val="0"/>
          <w:numId w:val="40"/>
        </w:numPr>
        <w:rPr>
          <w:rFonts w:ascii="Times New Roman" w:cs="Times New Roman" w:eastAsia="Times New Roman" w:hAnsi="Times New Roman"/>
          <w:sz w:val="22"/>
          <w:szCs w:val="22"/>
          <w:color w:val="3D3D3D"/>
        </w:rPr>
      </w:pPr>
      <w:r>
        <w:rPr>
          <w:rFonts w:ascii="Times New Roman" w:cs="Times New Roman" w:eastAsia="Times New Roman" w:hAnsi="Times New Roman"/>
          <w:sz w:val="22"/>
          <w:szCs w:val="22"/>
          <w:color w:val="3D3D3D"/>
        </w:rPr>
        <w:t>it provides that no trades may occur thereunder until expiration of the applicable cooling-off period specified in Rule</w:t>
      </w:r>
    </w:p>
    <w:p>
      <w:pPr>
        <w:spacing w:after="0" w:line="3" w:lineRule="exact"/>
        <w:rPr>
          <w:rFonts w:ascii="Times New Roman" w:cs="Times New Roman" w:eastAsia="Times New Roman" w:hAnsi="Times New Roman"/>
          <w:sz w:val="22"/>
          <w:szCs w:val="22"/>
          <w:color w:val="3D3D3D"/>
        </w:rPr>
      </w:pPr>
    </w:p>
    <w:p>
      <w:pPr>
        <w:ind w:left="660" w:right="60"/>
        <w:spacing w:after="0" w:line="252" w:lineRule="auto"/>
        <w:rPr>
          <w:rFonts w:ascii="Times New Roman" w:cs="Times New Roman" w:eastAsia="Times New Roman" w:hAnsi="Times New Roman"/>
          <w:sz w:val="22"/>
          <w:szCs w:val="22"/>
          <w:color w:val="3D3D3D"/>
        </w:rPr>
      </w:pPr>
      <w:r>
        <w:rPr>
          <w:rFonts w:ascii="Times New Roman" w:cs="Times New Roman" w:eastAsia="Times New Roman" w:hAnsi="Times New Roman"/>
          <w:sz w:val="22"/>
          <w:szCs w:val="22"/>
          <w:color w:val="3D3D3D"/>
        </w:rPr>
        <w:t>10b5-1(c)(ii)(B), and no trades occur until after that time. The appropriate cooling-off period will vary based on the status of the Corporate Insider. For directors and officers, the cooling-off period ends on the later of (x) ninety days after adoption or certain modifications of the 10b5-1 plan; or (y) two business days following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949" w:right="339" w:bottom="1440" w:gutter="0" w:footer="0" w:header="0"/>
        </w:sectPr>
      </w:pPr>
    </w:p>
    <w:bookmarkStart w:id="92" w:name="page93"/>
    <w:bookmarkEnd w:id="92"/>
    <w:p>
      <w:pPr>
        <w:ind w:left="660"/>
        <w:spacing w:after="0" w:line="252" w:lineRule="auto"/>
        <w:rPr>
          <w:sz w:val="20"/>
          <w:szCs w:val="20"/>
          <w:color w:val="auto"/>
        </w:rPr>
      </w:pPr>
      <w:r>
        <w:rPr>
          <w:rFonts w:ascii="Times New Roman" w:cs="Times New Roman" w:eastAsia="Times New Roman" w:hAnsi="Times New Roman"/>
          <w:sz w:val="22"/>
          <w:szCs w:val="22"/>
          <w:color w:val="3D3D3D"/>
        </w:rPr>
        <w:t>disclosure of the Company's financial results in a Form 10-Q or Form 10-K for the quarter in which the 10b5-1 plan was adopted. For all other Corporate Insiders, the cooling-off period ends 30 days after adoption or modification of the 10b5-1 plan. This required cooling-off period will apply to the entry into a new 10b5-1 plan and any revision or modification of a 10b5-1 plan;</w:t>
      </w:r>
    </w:p>
    <w:p>
      <w:pPr>
        <w:spacing w:after="0" w:line="1" w:lineRule="exact"/>
        <w:rPr>
          <w:sz w:val="20"/>
          <w:szCs w:val="20"/>
          <w:color w:val="auto"/>
        </w:rPr>
      </w:pPr>
    </w:p>
    <w:p>
      <w:pPr>
        <w:ind w:left="660" w:right="200" w:hanging="328"/>
        <w:spacing w:after="0" w:line="246" w:lineRule="auto"/>
        <w:tabs>
          <w:tab w:leader="none" w:pos="655" w:val="left"/>
        </w:tabs>
        <w:numPr>
          <w:ilvl w:val="0"/>
          <w:numId w:val="41"/>
        </w:numPr>
        <w:rPr>
          <w:rFonts w:ascii="Times New Roman" w:cs="Times New Roman" w:eastAsia="Times New Roman" w:hAnsi="Times New Roman"/>
          <w:sz w:val="22"/>
          <w:szCs w:val="22"/>
          <w:color w:val="3D3D3D"/>
        </w:rPr>
      </w:pPr>
      <w:r>
        <w:rPr>
          <w:rFonts w:ascii="Times New Roman" w:cs="Times New Roman" w:eastAsia="Times New Roman" w:hAnsi="Times New Roman"/>
          <w:sz w:val="22"/>
          <w:szCs w:val="22"/>
          <w:color w:val="3D3D3D"/>
        </w:rPr>
        <w:t>it is entered into in good faith by the Corporate Insiders, and not as part of a plan or scheme to evade the prohibitions of Rule 10b5-1, at a time when the Corporate Insider is not in possession of material nonpublic information about the Company; and, if the Corporate Insider is a director or officer, the 10b5-1 plan must include representations by the Corporate Insider certifying to that effect;</w:t>
      </w:r>
    </w:p>
    <w:p>
      <w:pPr>
        <w:spacing w:after="0" w:line="2" w:lineRule="exact"/>
        <w:rPr>
          <w:rFonts w:ascii="Times New Roman" w:cs="Times New Roman" w:eastAsia="Times New Roman" w:hAnsi="Times New Roman"/>
          <w:sz w:val="22"/>
          <w:szCs w:val="22"/>
          <w:color w:val="3D3D3D"/>
        </w:rPr>
      </w:pPr>
    </w:p>
    <w:p>
      <w:pPr>
        <w:ind w:left="660" w:hanging="328"/>
        <w:spacing w:after="0" w:line="243" w:lineRule="auto"/>
        <w:tabs>
          <w:tab w:leader="none" w:pos="655" w:val="left"/>
        </w:tabs>
        <w:numPr>
          <w:ilvl w:val="0"/>
          <w:numId w:val="41"/>
        </w:numPr>
        <w:rPr>
          <w:rFonts w:ascii="Times New Roman" w:cs="Times New Roman" w:eastAsia="Times New Roman" w:hAnsi="Times New Roman"/>
          <w:sz w:val="22"/>
          <w:szCs w:val="22"/>
          <w:color w:val="3D3D3D"/>
        </w:rPr>
      </w:pPr>
      <w:r>
        <w:rPr>
          <w:rFonts w:ascii="Times New Roman" w:cs="Times New Roman" w:eastAsia="Times New Roman" w:hAnsi="Times New Roman"/>
          <w:sz w:val="22"/>
          <w:szCs w:val="22"/>
          <w:color w:val="3D3D3D"/>
        </w:rPr>
        <w:t>it gives a third party the discretionary authority to execute such purchases and sales, outside the control of the Corporate Insider,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spacing w:after="0" w:line="1" w:lineRule="exact"/>
        <w:rPr>
          <w:rFonts w:ascii="Times New Roman" w:cs="Times New Roman" w:eastAsia="Times New Roman" w:hAnsi="Times New Roman"/>
          <w:sz w:val="22"/>
          <w:szCs w:val="22"/>
          <w:color w:val="3D3D3D"/>
        </w:rPr>
      </w:pPr>
    </w:p>
    <w:p>
      <w:pPr>
        <w:ind w:left="660" w:right="60" w:hanging="328"/>
        <w:spacing w:after="0" w:line="261" w:lineRule="auto"/>
        <w:tabs>
          <w:tab w:leader="none" w:pos="655" w:val="left"/>
        </w:tabs>
        <w:numPr>
          <w:ilvl w:val="0"/>
          <w:numId w:val="41"/>
        </w:numPr>
        <w:rPr>
          <w:rFonts w:ascii="Times New Roman" w:cs="Times New Roman" w:eastAsia="Times New Roman" w:hAnsi="Times New Roman"/>
          <w:sz w:val="22"/>
          <w:szCs w:val="22"/>
          <w:color w:val="3D3D3D"/>
        </w:rPr>
      </w:pPr>
      <w:r>
        <w:rPr>
          <w:rFonts w:ascii="Times New Roman" w:cs="Times New Roman" w:eastAsia="Times New Roman" w:hAnsi="Times New Roman"/>
          <w:sz w:val="22"/>
          <w:szCs w:val="22"/>
          <w:color w:val="3D3D3D"/>
        </w:rPr>
        <w:t>it is the only outstanding Approved 10b5-1 Plan entered into by the Corporate Insider (subject to the exceptions set out in Rule 10b5-1(c)(ii)(D)).</w:t>
      </w:r>
    </w:p>
    <w:p>
      <w:pPr>
        <w:spacing w:after="0" w:line="195" w:lineRule="exact"/>
        <w:rPr>
          <w:sz w:val="20"/>
          <w:szCs w:val="20"/>
          <w:color w:val="auto"/>
        </w:rPr>
      </w:pPr>
    </w:p>
    <w:p>
      <w:pPr>
        <w:ind w:right="280" w:firstLine="216"/>
        <w:spacing w:after="0" w:line="252" w:lineRule="auto"/>
        <w:rPr>
          <w:sz w:val="20"/>
          <w:szCs w:val="20"/>
          <w:color w:val="auto"/>
        </w:rPr>
      </w:pPr>
      <w:r>
        <w:rPr>
          <w:rFonts w:ascii="Times New Roman" w:cs="Times New Roman" w:eastAsia="Times New Roman" w:hAnsi="Times New Roman"/>
          <w:sz w:val="22"/>
          <w:szCs w:val="22"/>
          <w:color w:val="3D3D3D"/>
        </w:rPr>
        <w:t>If you are considering entering into, modifying or terminating an Approved 10b5-1 Plan or have any questions regarding Approved 10b5-1 Plans, please contact the Compliance Officer. You should consult your own legal and tax advisors before entering into, or modifying or terminating, an Approved 10b5-1 Plan. A trading plan, contract, instruction or arrangement will not qualify as an Approved 10b5-1 Plan without the prior review and approval of the Compliance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Appointment and Duties of the Compliance Officer</w:t>
      </w:r>
    </w:p>
    <w:p>
      <w:pPr>
        <w:spacing w:after="0" w:line="116" w:lineRule="exact"/>
        <w:rPr>
          <w:sz w:val="20"/>
          <w:szCs w:val="20"/>
          <w:color w:val="auto"/>
        </w:rPr>
      </w:pPr>
    </w:p>
    <w:p>
      <w:pPr>
        <w:ind w:right="100" w:firstLine="212"/>
        <w:spacing w:after="0" w:line="295" w:lineRule="auto"/>
        <w:rPr>
          <w:sz w:val="20"/>
          <w:szCs w:val="20"/>
          <w:color w:val="auto"/>
        </w:rPr>
      </w:pPr>
      <w:r>
        <w:rPr>
          <w:rFonts w:ascii="Times New Roman" w:cs="Times New Roman" w:eastAsia="Times New Roman" w:hAnsi="Times New Roman"/>
          <w:sz w:val="21"/>
          <w:szCs w:val="21"/>
          <w:color w:val="auto"/>
        </w:rPr>
        <w:t>The Company has appointed the Company’s Chief Financial Officer as the Insider Trading Compliance Officer (“Compliance Officer”). The Compliance Officer may assign certain of the related duties to another Company employee from time to time.</w:t>
      </w:r>
    </w:p>
    <w:p>
      <w:pPr>
        <w:spacing w:after="0" w:line="27" w:lineRule="exact"/>
        <w:rPr>
          <w:sz w:val="20"/>
          <w:szCs w:val="20"/>
          <w:color w:val="auto"/>
        </w:rPr>
      </w:pPr>
    </w:p>
    <w:p>
      <w:pPr>
        <w:ind w:firstLine="212"/>
        <w:spacing w:after="0" w:line="256" w:lineRule="auto"/>
        <w:rPr>
          <w:sz w:val="20"/>
          <w:szCs w:val="20"/>
          <w:color w:val="auto"/>
        </w:rPr>
      </w:pPr>
      <w:r>
        <w:rPr>
          <w:rFonts w:ascii="Times New Roman" w:cs="Times New Roman" w:eastAsia="Times New Roman" w:hAnsi="Times New Roman"/>
          <w:sz w:val="22"/>
          <w:szCs w:val="22"/>
          <w:color w:val="auto"/>
        </w:rPr>
        <w:t>The appointment of a Compliance Officer does not shift responsibilities under this Policy away from the individual. The individual remains solely responsible for compliance with this Policy. The duties of the Compliance Officer are strictly for the Company’s benefit. Neither the Compliance Officer nor any of the Company’s employed or retained attorneys shall be deemed to represent individual employees or other Covered Persons.</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duties of the Compliance Officer shall include the following:</w:t>
      </w:r>
    </w:p>
    <w:p>
      <w:pPr>
        <w:spacing w:after="0" w:line="112" w:lineRule="exact"/>
        <w:rPr>
          <w:sz w:val="20"/>
          <w:szCs w:val="20"/>
          <w:color w:val="auto"/>
        </w:rPr>
      </w:pPr>
    </w:p>
    <w:p>
      <w:pPr>
        <w:ind w:left="660" w:right="700" w:hanging="328"/>
        <w:spacing w:after="0" w:line="271" w:lineRule="auto"/>
        <w:tabs>
          <w:tab w:leader="none" w:pos="62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transactions made pursuant to an Approved 10b5-1 Plan, pre-clearance of all transactions involving the Company’s securities by the Corporate Insiders.</w:t>
      </w:r>
    </w:p>
    <w:p>
      <w:pPr>
        <w:spacing w:after="0" w:line="49" w:lineRule="exact"/>
        <w:rPr>
          <w:rFonts w:ascii="Times New Roman" w:cs="Times New Roman" w:eastAsia="Times New Roman" w:hAnsi="Times New Roman"/>
          <w:sz w:val="22"/>
          <w:szCs w:val="22"/>
          <w:color w:val="auto"/>
        </w:rPr>
      </w:pPr>
    </w:p>
    <w:p>
      <w:pPr>
        <w:ind w:left="660" w:right="400" w:hanging="328"/>
        <w:spacing w:after="0" w:line="284" w:lineRule="auto"/>
        <w:tabs>
          <w:tab w:leader="none" w:pos="62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Coordinate with the Company’s outside counsel (or other designated party) in the preparation and filing of Section 16 reports (Forms 3, 4 and 5) for all Section 16 Directors and Officers.</w:t>
      </w:r>
    </w:p>
    <w:p>
      <w:pPr>
        <w:spacing w:after="0" w:line="35" w:lineRule="exact"/>
        <w:rPr>
          <w:rFonts w:ascii="Times New Roman" w:cs="Times New Roman" w:eastAsia="Times New Roman" w:hAnsi="Times New Roman"/>
          <w:sz w:val="22"/>
          <w:szCs w:val="22"/>
          <w:color w:val="auto"/>
        </w:rPr>
      </w:pPr>
    </w:p>
    <w:p>
      <w:pPr>
        <w:ind w:left="660" w:right="180" w:hanging="328"/>
        <w:spacing w:after="0" w:line="271" w:lineRule="auto"/>
        <w:tabs>
          <w:tab w:leader="none" w:pos="62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 as the Company’s designated recipient of copies of reports filed with the Securities and Exchange Commission by Section 16 Directors and Officers under Section 16 of the Exchange Act.</w:t>
      </w:r>
    </w:p>
    <w:p>
      <w:pPr>
        <w:spacing w:after="0" w:line="49"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Periodically remind Section 16 Directors and Officers of their obligations to report under Section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00"/>
          </w:cols>
          <w:pgMar w:left="320" w:top="949" w:right="379" w:bottom="1440" w:gutter="0" w:footer="0" w:header="0"/>
        </w:sectPr>
      </w:pPr>
    </w:p>
    <w:bookmarkStart w:id="93" w:name="page94"/>
    <w:bookmarkEnd w:id="93"/>
    <w:p>
      <w:pPr>
        <w:ind w:left="328" w:hanging="328"/>
        <w:spacing w:after="0" w:line="271" w:lineRule="auto"/>
        <w:tabs>
          <w:tab w:leader="none" w:pos="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quarterly reminders to Corporate Insiders of any regular blackout periods then in effect and communicate ad-hoc blackout periods that may be declared from time to time.</w:t>
      </w:r>
    </w:p>
    <w:p>
      <w:pPr>
        <w:spacing w:after="0" w:line="63" w:lineRule="exact"/>
        <w:rPr>
          <w:rFonts w:ascii="Times New Roman" w:cs="Times New Roman" w:eastAsia="Times New Roman" w:hAnsi="Times New Roman"/>
          <w:sz w:val="22"/>
          <w:szCs w:val="22"/>
          <w:color w:val="auto"/>
        </w:rPr>
      </w:pPr>
    </w:p>
    <w:p>
      <w:pPr>
        <w:ind w:left="328" w:right="220" w:hanging="328"/>
        <w:spacing w:after="0" w:line="257" w:lineRule="auto"/>
        <w:tabs>
          <w:tab w:leader="none" w:pos="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periodic cross-checks of available materials, which may include Forms 3, 4 and 5, Forms 144, director’s and officer’s questionnaires, and reports received from the Company’s stock administrator and transfer agent, to determine trading activity by Corporate Insiders.</w:t>
      </w:r>
    </w:p>
    <w:p>
      <w:pPr>
        <w:spacing w:after="0" w:line="64" w:lineRule="exact"/>
        <w:rPr>
          <w:rFonts w:ascii="Times New Roman" w:cs="Times New Roman" w:eastAsia="Times New Roman" w:hAnsi="Times New Roman"/>
          <w:sz w:val="22"/>
          <w:szCs w:val="22"/>
          <w:color w:val="auto"/>
        </w:rPr>
      </w:pPr>
    </w:p>
    <w:p>
      <w:pPr>
        <w:jc w:val="both"/>
        <w:ind w:left="328" w:right="60" w:hanging="328"/>
        <w:spacing w:after="0" w:line="263" w:lineRule="auto"/>
        <w:tabs>
          <w:tab w:leader="none" w:pos="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Coordinate the circulation of the Insider Trading Policy (and/or a summary thereof) to all Covered Persons on an annual basis, provide that Policy to new Covered Persons joining or serving the Company and distribute the Policy Supplement to the Corporate Insiders in a similar fashion.</w:t>
      </w:r>
    </w:p>
    <w:p>
      <w:pPr>
        <w:spacing w:after="0" w:line="59" w:lineRule="exact"/>
        <w:rPr>
          <w:rFonts w:ascii="Times New Roman" w:cs="Times New Roman" w:eastAsia="Times New Roman" w:hAnsi="Times New Roman"/>
          <w:sz w:val="22"/>
          <w:szCs w:val="22"/>
          <w:color w:val="auto"/>
        </w:rPr>
      </w:pPr>
    </w:p>
    <w:p>
      <w:pPr>
        <w:ind w:left="288" w:hanging="288"/>
        <w:spacing w:after="0"/>
        <w:tabs>
          <w:tab w:leader="none" w:pos="28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the Company in implementation of the Insider Trading Policy and the Policy Supplement.</w:t>
      </w:r>
    </w:p>
    <w:p>
      <w:pPr>
        <w:spacing w:after="0" w:line="111" w:lineRule="exact"/>
        <w:rPr>
          <w:rFonts w:ascii="Times New Roman" w:cs="Times New Roman" w:eastAsia="Times New Roman" w:hAnsi="Times New Roman"/>
          <w:sz w:val="22"/>
          <w:szCs w:val="22"/>
          <w:color w:val="auto"/>
        </w:rPr>
      </w:pPr>
    </w:p>
    <w:p>
      <w:pPr>
        <w:ind w:left="328" w:right="60" w:hanging="328"/>
        <w:spacing w:after="0" w:line="271" w:lineRule="auto"/>
        <w:tabs>
          <w:tab w:leader="none" w:pos="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Coordinate with the Company’s outside counsel regarding compliance activities with respect to Rule 144 and Section 16 requirements as well as changing regulatory standards that could necessitate amendments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768"/>
          </w:cols>
          <w:pgMar w:left="652" w:top="949" w:right="4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86"/>
        </w:trPr>
        <w:tc>
          <w:tcPr>
            <w:tcW w:w="1360" w:type="dxa"/>
            <w:vAlign w:val="bottom"/>
          </w:tcPr>
          <w:p>
            <w:pPr>
              <w:spacing w:after="0"/>
              <w:rPr>
                <w:sz w:val="24"/>
                <w:szCs w:val="24"/>
                <w:color w:val="auto"/>
              </w:rPr>
            </w:pPr>
          </w:p>
        </w:tc>
        <w:tc>
          <w:tcPr>
            <w:tcW w:w="9860" w:type="dxa"/>
            <w:vAlign w:val="bottom"/>
          </w:tcPr>
          <w:p>
            <w:pPr>
              <w:jc w:val="center"/>
              <w:ind w:right="1252"/>
              <w:spacing w:after="0"/>
              <w:rPr>
                <w:sz w:val="20"/>
                <w:szCs w:val="20"/>
                <w:color w:val="auto"/>
              </w:rPr>
            </w:pPr>
            <w:r>
              <w:rPr>
                <w:rFonts w:ascii="Times New Roman" w:cs="Times New Roman" w:eastAsia="Times New Roman" w:hAnsi="Times New Roman"/>
                <w:sz w:val="22"/>
                <w:szCs w:val="22"/>
                <w:b w:val="1"/>
                <w:bCs w:val="1"/>
                <w:color w:val="auto"/>
                <w:w w:val="98"/>
              </w:rPr>
              <w:t>Exhibit A</w:t>
            </w:r>
          </w:p>
        </w:tc>
      </w:tr>
      <w:tr>
        <w:trPr>
          <w:trHeight w:val="364"/>
        </w:trPr>
        <w:tc>
          <w:tcPr>
            <w:tcW w:w="1360" w:type="dxa"/>
            <w:vAlign w:val="bottom"/>
          </w:tcPr>
          <w:p>
            <w:pPr>
              <w:spacing w:after="0"/>
              <w:rPr>
                <w:sz w:val="24"/>
                <w:szCs w:val="24"/>
                <w:color w:val="auto"/>
              </w:rPr>
            </w:pPr>
          </w:p>
        </w:tc>
        <w:tc>
          <w:tcPr>
            <w:tcW w:w="9860" w:type="dxa"/>
            <w:vAlign w:val="bottom"/>
          </w:tcPr>
          <w:p>
            <w:pPr>
              <w:jc w:val="center"/>
              <w:ind w:right="1272"/>
              <w:spacing w:after="0"/>
              <w:rPr>
                <w:sz w:val="20"/>
                <w:szCs w:val="20"/>
                <w:color w:val="auto"/>
              </w:rPr>
            </w:pPr>
            <w:r>
              <w:rPr>
                <w:rFonts w:ascii="Times New Roman" w:cs="Times New Roman" w:eastAsia="Times New Roman" w:hAnsi="Times New Roman"/>
                <w:sz w:val="22"/>
                <w:szCs w:val="22"/>
                <w:b w:val="1"/>
                <w:bCs w:val="1"/>
                <w:color w:val="auto"/>
                <w:w w:val="97"/>
              </w:rPr>
              <w:t>Notice of Intent to Trade in Proto Labs, Inc. Securities</w:t>
            </w:r>
          </w:p>
        </w:tc>
      </w:tr>
      <w:tr>
        <w:trPr>
          <w:trHeight w:val="446"/>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TO:</w:t>
            </w:r>
          </w:p>
        </w:tc>
        <w:tc>
          <w:tcPr>
            <w:tcW w:w="9860" w:type="dxa"/>
            <w:vAlign w:val="bottom"/>
          </w:tcPr>
          <w:p>
            <w:pPr>
              <w:spacing w:after="0"/>
              <w:rPr>
                <w:sz w:val="20"/>
                <w:szCs w:val="20"/>
                <w:color w:val="auto"/>
              </w:rPr>
            </w:pPr>
            <w:r>
              <w:rPr>
                <w:rFonts w:ascii="Times New Roman" w:cs="Times New Roman" w:eastAsia="Times New Roman" w:hAnsi="Times New Roman"/>
                <w:sz w:val="22"/>
                <w:szCs w:val="22"/>
                <w:color w:val="auto"/>
              </w:rPr>
              <w:t>Insider Trading Compliance Officer of Proto Labs, Inc.</w:t>
            </w:r>
          </w:p>
        </w:tc>
      </w:tr>
      <w:tr>
        <w:trPr>
          <w:trHeight w:val="54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FROM:</w:t>
            </w:r>
          </w:p>
        </w:tc>
        <w:tc>
          <w:tcPr>
            <w:tcW w:w="9860" w:type="dxa"/>
            <w:vAlign w:val="bottom"/>
            <w:tcBorders>
              <w:bottom w:val="single" w:sz="8" w:color="auto"/>
            </w:tcBorders>
          </w:tcPr>
          <w:p>
            <w:pPr>
              <w:spacing w:after="0"/>
              <w:rPr>
                <w:sz w:val="24"/>
                <w:szCs w:val="24"/>
                <w:color w:val="auto"/>
              </w:rPr>
            </w:pPr>
          </w:p>
        </w:tc>
      </w:tr>
      <w:tr>
        <w:trPr>
          <w:trHeight w:val="56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RE:</w:t>
            </w:r>
          </w:p>
        </w:tc>
        <w:tc>
          <w:tcPr>
            <w:tcW w:w="9860" w:type="dxa"/>
            <w:vAlign w:val="bottom"/>
          </w:tcPr>
          <w:p>
            <w:pPr>
              <w:spacing w:after="0"/>
              <w:rPr>
                <w:sz w:val="20"/>
                <w:szCs w:val="20"/>
                <w:color w:val="auto"/>
              </w:rPr>
            </w:pPr>
            <w:r>
              <w:rPr>
                <w:rFonts w:ascii="Times New Roman" w:cs="Times New Roman" w:eastAsia="Times New Roman" w:hAnsi="Times New Roman"/>
                <w:sz w:val="22"/>
                <w:szCs w:val="22"/>
                <w:color w:val="auto"/>
              </w:rPr>
              <w:t>Pending Securities Transaction</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19685</wp:posOffset>
            </wp:positionV>
            <wp:extent cx="62661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request approval to execute the following transaction(s) relating to Proto Labs, Inc.’s securities on or before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5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Type of Transaction:</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541"/>
        </w:trPr>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Purchase</w:t>
            </w:r>
          </w:p>
        </w:tc>
        <w:tc>
          <w:tcPr>
            <w:tcW w:w="1040" w:type="dxa"/>
            <w:vAlign w:val="bottom"/>
            <w:tcBorders>
              <w:bottom w:val="single" w:sz="8" w:color="auto"/>
            </w:tcBorders>
          </w:tcPr>
          <w:p>
            <w:pPr>
              <w:spacing w:after="0"/>
              <w:rPr>
                <w:sz w:val="24"/>
                <w:szCs w:val="24"/>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Sale</w:t>
            </w:r>
          </w:p>
        </w:tc>
        <w:tc>
          <w:tcPr>
            <w:tcW w:w="1020" w:type="dxa"/>
            <w:vAlign w:val="bottom"/>
            <w:tcBorders>
              <w:bottom w:val="single" w:sz="8" w:color="auto"/>
            </w:tcBorders>
          </w:tcPr>
          <w:p>
            <w:pPr>
              <w:spacing w:after="0"/>
              <w:rPr>
                <w:sz w:val="24"/>
                <w:szCs w:val="24"/>
                <w:color w:val="auto"/>
              </w:rPr>
            </w:pP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Exercise of Option</w:t>
            </w:r>
          </w:p>
        </w:tc>
        <w:tc>
          <w:tcPr>
            <w:tcW w:w="1020" w:type="dxa"/>
            <w:vAlign w:val="bottom"/>
            <w:tcBorders>
              <w:bottom w:val="single" w:sz="8" w:color="auto"/>
            </w:tcBorders>
          </w:tcPr>
          <w:p>
            <w:pPr>
              <w:spacing w:after="0"/>
              <w:rPr>
                <w:sz w:val="24"/>
                <w:szCs w:val="24"/>
                <w:color w:val="auto"/>
              </w:rPr>
            </w:pPr>
          </w:p>
        </w:tc>
        <w:tc>
          <w:tcPr>
            <w:tcW w:w="3100" w:type="dxa"/>
            <w:vAlign w:val="bottom"/>
          </w:tcPr>
          <w:p>
            <w:pPr>
              <w:spacing w:after="0"/>
              <w:rPr>
                <w:sz w:val="24"/>
                <w:szCs w:val="24"/>
                <w:color w:val="auto"/>
              </w:rPr>
            </w:pPr>
          </w:p>
        </w:tc>
      </w:tr>
      <w:tr>
        <w:trPr>
          <w:trHeight w:val="520"/>
        </w:trPr>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Other</w:t>
            </w:r>
          </w:p>
        </w:tc>
        <w:tc>
          <w:tcPr>
            <w:tcW w:w="10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(explain:)</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Proto Labs, Inc.’s Securities to be Traded:</w:t>
      </w:r>
    </w:p>
    <w:p>
      <w:pPr>
        <w:spacing w:after="0" w:line="2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Number of shares or principal</w:t>
      </w:r>
    </w:p>
    <w:p>
      <w:pPr>
        <w:ind w:left="340"/>
        <w:spacing w:after="0"/>
        <w:rPr>
          <w:sz w:val="20"/>
          <w:szCs w:val="20"/>
          <w:color w:val="auto"/>
        </w:rPr>
      </w:pPr>
      <w:r>
        <w:rPr>
          <w:rFonts w:ascii="Times New Roman" w:cs="Times New Roman" w:eastAsia="Times New Roman" w:hAnsi="Times New Roman"/>
          <w:sz w:val="22"/>
          <w:szCs w:val="22"/>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4445</wp:posOffset>
            </wp:positionV>
            <wp:extent cx="37376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Securities held directly by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19685</wp:posOffset>
            </wp:positionV>
            <wp:extent cx="37630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of securities holder other than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19685</wp:posOffset>
            </wp:positionV>
            <wp:extent cx="37630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Relationship of securities holder to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19685</wp:posOffset>
            </wp:positionV>
            <wp:extent cx="37630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Recent Transactions in Proto Labs, Inc.'s Securities: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please indicate as appropriate below</w:t>
      </w:r>
      <w:r>
        <w:rPr>
          <w:rFonts w:ascii="Times New Roman" w:cs="Times New Roman" w:eastAsia="Times New Roman" w:hAnsi="Times New Roman"/>
          <w:sz w:val="22"/>
          <w:szCs w:val="22"/>
          <w:color w:val="auto"/>
        </w:rPr>
        <w:t>)</w:t>
      </w:r>
    </w:p>
    <w:p>
      <w:pPr>
        <w:spacing w:after="0" w:line="318" w:lineRule="exact"/>
        <w:rPr>
          <w:sz w:val="20"/>
          <w:szCs w:val="20"/>
          <w:color w:val="auto"/>
        </w:rPr>
      </w:pPr>
    </w:p>
    <w:p>
      <w:pPr>
        <w:ind w:left="1440" w:hanging="835"/>
        <w:spacing w:after="0"/>
        <w:tabs>
          <w:tab w:leader="none" w:pos="1440" w:val="left"/>
        </w:tabs>
        <w:numPr>
          <w:ilvl w:val="0"/>
          <w:numId w:val="44"/>
        </w:numPr>
        <w:rPr>
          <w:rFonts w:ascii="Webdings" w:cs="Webdings" w:eastAsia="Webdings" w:hAnsi="Webdings"/>
          <w:sz w:val="20"/>
          <w:szCs w:val="20"/>
          <w:b w:val="1"/>
          <w:bCs w:val="1"/>
          <w:color w:val="auto"/>
        </w:rPr>
      </w:pPr>
      <w:r>
        <w:rPr>
          <w:rFonts w:ascii="Times New Roman" w:cs="Times New Roman" w:eastAsia="Times New Roman" w:hAnsi="Times New Roman"/>
          <w:sz w:val="22"/>
          <w:szCs w:val="22"/>
          <w:color w:val="auto"/>
        </w:rPr>
        <w:t>In the past six (6) months, I have not engaged in any transactions in Proto Labs, Inc.’s securities.</w:t>
      </w:r>
    </w:p>
    <w:p>
      <w:pPr>
        <w:spacing w:after="0" w:line="327" w:lineRule="exact"/>
        <w:rPr>
          <w:rFonts w:ascii="Webdings" w:cs="Webdings" w:eastAsia="Webdings" w:hAnsi="Webdings"/>
          <w:sz w:val="20"/>
          <w:szCs w:val="20"/>
          <w:b w:val="1"/>
          <w:bCs w:val="1"/>
          <w:color w:val="auto"/>
        </w:rPr>
      </w:pPr>
    </w:p>
    <w:p>
      <w:pPr>
        <w:ind w:left="1440" w:hanging="835"/>
        <w:spacing w:after="0"/>
        <w:tabs>
          <w:tab w:leader="none" w:pos="1440" w:val="left"/>
        </w:tabs>
        <w:numPr>
          <w:ilvl w:val="0"/>
          <w:numId w:val="44"/>
        </w:numPr>
        <w:rPr>
          <w:rFonts w:ascii="Webdings" w:cs="Webdings" w:eastAsia="Webdings" w:hAnsi="Webdings"/>
          <w:sz w:val="20"/>
          <w:szCs w:val="20"/>
          <w:b w:val="1"/>
          <w:bCs w:val="1"/>
          <w:color w:val="auto"/>
        </w:rPr>
      </w:pPr>
      <w:r>
        <w:rPr>
          <w:rFonts w:ascii="Times New Roman" w:cs="Times New Roman" w:eastAsia="Times New Roman" w:hAnsi="Times New Roman"/>
          <w:sz w:val="22"/>
          <w:szCs w:val="22"/>
          <w:color w:val="auto"/>
        </w:rPr>
        <w:t>In the past six months, I have completed the following transactions in Proto Labs, Inc.’s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370840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40" w:top="94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I hereby represent that the transaction(s) for which I request approval will occur within the current permitted trading period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 to ____________. In connection therewith, I hereby certify that, in making this request, I am in compliance with</w:t>
      </w:r>
    </w:p>
    <w:p>
      <w:pPr>
        <w:spacing w:after="0" w:line="17"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22"/>
          <w:szCs w:val="22"/>
          <w:color w:val="auto"/>
        </w:rPr>
        <w:t xml:space="preserve">the applicable provisions of the </w:t>
      </w:r>
      <w:r>
        <w:rPr>
          <w:rFonts w:ascii="Times New Roman" w:cs="Times New Roman" w:eastAsia="Times New Roman" w:hAnsi="Times New Roman"/>
          <w:sz w:val="22"/>
          <w:szCs w:val="22"/>
          <w:i w:val="1"/>
          <w:iCs w:val="1"/>
          <w:color w:val="auto"/>
        </w:rPr>
        <w:t>Proto Labs, Inc. Insider Trading Policy</w:t>
      </w:r>
      <w:r>
        <w:rPr>
          <w:rFonts w:ascii="Times New Roman" w:cs="Times New Roman" w:eastAsia="Times New Roman" w:hAnsi="Times New Roman"/>
          <w:sz w:val="22"/>
          <w:szCs w:val="22"/>
          <w:color w:val="auto"/>
        </w:rPr>
        <w:t>. I understand that clearance for the transaction(s), if granted, will be valid only until the applicable permitted trading period ends, unless it is revoked earlier.</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19685</wp:posOffset>
            </wp:positionV>
            <wp:extent cx="28289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48" w:lineRule="exact"/>
        <w:rPr>
          <w:sz w:val="20"/>
          <w:szCs w:val="20"/>
          <w:color w:val="auto"/>
        </w:rPr>
      </w:pPr>
    </w:p>
    <w:p>
      <w:pPr>
        <w:ind w:left="20" w:right="3060" w:hanging="17"/>
        <w:spacing w:after="0" w:line="322" w:lineRule="auto"/>
        <w:rPr>
          <w:sz w:val="20"/>
          <w:szCs w:val="20"/>
          <w:color w:val="auto"/>
        </w:rPr>
      </w:pPr>
      <w:r>
        <w:rPr>
          <w:rFonts w:ascii="Times New Roman" w:cs="Times New Roman" w:eastAsia="Times New Roman" w:hAnsi="Times New Roman"/>
          <w:sz w:val="22"/>
          <w:szCs w:val="22"/>
          <w:color w:val="auto"/>
        </w:rPr>
        <w:t>- - - - - - - - - - - - - - - - - - - - - - - - - - - - - - - - - - - - - - - - - - - - - - - - - - - - - - - - - - - - - - - - - For Compliance Officer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3376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and Time Received:</w:t>
            </w:r>
          </w:p>
        </w:tc>
        <w:tc>
          <w:tcPr>
            <w:tcW w:w="1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By:</w:t>
            </w:r>
          </w:p>
        </w:tc>
      </w:tr>
      <w:tr>
        <w:trPr>
          <w:trHeight w:val="5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Approved:</w:t>
            </w:r>
          </w:p>
        </w:tc>
        <w:tc>
          <w:tcPr>
            <w:tcW w:w="1780" w:type="dxa"/>
            <w:vAlign w:val="bottom"/>
            <w:tcBorders>
              <w:bottom w:val="single" w:sz="8" w:color="auto"/>
            </w:tcBorders>
          </w:tcPr>
          <w:p>
            <w:pPr>
              <w:spacing w:after="0"/>
              <w:rPr>
                <w:sz w:val="24"/>
                <w:szCs w:val="24"/>
                <w:color w:val="auto"/>
              </w:rPr>
            </w:pPr>
          </w:p>
        </w:tc>
        <w:tc>
          <w:tcPr>
            <w:tcW w:w="18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Rejected:</w:t>
            </w:r>
          </w:p>
        </w:tc>
        <w:tc>
          <w:tcPr>
            <w:tcW w:w="18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52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7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4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-7620</wp:posOffset>
            </wp:positionV>
            <wp:extent cx="20745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207454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-693420</wp:posOffset>
            </wp:positionV>
            <wp:extent cx="20745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00"/>
          </w:cols>
          <w:pgMar w:left="320" w:top="949" w:right="37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PROTO LABS, INC.</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Insider Trading Compliance Program – Preclearance Checklist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Individual Proposing to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22860</wp:posOffset>
            </wp:positionV>
            <wp:extent cx="47580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4758055" cy="8255"/>
                    </a:xfrm>
                    <a:prstGeom prst="rect">
                      <a:avLst/>
                    </a:prstGeom>
                    <a:noFill/>
                  </pic:spPr>
                </pic:pic>
              </a:graphicData>
            </a:graphic>
          </wp:anchor>
        </w:drawing>
      </w: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22860</wp:posOffset>
            </wp:positionV>
            <wp:extent cx="47580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4758055" cy="8255"/>
                    </a:xfrm>
                    <a:prstGeom prst="rect">
                      <a:avLst/>
                    </a:prstGeom>
                    <a:noFill/>
                  </pic:spPr>
                </pic:pic>
              </a:graphicData>
            </a:graphic>
          </wp:anchor>
        </w:drawing>
      </w: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Proposed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22860</wp:posOffset>
            </wp:positionV>
            <wp:extent cx="47580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4758055" cy="8890"/>
                    </a:xfrm>
                    <a:prstGeom prst="rect">
                      <a:avLst/>
                    </a:prstGeom>
                    <a:noFill/>
                  </pic:spPr>
                </pic:pic>
              </a:graphicData>
            </a:graphic>
          </wp:anchor>
        </w:drawing>
      </w: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22860</wp:posOffset>
            </wp:positionV>
            <wp:extent cx="47580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475805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Trading Window</w:t>
      </w:r>
      <w:r>
        <w:rPr>
          <w:rFonts w:ascii="Times New Roman" w:cs="Times New Roman" w:eastAsia="Times New Roman" w:hAnsi="Times New Roman"/>
          <w:sz w:val="22"/>
          <w:szCs w:val="22"/>
          <w:color w:val="auto"/>
        </w:rPr>
        <w:t>. Confirm that the trade will be made during a permitted trading period.</w:t>
      </w:r>
    </w:p>
    <w:p>
      <w:pPr>
        <w:spacing w:after="0" w:line="1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16 Compliance</w:t>
      </w:r>
      <w:r>
        <w:rPr>
          <w:rFonts w:ascii="Times New Roman" w:cs="Times New Roman" w:eastAsia="Times New Roman" w:hAnsi="Times New Roman"/>
          <w:sz w:val="22"/>
          <w:szCs w:val="22"/>
          <w:color w:val="auto"/>
        </w:rPr>
        <w:t>. Confirm, if the individual is a Section 16 Director or Officer, that the proposed trade will not give rise to any potential liability under Section 16 as a result of any non-exempt “opposite way” transactions within the past six months, or any planned opposite way transactions during the coming six months. Also ensure that a Form 4 has been or will be completed and will be timely filed.</w:t>
      </w:r>
    </w:p>
    <w:p>
      <w:pPr>
        <w:spacing w:after="0" w:line="68"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u w:val="single" w:color="auto"/>
          <w:color w:val="auto"/>
        </w:rPr>
        <w:t>Prohibited Trades</w:t>
      </w:r>
      <w:r>
        <w:rPr>
          <w:rFonts w:ascii="Times New Roman" w:cs="Times New Roman" w:eastAsia="Times New Roman" w:hAnsi="Times New Roman"/>
          <w:sz w:val="22"/>
          <w:szCs w:val="22"/>
          <w:color w:val="auto"/>
        </w:rPr>
        <w:t>. Confirm, if the individual is a Section 16 Director or Officer, that the proposed transaction is not a “short sale,” put, call or other prohibited transaction.</w:t>
      </w:r>
    </w:p>
    <w:p>
      <w:pPr>
        <w:spacing w:after="0" w:line="6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u w:val="single" w:color="auto"/>
          <w:color w:val="auto"/>
        </w:rPr>
        <w:t>Rule 144 Compliance</w:t>
      </w:r>
      <w:r>
        <w:rPr>
          <w:rFonts w:ascii="Times New Roman" w:cs="Times New Roman" w:eastAsia="Times New Roman" w:hAnsi="Times New Roman"/>
          <w:sz w:val="22"/>
          <w:szCs w:val="22"/>
          <w:color w:val="auto"/>
        </w:rPr>
        <w:t>. Confirm, when resale under Rule 144 is to be relied upon (always as to Section 16 Directors and Officers and other “affiliates”) that:</w:t>
      </w:r>
    </w:p>
    <w:p>
      <w:pPr>
        <w:spacing w:after="0" w:line="50" w:lineRule="exact"/>
        <w:rPr>
          <w:sz w:val="20"/>
          <w:szCs w:val="20"/>
          <w:color w:val="auto"/>
        </w:rPr>
      </w:pPr>
    </w:p>
    <w:p>
      <w:pPr>
        <w:ind w:left="1300" w:hanging="320"/>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public information requirement has been met;</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are not restricted or, if restricted, the applicable holding period has been met;</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Volume limitations are not exceeded (confirm the individual’s sale need not be aggregated with sales by others);</w:t>
      </w:r>
    </w:p>
    <w:p>
      <w:pPr>
        <w:spacing w:after="0" w:line="123"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manner of sale requirements have been met; and</w:t>
      </w:r>
    </w:p>
    <w:p>
      <w:pPr>
        <w:spacing w:after="0" w:line="12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required Notice on Form 144 has been completed and filed.</w:t>
      </w:r>
    </w:p>
    <w:p>
      <w:pPr>
        <w:spacing w:after="0" w:line="1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u w:val="single" w:color="auto"/>
          <w:color w:val="auto"/>
        </w:rPr>
        <w:t>Rule 10b-5 Concerns</w:t>
      </w:r>
      <w:r>
        <w:rPr>
          <w:rFonts w:ascii="Times New Roman" w:cs="Times New Roman" w:eastAsia="Times New Roman" w:hAnsi="Times New Roman"/>
          <w:sz w:val="22"/>
          <w:szCs w:val="22"/>
          <w:color w:val="auto"/>
        </w:rPr>
        <w:t>. Confirm that (i) the individual has been reminded that trading is prohibited when aware of any material nonpublic information regarding the Company, and (ii) the Compliance Officer has discussed with the individual any information known to the individual or the Compliance Officer which might be considered material, so that an informed judgment can be made as to the presence of material nonpublic information.</w:t>
      </w:r>
    </w:p>
    <w:p>
      <w:pPr>
        <w:spacing w:after="0" w:line="39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Signature of Insider Trading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-160020</wp:posOffset>
            </wp:positionV>
            <wp:extent cx="38404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00"/>
          </w:cols>
          <w:pgMar w:left="320" w:top="1418" w:right="37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subsidiaries listed below are wholly owned.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0" w:type="dxa"/>
            <w:vAlign w:val="bottom"/>
          </w:tcPr>
          <w:p>
            <w:pPr>
              <w:spacing w:after="0"/>
              <w:rPr>
                <w:sz w:val="23"/>
                <w:szCs w:val="23"/>
                <w:color w:val="auto"/>
              </w:rPr>
            </w:pP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31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International LLC</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Hubs Manufacturing Inc.</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3D Hubs Manufacturing LLC</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 Labs Ltd.</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 International Holdings, UK, Ltd.</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 Euro Services Limited</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 Labs GmbH</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 Labs Tooling GmbH</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8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3D Hubs B.V.</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bl>
    <w:p>
      <w:pPr>
        <w:sectPr>
          <w:pgSz w:w="11900" w:h="16838" w:orient="portrait"/>
          <w:cols w:equalWidth="0" w:num="1">
            <w:col w:w="11240"/>
          </w:cols>
          <w:pgMar w:left="320" w:top="10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S-8 (Nos. 333-179651, 333-194272, 333-202486, 333-267156, 333-273705, and 333-281217) pertaining to the Amended and Restated 2022 Long-Term Incentive Plan, 2012 Long-Term Incentive Plan, Employee Stock Purchase Plan, 2000 Stock Option Plan, and Stock Subscription Warrant of Proto Labs, Inc. of Proto Labs, Inc. of our reports dated February 21, 2025, with</w:t>
      </w:r>
    </w:p>
    <w:p>
      <w:pPr>
        <w:jc w:val="both"/>
        <w:spacing w:after="0" w:line="226" w:lineRule="auto"/>
        <w:rPr>
          <w:sz w:val="20"/>
          <w:szCs w:val="20"/>
          <w:color w:val="auto"/>
        </w:rPr>
      </w:pPr>
      <w:r>
        <w:rPr>
          <w:rFonts w:ascii="Times New Roman" w:cs="Times New Roman" w:eastAsia="Times New Roman" w:hAnsi="Times New Roman"/>
          <w:sz w:val="18"/>
          <w:szCs w:val="18"/>
          <w:color w:val="auto"/>
        </w:rPr>
        <w:t>respect to the consolidated financial statements of Proto Labs, Inc., and the effectiveness of internal control over financial reporting of Proto Labs, Inc., included in this Annual Report (Form 10-K) for the year ended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rPr>
          <w:sz w:val="20"/>
          <w:szCs w:val="20"/>
          <w:color w:val="auto"/>
        </w:rPr>
      </w:pPr>
      <w:r>
        <w:rPr>
          <w:rFonts w:ascii="Times New Roman" w:cs="Times New Roman" w:eastAsia="Times New Roman" w:hAnsi="Times New Roman"/>
          <w:sz w:val="18"/>
          <w:szCs w:val="18"/>
          <w:color w:val="auto"/>
        </w:rPr>
        <w:t>February 21, 2025</w:t>
      </w:r>
    </w:p>
    <w:p>
      <w:pPr>
        <w:sectPr>
          <w:pgSz w:w="11900" w:h="16838" w:orient="portrait"/>
          <w:cols w:equalWidth="0" w:num="1">
            <w:col w:w="11240"/>
          </w:cols>
          <w:pgMar w:left="320" w:top="10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OF DIRECTOR AND/OR OFFICER</w:t>
      </w:r>
    </w:p>
    <w:p>
      <w:pPr>
        <w:spacing w:after="0" w:line="192"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Each of the undersigned directors and/or officers of Proto Labs, Inc., a Minnesota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make, constitute and appoint Robert Bodor and Daniel Schumacher, and each of them, either of whom may act without the joinder of the other, the undersigned’s true and lawful</w:t>
      </w:r>
    </w:p>
    <w:p>
      <w:pPr>
        <w:spacing w:after="0" w:line="2" w:lineRule="exact"/>
        <w:rPr>
          <w:sz w:val="20"/>
          <w:szCs w:val="20"/>
          <w:color w:val="auto"/>
        </w:rPr>
      </w:pPr>
    </w:p>
    <w:p>
      <w:pPr>
        <w:jc w:val="both"/>
        <w:ind w:right="80"/>
        <w:spacing w:after="0" w:line="220" w:lineRule="auto"/>
        <w:rPr>
          <w:sz w:val="20"/>
          <w:szCs w:val="20"/>
          <w:color w:val="auto"/>
        </w:rPr>
      </w:pPr>
      <w:r>
        <w:rPr>
          <w:rFonts w:ascii="Times New Roman" w:cs="Times New Roman" w:eastAsia="Times New Roman" w:hAnsi="Times New Roman"/>
          <w:sz w:val="17"/>
          <w:szCs w:val="17"/>
          <w:color w:val="auto"/>
        </w:rPr>
        <w:t>attorney-in-fact and agent, with full power of substitution, for the undersigned and in the undersigned’s name, place and stead, to sign on his or her behalf, individually and in the capacities stated below, the Annual Report on Form 10-K for the year ended December 31, 2024 under the Securities Exchange Act of 1934, as amended, with any amendment or amendments thereto, with all exhibits thereto and other supporting documents, with the U.S. Securities and</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Exchange Commission, granting unto said attorneys-in-fact, and each of them, full power and authority to do and perform any and all acts necessary or incidental to the performance and execution of the powers herein expressly granted.</w:t>
      </w:r>
    </w:p>
    <w:p>
      <w:pPr>
        <w:spacing w:after="0" w:line="18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WITNESS WHEREOF, each of the undersigned directors and/or officers of Proto Labs, Inc. has hereunto set his or her hand this 18th day of February, 2025.</w:t>
      </w:r>
    </w:p>
    <w:p>
      <w:pPr>
        <w:spacing w:after="0" w:line="392" w:lineRule="exact"/>
        <w:rPr>
          <w:sz w:val="20"/>
          <w:szCs w:val="20"/>
          <w:color w:val="auto"/>
        </w:rPr>
      </w:pPr>
    </w:p>
    <w:tbl>
      <w:tblPr>
        <w:tblLayout w:type="fixed"/>
        <w:tblInd w:w="420" w:type="dxa"/>
        <w:tblCellMar>
          <w:top w:w="0" w:type="dxa"/>
          <w:left w:w="0" w:type="dxa"/>
          <w:bottom w:w="0" w:type="dxa"/>
          <w:right w:w="0" w:type="dxa"/>
        </w:tblCellMar>
      </w:tblPr>
      <w:tr>
        <w:trPr>
          <w:trHeight w:val="275"/>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Rainer Gawlick</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Chairman</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Rainer Gawlick</w:t>
            </w:r>
          </w:p>
        </w:tc>
        <w:tc>
          <w:tcPr>
            <w:tcW w:w="3860" w:type="dxa"/>
            <w:vAlign w:val="bottom"/>
          </w:tcPr>
          <w:p>
            <w:pPr>
              <w:spacing w:after="0"/>
              <w:rPr>
                <w:sz w:val="20"/>
                <w:szCs w:val="20"/>
                <w:color w:val="auto"/>
              </w:rPr>
            </w:pPr>
          </w:p>
        </w:tc>
      </w:tr>
      <w:tr>
        <w:trPr>
          <w:trHeight w:val="594"/>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Bodor</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Bodor</w:t>
            </w:r>
          </w:p>
        </w:tc>
        <w:tc>
          <w:tcPr>
            <w:tcW w:w="3860" w:type="dxa"/>
            <w:vAlign w:val="bottom"/>
          </w:tcPr>
          <w:p>
            <w:pPr>
              <w:spacing w:after="0"/>
              <w:rPr>
                <w:sz w:val="20"/>
                <w:szCs w:val="20"/>
                <w:color w:val="auto"/>
              </w:rPr>
            </w:pPr>
          </w:p>
        </w:tc>
      </w:tr>
      <w:tr>
        <w:trPr>
          <w:trHeight w:val="594"/>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Schumacher</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Schumacher</w:t>
            </w:r>
          </w:p>
        </w:tc>
        <w:tc>
          <w:tcPr>
            <w:tcW w:w="3860" w:type="dxa"/>
            <w:vAlign w:val="bottom"/>
          </w:tcPr>
          <w:p>
            <w:pPr>
              <w:spacing w:after="0"/>
              <w:rPr>
                <w:sz w:val="20"/>
                <w:szCs w:val="20"/>
                <w:color w:val="auto"/>
              </w:rPr>
            </w:pPr>
          </w:p>
        </w:tc>
      </w:tr>
      <w:tr>
        <w:trPr>
          <w:trHeight w:val="594"/>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Archie C. Black</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Archie C. Black</w:t>
            </w:r>
          </w:p>
        </w:tc>
        <w:tc>
          <w:tcPr>
            <w:tcW w:w="3860" w:type="dxa"/>
            <w:vAlign w:val="bottom"/>
          </w:tcPr>
          <w:p>
            <w:pPr>
              <w:spacing w:after="0"/>
              <w:rPr>
                <w:sz w:val="20"/>
                <w:szCs w:val="20"/>
                <w:color w:val="auto"/>
              </w:rPr>
            </w:pPr>
          </w:p>
        </w:tc>
      </w:tr>
      <w:tr>
        <w:trPr>
          <w:trHeight w:val="594"/>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Sven Wehrwein</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3860" w:type="dxa"/>
            <w:vAlign w:val="bottom"/>
          </w:tcPr>
          <w:p>
            <w:pPr>
              <w:spacing w:after="0"/>
              <w:rPr>
                <w:sz w:val="19"/>
                <w:szCs w:val="19"/>
                <w:color w:val="auto"/>
              </w:rPr>
            </w:pPr>
          </w:p>
        </w:tc>
      </w:tr>
      <w:tr>
        <w:trPr>
          <w:trHeight w:val="54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Stacy Greiner</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Stacy Greiner</w:t>
            </w:r>
          </w:p>
        </w:tc>
        <w:tc>
          <w:tcPr>
            <w:tcW w:w="3860" w:type="dxa"/>
            <w:vAlign w:val="bottom"/>
          </w:tcPr>
          <w:p>
            <w:pPr>
              <w:spacing w:after="0"/>
              <w:rPr>
                <w:sz w:val="20"/>
                <w:szCs w:val="20"/>
                <w:color w:val="auto"/>
              </w:rPr>
            </w:pPr>
          </w:p>
        </w:tc>
      </w:tr>
      <w:tr>
        <w:trPr>
          <w:trHeight w:val="58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Donald G. Krantz</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G. Krantz</w:t>
            </w:r>
          </w:p>
        </w:tc>
        <w:tc>
          <w:tcPr>
            <w:tcW w:w="3860" w:type="dxa"/>
            <w:vAlign w:val="bottom"/>
          </w:tcPr>
          <w:p>
            <w:pPr>
              <w:spacing w:after="0"/>
              <w:rPr>
                <w:sz w:val="19"/>
                <w:szCs w:val="19"/>
                <w:color w:val="auto"/>
              </w:rPr>
            </w:pPr>
          </w:p>
        </w:tc>
      </w:tr>
      <w:tr>
        <w:trPr>
          <w:trHeight w:val="49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Sujeet Chand</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5440" w:type="dxa"/>
            <w:vAlign w:val="bottom"/>
            <w:tcBorders>
              <w:bottom w:val="single" w:sz="8" w:color="auto"/>
            </w:tcBorders>
          </w:tcPr>
          <w:p>
            <w:pPr>
              <w:spacing w:after="0"/>
              <w:rPr>
                <w:sz w:val="3"/>
                <w:szCs w:val="3"/>
                <w:color w:val="auto"/>
              </w:rPr>
            </w:pPr>
          </w:p>
        </w:tc>
        <w:tc>
          <w:tcPr>
            <w:tcW w:w="3860" w:type="dxa"/>
            <w:vAlign w:val="bottom"/>
          </w:tcPr>
          <w:p>
            <w:pPr>
              <w:spacing w:after="0"/>
              <w:rPr>
                <w:sz w:val="3"/>
                <w:szCs w:val="3"/>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Sujeet Chand</w:t>
            </w:r>
          </w:p>
        </w:tc>
        <w:tc>
          <w:tcPr>
            <w:tcW w:w="3860" w:type="dxa"/>
            <w:vAlign w:val="bottom"/>
          </w:tcPr>
          <w:p>
            <w:pPr>
              <w:spacing w:after="0"/>
              <w:rPr>
                <w:sz w:val="20"/>
                <w:szCs w:val="20"/>
                <w:color w:val="auto"/>
              </w:rPr>
            </w:pPr>
          </w:p>
        </w:tc>
      </w:tr>
      <w:tr>
        <w:trPr>
          <w:trHeight w:val="58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Moonhie Chin</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Moonhie Chin</w:t>
            </w:r>
          </w:p>
        </w:tc>
        <w:tc>
          <w:tcPr>
            <w:tcW w:w="3860" w:type="dxa"/>
            <w:vAlign w:val="bottom"/>
          </w:tcPr>
          <w:p>
            <w:pPr>
              <w:spacing w:after="0"/>
              <w:rPr>
                <w:sz w:val="20"/>
                <w:szCs w:val="20"/>
                <w:color w:val="auto"/>
              </w:rPr>
            </w:pPr>
          </w:p>
        </w:tc>
      </w:tr>
    </w:tbl>
    <w:p>
      <w:pPr>
        <w:sectPr>
          <w:pgSz w:w="11900" w:h="16838" w:orient="portrait"/>
          <w:cols w:equalWidth="0" w:num="1">
            <w:col w:w="11240"/>
          </w:cols>
          <w:pgMar w:left="320" w:top="10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Bodor, certify that:</w:t>
      </w:r>
    </w:p>
    <w:p>
      <w:pPr>
        <w:spacing w:after="0" w:line="225" w:lineRule="exact"/>
        <w:rPr>
          <w:sz w:val="20"/>
          <w:szCs w:val="20"/>
          <w:color w:val="auto"/>
        </w:rPr>
      </w:pPr>
    </w:p>
    <w:p>
      <w:pPr>
        <w:ind w:left="660" w:hanging="16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Proto Labs, Inc.;</w:t>
      </w:r>
    </w:p>
    <w:p>
      <w:pPr>
        <w:spacing w:after="0" w:line="225" w:lineRule="exact"/>
        <w:rPr>
          <w:rFonts w:ascii="Times New Roman" w:cs="Times New Roman" w:eastAsia="Times New Roman" w:hAnsi="Times New Roman"/>
          <w:sz w:val="18"/>
          <w:szCs w:val="18"/>
          <w:color w:val="auto"/>
        </w:rPr>
      </w:pPr>
    </w:p>
    <w:p>
      <w:pPr>
        <w:ind w:right="120" w:firstLine="494"/>
        <w:spacing w:after="0" w:line="312" w:lineRule="auto"/>
        <w:tabs>
          <w:tab w:leader="none" w:pos="64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494"/>
        <w:spacing w:after="0" w:line="282" w:lineRule="auto"/>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Robert Bodor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Schumacher, certify that:</w:t>
      </w:r>
    </w:p>
    <w:p>
      <w:pPr>
        <w:spacing w:after="0" w:line="225" w:lineRule="exact"/>
        <w:rPr>
          <w:sz w:val="20"/>
          <w:szCs w:val="20"/>
          <w:color w:val="auto"/>
        </w:rPr>
      </w:pPr>
    </w:p>
    <w:p>
      <w:pPr>
        <w:ind w:left="660" w:hanging="16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Proto Labs, Inc.;</w:t>
      </w:r>
    </w:p>
    <w:p>
      <w:pPr>
        <w:spacing w:after="0" w:line="225" w:lineRule="exact"/>
        <w:rPr>
          <w:rFonts w:ascii="Times New Roman" w:cs="Times New Roman" w:eastAsia="Times New Roman" w:hAnsi="Times New Roman"/>
          <w:sz w:val="18"/>
          <w:szCs w:val="18"/>
          <w:color w:val="auto"/>
        </w:rPr>
      </w:pPr>
    </w:p>
    <w:p>
      <w:pPr>
        <w:ind w:right="120" w:firstLine="494"/>
        <w:spacing w:after="0" w:line="312" w:lineRule="auto"/>
        <w:tabs>
          <w:tab w:leader="none" w:pos="64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494"/>
        <w:spacing w:after="0" w:line="282"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February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Daniel Schumacher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Robert Bodor, certify, pursuant to 18 U.S.C. Section 1350, as adopted pursuant to Section 906 of the Sarbanes-Oxley Act of 2002, that the Annual Report of Proto Labs, Inc. on Form 10-K for the fiscal year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79" w:lineRule="exact"/>
        <w:rPr>
          <w:sz w:val="20"/>
          <w:szCs w:val="20"/>
          <w:color w:val="auto"/>
        </w:rPr>
      </w:pPr>
    </w:p>
    <w:tbl>
      <w:tblPr>
        <w:tblLayout w:type="fixed"/>
        <w:tblInd w:w="658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Bodor</w:t>
            </w:r>
          </w:p>
        </w:tc>
      </w:tr>
      <w:tr>
        <w:trPr>
          <w:trHeight w:val="24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Bodor</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Daniel Schumacher, certify, pursuant to 18 U.S.C. Section 1350, as adopted pursuant to Section 906 of the Sarbanes-Oxley Act of 2002, that the Annual Report of Proto Labs, Inc. on Form 10-K for the fiscal year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79" w:lineRule="exact"/>
        <w:rPr>
          <w:sz w:val="20"/>
          <w:szCs w:val="20"/>
          <w:color w:val="auto"/>
        </w:rPr>
      </w:pPr>
    </w:p>
    <w:tbl>
      <w:tblPr>
        <w:tblLayout w:type="fixed"/>
        <w:tblInd w:w="658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Schumacher</w:t>
            </w:r>
          </w:p>
        </w:tc>
      </w:tr>
      <w:tr>
        <w:trPr>
          <w:trHeight w:val="24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Schumacher</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bullet"/>
      <w:start w:val="1"/>
    </w:lvl>
  </w:abstractNum>
  <w:abstractNum w:abstractNumId="30">
    <w:nsid w:val="5E884ADC"/>
    <w:multiLevelType w:val="hybridMultilevel"/>
    <w:lvl w:ilvl="0">
      <w:lvlJc w:val="left"/>
      <w:lvlText w:val="(%1)"/>
      <w:numFmt w:val="lowerLetter"/>
      <w:start w:val="1"/>
    </w:lvl>
    <w:lvl w:ilvl="1">
      <w:lvlJc w:val="left"/>
      <w:lvlText w:val="%2."/>
      <w:numFmt w:val="decimal"/>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c"/>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138" Type="http://schemas.openxmlformats.org/officeDocument/2006/relationships/hyperlink" Target="https://www.sec.gov/Archives/edgar/data/1443669/000119312512054357/d199869dex32.htm" TargetMode="External"/><Relationship Id="rId139" Type="http://schemas.openxmlformats.org/officeDocument/2006/relationships/hyperlink" Target="https://www.sec.gov/Archives/edgar/data/1443669/000143774915010824/ex3-1.htm" TargetMode="External"/><Relationship Id="rId140" Type="http://schemas.openxmlformats.org/officeDocument/2006/relationships/hyperlink" Target="https://www.sec.gov/Archives/edgar/data/1443669/000143774922027471/ex_445136.htm" TargetMode="External"/><Relationship Id="rId141" Type="http://schemas.openxmlformats.org/officeDocument/2006/relationships/hyperlink" Target="https://www.sec.gov/Archives/edgar/data/1443669/000119312512034159/d199869dex41.htm" TargetMode="External"/><Relationship Id="rId142" Type="http://schemas.openxmlformats.org/officeDocument/2006/relationships/hyperlink" Target="https://www.sec.gov/Archives/edgar/data/1443669/000143774923003930/ex_472326.htm" TargetMode="External"/><Relationship Id="rId143" Type="http://schemas.openxmlformats.org/officeDocument/2006/relationships/hyperlink" Target="https://www.sec.gov/Archives/edgar/data/1443669/000143774915019465/ex10-1.htm" TargetMode="External"/><Relationship Id="rId144" Type="http://schemas.openxmlformats.org/officeDocument/2006/relationships/hyperlink" Target="https://www.sec.gov/Archives/edgar/data/1443669/000119312512054357/d199869dex1014.htm" TargetMode="External"/><Relationship Id="rId145" Type="http://schemas.openxmlformats.org/officeDocument/2006/relationships/hyperlink" Target="https://www.sec.gov/Archives/edgar/data/1443669/000119312512054357/d199869dex1015.htm" TargetMode="External"/><Relationship Id="rId146" Type="http://schemas.openxmlformats.org/officeDocument/2006/relationships/hyperlink" Target="https://www.sec.gov/Archives/edgar/data/1443669/000119312512054357/d199869dex1016.htm" TargetMode="External"/><Relationship Id="rId147" Type="http://schemas.openxmlformats.org/officeDocument/2006/relationships/hyperlink" Target="https://www.sec.gov/Archives/edgar/data/1443669/000119312512054357/d199869dex1017.htm" TargetMode="External"/><Relationship Id="rId148" Type="http://schemas.openxmlformats.org/officeDocument/2006/relationships/hyperlink" Target="https://www.sec.gov/Archives/edgar/data/1443669/000119312512054357/d199869dex1018.htm" TargetMode="External"/><Relationship Id="rId149" Type="http://schemas.openxmlformats.org/officeDocument/2006/relationships/hyperlink" Target="https://www.sec.gov/Archives/edgar/data/1443669/000119312511282025/d199869dex1019.htm" TargetMode="External"/><Relationship Id="rId150" Type="http://schemas.openxmlformats.org/officeDocument/2006/relationships/hyperlink" Target="https://www.sec.gov/Archives/edgar/data/1443669/000143774917020059/ex_101319.htm" TargetMode="External"/><Relationship Id="rId151" Type="http://schemas.openxmlformats.org/officeDocument/2006/relationships/hyperlink" Target="https://www.sec.gov/Archives/edgar/data/1443669/000119312513086525/d494950dex991.htm" TargetMode="External"/><Relationship Id="rId154" Type="http://schemas.openxmlformats.org/officeDocument/2006/relationships/hyperlink" Target="https://www.sec.gov/Archives/edgar/data/1443669/000119312513206525/d511353dex102.htm" TargetMode="External"/><Relationship Id="rId155" Type="http://schemas.openxmlformats.org/officeDocument/2006/relationships/hyperlink" Target="https://www.sec.gov/Archives/edgar/data/1443669/000143774919015244/ex_152135.htm" TargetMode="External"/><Relationship Id="rId156" Type="http://schemas.openxmlformats.org/officeDocument/2006/relationships/hyperlink" Target="https://www.sec.gov/Archives/edgar/data/1443669/000143774914001627/ex10-2.htm" TargetMode="External"/><Relationship Id="rId157" Type="http://schemas.openxmlformats.org/officeDocument/2006/relationships/hyperlink" Target="https://www.sec.gov/Archives/edgar/data/1443669/000143774914001955/ex10-1.htm" TargetMode="External"/><Relationship Id="rId158" Type="http://schemas.openxmlformats.org/officeDocument/2006/relationships/hyperlink" Target="https://www.sec.gov/Archives/edgar/data/1443669/000143774914001955/ex10-2.htm" TargetMode="External"/><Relationship Id="rId159" Type="http://schemas.openxmlformats.org/officeDocument/2006/relationships/hyperlink" Target="https://www.sec.gov/Archives/edgar/data/1443669/000143774914003200/ex99-6.htm" TargetMode="External"/><Relationship Id="rId160" Type="http://schemas.openxmlformats.org/officeDocument/2006/relationships/hyperlink" Target="https://www.sec.gov/Archives/edgar/data/1443669/000143774921002024/ex_224240.htm" TargetMode="External"/><Relationship Id="rId161" Type="http://schemas.openxmlformats.org/officeDocument/2006/relationships/hyperlink" Target="https://www.sec.gov/Archives/edgar/data/1443669/000143774917002759/ex10-1.htm" TargetMode="External"/><Relationship Id="rId162" Type="http://schemas.openxmlformats.org/officeDocument/2006/relationships/hyperlink" Target="https://www.sec.gov/Archives/edgar/data/1443669/000143774918014168/ex_117988.htm" TargetMode="External"/><Relationship Id="rId163" Type="http://schemas.openxmlformats.org/officeDocument/2006/relationships/hyperlink" Target="https://www.sec.gov/Archives/edgar/data/1443669/000143774922014360/ex_383906.htm" TargetMode="External"/><Relationship Id="rId164" Type="http://schemas.openxmlformats.org/officeDocument/2006/relationships/hyperlink" Target="https://www.sec.gov/Archives/edgar/data/1443669/000143774921002024/ex_224239.htm" TargetMode="External"/><Relationship Id="rId165" Type="http://schemas.openxmlformats.org/officeDocument/2006/relationships/hyperlink" Target="https://www.sec.gov/Archives/edgar/data/1443669/000162828024034354/prlb-20240630xexx101.htm" TargetMode="External"/><Relationship Id="rId166" Type="http://schemas.openxmlformats.org/officeDocument/2006/relationships/hyperlink" Target="https://www.sec.gov/Archives/edgar/data/1443669/000143774922021480/ex_417398.htm" TargetMode="External"/><Relationship Id="rId167" Type="http://schemas.openxmlformats.org/officeDocument/2006/relationships/hyperlink" Target="https://www.sec.gov/Archives/edgar/data/1443669/000143774922021480/ex_417399.htm" TargetMode="External"/><Relationship Id="rId168" Type="http://schemas.openxmlformats.org/officeDocument/2006/relationships/hyperlink" Target="https://www.sec.gov/Archives/edgar/data/1443669/000143774922021480/ex_417400.htm" TargetMode="External"/><Relationship Id="rId169" Type="http://schemas.openxmlformats.org/officeDocument/2006/relationships/hyperlink" Target="https://www.sec.gov/Archives/edgar/data/1443669/000143774922021480/ex_417401.htm" TargetMode="External"/><Relationship Id="rId170" Type="http://schemas.openxmlformats.org/officeDocument/2006/relationships/hyperlink" Target="https://www.sec.gov/Archives/edgar/data/1443669/000143774922021480/ex_417402.htm" TargetMode="External"/><Relationship Id="rId171" Type="http://schemas.openxmlformats.org/officeDocument/2006/relationships/hyperlink" Target="https://www.sec.gov/Archives/edgar/data/1443669/000143774922021480/ex_417403.htm" TargetMode="External"/><Relationship Id="rId172" Type="http://schemas.openxmlformats.org/officeDocument/2006/relationships/hyperlink" Target="https://www.sec.gov/Archives/edgar/data/1443669/000143774922021480/ex_417404.htm" TargetMode="External"/><Relationship Id="rId173" Type="http://schemas.openxmlformats.org/officeDocument/2006/relationships/hyperlink" Target="https://www.sec.gov/Archives/edgar/data/1443669/000143774922021480/ex_417405.htm" TargetMode="External"/><Relationship Id="rId174" Type="http://schemas.openxmlformats.org/officeDocument/2006/relationships/hyperlink" Target="https://www.sec.gov/Archives/edgar/data/1443669/000143774922021480/ex_417406.htm" TargetMode="External"/><Relationship Id="rId177" Type="http://schemas.openxmlformats.org/officeDocument/2006/relationships/hyperlink" Target="https://www.sec.gov/Archives/edgar/data/1443669/000162828024034354/prlb-20240630xexx102.htm" TargetMode="External"/><Relationship Id="rId178" Type="http://schemas.openxmlformats.org/officeDocument/2006/relationships/hyperlink" Target="https://www.sec.gov/Archives/edgar/data/1443669/000162828024034354/prlb-20240630xexx103.htm" TargetMode="External"/><Relationship Id="rId179" Type="http://schemas.openxmlformats.org/officeDocument/2006/relationships/hyperlink" Target="https://www.sec.gov/Archives/edgar/data/1443669/000162828024042356/prlb-202410x07xexx101.htm" TargetMode="External"/><Relationship Id="rId180" Type="http://schemas.openxmlformats.org/officeDocument/2006/relationships/hyperlink" Target="https://www.sec.gov/Archives/edgar/data/1443669/000162828024005285/prlb-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2025-02-21T12:08:05Z</dcterms:created>
  <dcterms:modified xsi:type="dcterms:W3CDTF">2025-02-21T12:08:05Z</dcterms:modified>
</cp:coreProperties>
</file>