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80" w:right="170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62"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w w:val="91"/>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Commission File Number: 001-35435</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Proto Labs,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4720" w:type="dxa"/>
            <w:vAlign w:val="bottom"/>
          </w:tcPr>
          <w:p>
            <w:pPr>
              <w:jc w:val="right"/>
              <w:ind w:right="790"/>
              <w:spacing w:after="0"/>
              <w:rPr>
                <w:sz w:val="20"/>
                <w:szCs w:val="20"/>
                <w:color w:val="auto"/>
              </w:rPr>
            </w:pPr>
            <w:r>
              <w:rPr>
                <w:rFonts w:ascii="Arial" w:cs="Arial" w:eastAsia="Arial" w:hAnsi="Arial"/>
                <w:sz w:val="18"/>
                <w:szCs w:val="18"/>
                <w:b w:val="1"/>
                <w:bCs w:val="1"/>
                <w:color w:val="auto"/>
              </w:rPr>
              <w:t>41-1939628</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Maple Plain, Minnesota</w:t>
            </w:r>
          </w:p>
        </w:tc>
        <w:tc>
          <w:tcPr>
            <w:tcW w:w="4720" w:type="dxa"/>
            <w:vAlign w:val="bottom"/>
          </w:tcPr>
          <w:p>
            <w:pPr>
              <w:jc w:val="right"/>
              <w:ind w:right="990"/>
              <w:spacing w:after="0"/>
              <w:rPr>
                <w:sz w:val="20"/>
                <w:szCs w:val="20"/>
                <w:color w:val="auto"/>
              </w:rPr>
            </w:pPr>
            <w:r>
              <w:rPr>
                <w:rFonts w:ascii="Arial" w:cs="Arial" w:eastAsia="Arial" w:hAnsi="Arial"/>
                <w:sz w:val="18"/>
                <w:szCs w:val="18"/>
                <w:b w:val="1"/>
                <w:bCs w:val="1"/>
                <w:color w:val="auto"/>
              </w:rPr>
              <w:t>55359</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1"/>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Arial" w:cs="Arial" w:eastAsia="Arial" w:hAnsi="Arial"/>
                <w:sz w:val="18"/>
                <w:szCs w:val="18"/>
                <w:b w:val="1"/>
                <w:bCs w:val="1"/>
                <w:color w:val="auto"/>
                <w:w w:val="92"/>
              </w:rPr>
              <w:t>(763) 479-3680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33"/>
        </w:trPr>
        <w:tc>
          <w:tcPr>
            <w:tcW w:w="3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Title of each class</w:t>
            </w:r>
          </w:p>
        </w:tc>
        <w:tc>
          <w:tcPr>
            <w:tcW w:w="6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jc w:val="center"/>
              <w:ind w:right="590"/>
              <w:spacing w:after="0" w:line="189" w:lineRule="exact"/>
              <w:rPr>
                <w:sz w:val="20"/>
                <w:szCs w:val="20"/>
                <w:color w:val="auto"/>
              </w:rPr>
            </w:pPr>
            <w:r>
              <w:rPr>
                <w:rFonts w:ascii="Arial" w:cs="Arial" w:eastAsia="Arial" w:hAnsi="Arial"/>
                <w:sz w:val="18"/>
                <w:szCs w:val="18"/>
                <w:color w:val="auto"/>
                <w:w w:val="91"/>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$0.001 Per Share</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93" w:lineRule="exact"/>
              <w:rPr>
                <w:sz w:val="20"/>
                <w:szCs w:val="20"/>
                <w:color w:val="auto"/>
              </w:rPr>
            </w:pPr>
            <w:r>
              <w:rPr>
                <w:rFonts w:ascii="Arial" w:cs="Arial" w:eastAsia="Arial" w:hAnsi="Arial"/>
                <w:sz w:val="18"/>
                <w:szCs w:val="18"/>
                <w:color w:val="auto"/>
                <w:w w:val="97"/>
              </w:rPr>
              <w:t>PRLB</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left="140" w:right="1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ind w:left="140" w:right="260" w:firstLine="486"/>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82" w:lineRule="exact"/>
        <w:rPr>
          <w:sz w:val="24"/>
          <w:szCs w:val="24"/>
          <w:color w:val="auto"/>
        </w:rPr>
      </w:pPr>
    </w:p>
    <w:p>
      <w:pPr>
        <w:ind w:left="140" w:right="640" w:firstLine="486"/>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40" w:right="20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ind w:left="140" w:right="240" w:firstLine="48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27,761,063 shares of Common Stock, par value $0.001 per share, were outstanding at 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677"/>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w w:val="90"/>
              </w:rPr>
              <w:t>Proto Labs, Inc.</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4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w w:val="99"/>
              </w:rPr>
              <w:t>TABLE OF CONTENTS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w:t>
            </w:r>
          </w:p>
        </w:tc>
        <w:tc>
          <w:tcPr>
            <w:tcW w:w="866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385"/>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7"/>
          </w:tcPr>
          <w:p>
            <w:pPr>
              <w:jc w:val="center"/>
              <w:ind w:right="402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Borders>
              <w:top w:val="single" w:sz="8" w:color="0000EE"/>
            </w:tcBorders>
            <w:gridSpan w:val="3"/>
          </w:tcPr>
          <w:p>
            <w:pPr>
              <w:spacing w:after="0"/>
              <w:rPr>
                <w:sz w:val="17"/>
                <w:szCs w:val="17"/>
                <w:color w:val="auto"/>
              </w:rPr>
            </w:pPr>
          </w:p>
        </w:tc>
        <w:tc>
          <w:tcPr>
            <w:tcW w:w="4060" w:type="dxa"/>
            <w:vAlign w:val="bottom"/>
            <w:gridSpan w:val="3"/>
          </w:tcPr>
          <w:p>
            <w:pPr>
              <w:spacing w:after="0"/>
              <w:rPr>
                <w:sz w:val="17"/>
                <w:szCs w:val="17"/>
                <w:color w:val="auto"/>
              </w:rPr>
            </w:pPr>
          </w:p>
        </w:tc>
        <w:tc>
          <w:tcPr>
            <w:tcW w:w="840" w:type="dxa"/>
            <w:vAlign w:val="bottom"/>
            <w:gridSpan w:val="5"/>
          </w:tcPr>
          <w:p>
            <w:pPr>
              <w:jc w:val="center"/>
              <w:ind w:left="57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4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gridSpan w:val="1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280" w:type="dxa"/>
            <w:vAlign w:val="bottom"/>
            <w:gridSpan w:val="6"/>
          </w:tcPr>
          <w:p>
            <w:pPr>
              <w:jc w:val="center"/>
              <w:ind w:left="13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3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40" w:type="dxa"/>
            <w:vAlign w:val="bottom"/>
            <w:gridSpan w:val="7"/>
          </w:tcPr>
          <w:p>
            <w:pPr>
              <w:jc w:val="center"/>
              <w:ind w:right="4040"/>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PART II</w:t>
              </w:r>
            </w:hyperlink>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Legal Proceedings</w:t>
              </w:r>
            </w:hyperlink>
          </w:p>
        </w:tc>
        <w:tc>
          <w:tcPr>
            <w:tcW w:w="2700" w:type="dxa"/>
            <w:vAlign w:val="bottom"/>
            <w:gridSpan w:val="4"/>
          </w:tcPr>
          <w:p>
            <w:pPr>
              <w:spacing w:after="0"/>
              <w:rPr>
                <w:sz w:val="17"/>
                <w:szCs w:val="17"/>
                <w:color w:val="auto"/>
              </w:rPr>
            </w:pPr>
          </w:p>
        </w:tc>
        <w:tc>
          <w:tcPr>
            <w:tcW w:w="600" w:type="dxa"/>
            <w:vAlign w:val="bottom"/>
            <w:tcBorders>
              <w:top w:val="single" w:sz="8" w:color="0000EE"/>
            </w:tcBorders>
            <w:gridSpan w:val="5"/>
          </w:tcPr>
          <w:p>
            <w:pPr>
              <w:spacing w:after="0"/>
              <w:rPr>
                <w:sz w:val="17"/>
                <w:szCs w:val="17"/>
                <w:color w:val="auto"/>
              </w:rPr>
            </w:pPr>
          </w:p>
        </w:tc>
        <w:tc>
          <w:tcPr>
            <w:tcW w:w="40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r>
      <w:tr>
        <w:trPr>
          <w:trHeight w:val="20"/>
        </w:trPr>
        <w:tc>
          <w:tcPr>
            <w:tcW w:w="1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00" w:type="dxa"/>
            <w:vAlign w:val="bottom"/>
            <w:gridSpan w:val="3"/>
          </w:tcPr>
          <w:p>
            <w:pPr>
              <w:jc w:val="center"/>
              <w:ind w:right="240"/>
              <w:spacing w:after="0" w:line="196" w:lineRule="exact"/>
              <w:rPr>
                <w:sz w:val="20"/>
                <w:szCs w:val="20"/>
                <w:color w:val="auto"/>
              </w:rPr>
            </w:pPr>
            <w:r>
              <w:rPr>
                <w:rFonts w:ascii="Arial" w:cs="Arial" w:eastAsia="Arial" w:hAnsi="Arial"/>
                <w:sz w:val="18"/>
                <w:szCs w:val="18"/>
                <w:color w:val="auto"/>
                <w:w w:val="96"/>
              </w:rPr>
              <w:t>1A.</w:t>
            </w:r>
          </w:p>
        </w:tc>
        <w:tc>
          <w:tcPr>
            <w:tcW w:w="132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540" w:type="dxa"/>
            <w:vAlign w:val="bottom"/>
          </w:tcPr>
          <w:p>
            <w:pPr>
              <w:spacing w:after="0"/>
              <w:rPr>
                <w:sz w:val="17"/>
                <w:szCs w:val="17"/>
                <w:color w:val="auto"/>
              </w:rPr>
            </w:pPr>
          </w:p>
        </w:tc>
        <w:tc>
          <w:tcPr>
            <w:tcW w:w="634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6880" w:type="dxa"/>
            <w:vAlign w:val="bottom"/>
            <w:gridSpan w:val="9"/>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r>
      <w:tr>
        <w:trPr>
          <w:trHeight w:val="696"/>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gridSpan w:val="10"/>
          </w:tcPr>
          <w:p>
            <w:pPr>
              <w:jc w:val="center"/>
              <w:ind w:left="335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127,603</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34,088</w:t>
            </w:r>
          </w:p>
        </w:tc>
      </w:tr>
      <w:tr>
        <w:trPr>
          <w:trHeight w:val="202"/>
        </w:trPr>
        <w:tc>
          <w:tcPr>
            <w:tcW w:w="8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$1,997 and $1,781 as of June 30, 2021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83,470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57,877</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10,862</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10,107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11,032</w:t>
            </w:r>
          </w:p>
        </w:tc>
      </w:tr>
      <w:tr>
        <w:trPr>
          <w:trHeight w:val="210"/>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242,002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288,495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282,666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14,350</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59,357</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9,855</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4,826</w:t>
            </w:r>
          </w:p>
        </w:tc>
      </w:tr>
      <w:tr>
        <w:trPr>
          <w:trHeight w:val="249"/>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949,290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744,204</w:t>
            </w:r>
          </w:p>
        </w:tc>
      </w:tr>
      <w:tr>
        <w:trPr>
          <w:trHeight w:val="197"/>
        </w:trPr>
        <w:tc>
          <w:tcPr>
            <w:tcW w:w="8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18,248</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11,989</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 and 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16,193</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Current contingent consideration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3,272</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1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3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62,417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50,254</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contingent consideration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7,586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33,854</w:t>
            </w:r>
          </w:p>
        </w:tc>
      </w:tr>
      <w:tr>
        <w:trPr>
          <w:trHeight w:val="216"/>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6,235</w:t>
            </w:r>
          </w:p>
        </w:tc>
      </w:tr>
      <w:tr>
        <w:trPr>
          <w:trHeight w:val="209"/>
        </w:trPr>
        <w:tc>
          <w:tcPr>
            <w:tcW w:w="83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99,848</w:t>
            </w: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2"/>
        </w:trPr>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Preferred stock, $0.001 par value, authorized 10,000,000 shares; issued and outstanding 0 shares as of each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2021 and December 31, 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340" w:type="dxa"/>
            <w:vAlign w:val="bottom"/>
          </w:tcPr>
          <w:p>
            <w:pPr>
              <w:ind w:left="340"/>
              <w:spacing w:after="0" w:line="201" w:lineRule="exact"/>
              <w:rPr>
                <w:sz w:val="20"/>
                <w:szCs w:val="20"/>
                <w:color w:val="auto"/>
              </w:rPr>
            </w:pPr>
            <w:r>
              <w:rPr>
                <w:rFonts w:ascii="Arial" w:cs="Arial" w:eastAsia="Arial" w:hAnsi="Arial"/>
                <w:sz w:val="18"/>
                <w:szCs w:val="18"/>
                <w:color w:val="auto"/>
                <w:w w:val="94"/>
              </w:rPr>
              <w:t>Common stock, $0.001 par value, authorized 150,000,000 shares; issued and outstanding 27,761,063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26,776,796 shares as of June 30, 2021 and December 31, 2020,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461,597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284,848</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378,467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362,901</w:t>
            </w:r>
          </w:p>
        </w:tc>
      </w:tr>
      <w:tr>
        <w:trPr>
          <w:trHeight w:val="216"/>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10"/>
        </w:trPr>
        <w:tc>
          <w:tcPr>
            <w:tcW w:w="834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831,977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644,356</w:t>
            </w:r>
          </w:p>
        </w:tc>
      </w:tr>
      <w:tr>
        <w:trPr>
          <w:trHeight w:val="249"/>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949,290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744,204</w:t>
            </w:r>
          </w:p>
        </w:tc>
      </w:tr>
      <w:tr>
        <w:trPr>
          <w:trHeight w:val="251"/>
        </w:trPr>
        <w:tc>
          <w:tcPr>
            <w:tcW w:w="834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123,048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106,575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239,174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221,683</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66,423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127,219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111,127</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56,625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52,456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110,556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21,044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40,524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35,116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17,635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12,521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26,629</w:t>
            </w:r>
          </w:p>
        </w:tc>
      </w:tr>
      <w:tr>
        <w:trPr>
          <w:trHeight w:val="209"/>
        </w:trPr>
        <w:tc>
          <w:tcPr>
            <w:tcW w:w="5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40,521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91,590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79,380</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31,176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16,241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32,997</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6,406</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12,915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12,607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16,627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26,591</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59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0.47</w:t>
            </w: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0.47</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0.60</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0.99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used to compute 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27,735,732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26,660,498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27,600,684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26,718,652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27,744,870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26,760,866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27,741,464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26,837,938</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Comprehensive Income (net of tax)</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14,896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23,975</w:t>
            </w:r>
          </w:p>
        </w:tc>
      </w:tr>
      <w:tr>
        <w:trPr>
          <w:trHeight w:val="250"/>
        </w:trPr>
        <w:tc>
          <w:tcPr>
            <w:tcW w:w="598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26,776,796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284,848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644,356</w:t>
            </w: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48,955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issued for Hubs acquisition</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863,995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166,708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166,709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comprehensive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2"/>
              </w:rPr>
              <w:t>Net unrealized gains (losses) on investments in securities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27,689,746</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366,613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813,431</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85,317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w w:val="92"/>
              </w:rPr>
              <w:t>Net unrealized gains (losses) on investments in securities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14,896</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27,761,063</w:t>
            </w: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461,597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378,467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831,977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620" w:type="dxa"/>
            <w:vAlign w:val="bottom"/>
          </w:tcPr>
          <w:p>
            <w:pPr>
              <w:spacing w:after="0"/>
              <w:rPr>
                <w:sz w:val="24"/>
                <w:szCs w:val="24"/>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26,786,459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585,790</w:t>
            </w: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(161,460)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26,648,524</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329,137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587,740</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96,186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(38,154)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26,706,556</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272,231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338,625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601,249</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9"/>
        </w:trPr>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16,627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26,591</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15,855</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w:t>
            </w: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marketable securities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Realized gain on available-sale-securities</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Fair value of contingent consideration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(4,292)</w:t>
            </w:r>
          </w:p>
        </w:tc>
      </w:tr>
      <w:tr>
        <w:trPr>
          <w:trHeight w:val="216"/>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w:t>
            </w: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(1,068)</w:t>
            </w:r>
          </w:p>
        </w:tc>
      </w:tr>
      <w:tr>
        <w:trPr>
          <w:trHeight w:val="216"/>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w:t>
            </w: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 and other</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w:t>
            </w:r>
          </w:p>
        </w:tc>
      </w:tr>
      <w:tr>
        <w:trPr>
          <w:trHeight w:val="20"/>
        </w:trPr>
        <w:tc>
          <w:tcPr>
            <w:tcW w:w="8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4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20,729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53,417</w:t>
            </w:r>
          </w:p>
        </w:tc>
      </w:tr>
      <w:tr>
        <w:trPr>
          <w:trHeight w:val="209"/>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equipment and other capital assets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(33,305)</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Cash used for acquisitions, net of cash acquired</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(127,413)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other assets and investments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(57,212)</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marketable securities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Proceeds from maturities of marketable securities</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28,225</w:t>
            </w:r>
          </w:p>
        </w:tc>
      </w:tr>
      <w:tr>
        <w:trPr>
          <w:trHeight w:val="20"/>
        </w:trPr>
        <w:tc>
          <w:tcPr>
            <w:tcW w:w="8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(65,292)</w:t>
            </w:r>
          </w:p>
        </w:tc>
      </w:tr>
      <w:tr>
        <w:trPr>
          <w:trHeight w:val="209"/>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shares withheld for tax obligations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(14,686)</w:t>
            </w:r>
          </w:p>
        </w:tc>
      </w:tr>
      <w:tr>
        <w:trPr>
          <w:trHeight w:val="216"/>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Principal repayments of finance lease obligations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(15,198)</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r>
      <w:tr>
        <w:trPr>
          <w:trHeight w:val="20"/>
        </w:trPr>
        <w:tc>
          <w:tcPr>
            <w:tcW w:w="8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(85,694)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(27,222)</w:t>
            </w:r>
          </w:p>
        </w:tc>
      </w:tr>
      <w:tr>
        <w:trPr>
          <w:trHeight w:val="216"/>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125,225</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41,909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98,003</w:t>
            </w: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2020 as filed with the Securities and Exchange Commission (SEC) on February 19, 2021.</w:t>
      </w:r>
    </w:p>
    <w:p>
      <w:pPr>
        <w:spacing w:after="0" w:line="188"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accompanying Consolidated Balance Sheet as of December 31, 2020 was derived from the audited Consolidated Financial Statements but does not include all disclosures required by U.S. GAAP for a full set of financial statements. This Form 10-Q should be read in conjunction with the Company’s Consolidated Financial Statements and Notes included in the Annual Report on Form 10-K filed on February 19, 2021 as referenced above.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December 2019, the Financial Accounting Standards Board issued Accounting Standards Update (ASU) 2019-12, </w:t>
      </w:r>
      <w:r>
        <w:rPr>
          <w:rFonts w:ascii="Arial" w:cs="Arial" w:eastAsia="Arial" w:hAnsi="Arial"/>
          <w:sz w:val="17"/>
          <w:szCs w:val="17"/>
          <w:i w:val="1"/>
          <w:iCs w:val="1"/>
          <w:color w:val="auto"/>
        </w:rPr>
        <w:t>Income Taxes (Topic 740):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Accounting for Income Taxes </w:t>
      </w:r>
      <w:r>
        <w:rPr>
          <w:rFonts w:ascii="Arial" w:cs="Arial" w:eastAsia="Arial" w:hAnsi="Arial"/>
          <w:sz w:val="17"/>
          <w:szCs w:val="17"/>
          <w:color w:val="auto"/>
        </w:rPr>
        <w:t>(ASU 2019-12). ASU 2019-12 attempts to simplify aspects of accounting for franchise taxes and enacted changes in tax</w:t>
      </w:r>
      <w:r>
        <w:rPr>
          <w:rFonts w:ascii="Arial" w:cs="Arial" w:eastAsia="Arial" w:hAnsi="Arial"/>
          <w:sz w:val="17"/>
          <w:szCs w:val="17"/>
          <w:i w:val="1"/>
          <w:iCs w:val="1"/>
          <w:color w:val="auto"/>
        </w:rPr>
        <w:t xml:space="preserve"> </w:t>
      </w:r>
      <w:r>
        <w:rPr>
          <w:rFonts w:ascii="Arial" w:cs="Arial" w:eastAsia="Arial" w:hAnsi="Arial"/>
          <w:sz w:val="17"/>
          <w:szCs w:val="17"/>
          <w:color w:val="auto"/>
        </w:rPr>
        <w:t>laws or rates and clarifies the accounting for transactions that result in a step-up in the tax basis of goodwill. ASU 2019-12 is effective for public business entities for fiscal years beginning after December 15, 2020, including interim periods within that fiscal year. The Company adopted ASU 2019-12 on January 1, 2021 and there was no material impact on the Company’s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Net Income per Common Share</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restricted stock units and restricted stock awards granted under stock-based compensation plans and shares committed to be purchased under the employee stock purchase plan. Performance stock units are excluded from the calculation of dilutive potential common shares until the performance conditions have been satisfied.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(in thousands, except share and per share amounts)</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12,915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16,627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weighted-average shares outstanding:</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27,735,732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26,660,498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27,600,684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26,718,652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options and other</w:t>
            </w: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140,780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119,286</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Diluted - weighted-average shares outstanding:</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27,744,870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26,760,866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27,741,464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26,837,938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0.60</w:t>
            </w:r>
          </w:p>
        </w:tc>
        <w:tc>
          <w:tcPr>
            <w:tcW w:w="3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January 22, 2021, the Company acquired all outstanding shares of 3D Hubs, Inc. (“Hubs”), for $294.1 million, consisting of $127.4 million in cash and 863,995 shares of the Company's common stock valued at $166.7 million on the date of close. Up to an additional $52.8 million of contingent consideration is payable after closing, subject to the satisfaction of performance-based targets during fiscal year 2021 and fiscal year 2022, consisting of up to $25.0 million in cash and up to 143,983 shares of the Company's common stock valued at $27.8 million on the date of close.</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Hubs is based in Amsterdam, Netherlands and is a leading online manufacturing platform that provides customers with on-demand access to a global network of premium manufacturing partners. The acquisition enhances the Company’s value proposition by expanding the customer offerings, enabling the Company to more holistically serve its customers.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the consideration paid for this acquisition has been allocated on a preliminary basis to the assets purchased and liabilities assumed based on their estimated fair values as of the acquisition date, with any excess recorded as goodwill. The goodwill associated with the acquisition represents both the strategic and growth opportunities by significantly expanding the customer offering with a network of premium manufacturing partners. The goodwill related to the acquisition is not deductible for tax purposes.</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recorded a contingent consideration liability of $13.6 million as of the acquisition date representing the estimated fair value of the amounts payable to former shareholders, as outlined under the terms of the merger agreement, payable subject to the satisfaction of performance-based targets during fiscal year 2021 and fiscal year 2022, consisting of up to $25.0 million in cash and up to 143,983 shares of the Company's common stock valued at $27.8 million on the date of close. The fair value of the contingent consideration (Level 3) is determined using a Monte Carlo pricing model. In the second quarter of 2021, the Company recorded a $7.8 million decrease to the estimated fair value of the contingent consideration liabilities, which was included as a decrease in general and administrative expense in the Consolidated Statements of Comprehensive Income. Fluctuations due to foreign currency translation have been recorded in the Consolidated Statements of Shareholders’ Equity.</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results of Hubs since the date of acquisition have been included with Protolabs' results. Pro forma disclosures of the consolidated results of the Company with the full year effects of Hubs, as if the acquisition had occurred on January 1, 2020, are not required and have not been separately presented since the impact to the Company's results of operations was not material.</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acquisition has been accounted for under the acquisition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In the second quarter of 2021, the Company recorded adjustments to the preliminary allocation, including a $3.9 million decrease to intangible assets, a $6.4 million increase to goodwill, a $3.3 million increase to contingent consideration, a $0.5 million decrease to deferred tax liabilities, and a decrease to cash paid of $0.3 million. The adjustments were driven by changes to the preliminary valuation and finalization of the working capital calculation. As of June 30, 2021, the allocation of purchase price to assets and liabilities is preliminary. The purchase price allocation will be finalized in 2021. The preliminary allocation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62865</wp:posOffset>
            </wp:positionV>
            <wp:extent cx="6772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9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Acquisition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3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Goodwill</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assets acquired</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contingent consideration</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contingent consideration</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3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294,122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acquired</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consideration</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Equity portion of purchase price</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166,709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purchase consideration</w:t>
            </w:r>
          </w:p>
        </w:tc>
        <w:tc>
          <w:tcPr>
            <w:tcW w:w="3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294,122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tcBorders>
              <w:top w:val="single" w:sz="8" w:color="CCEEFF"/>
              <w:bottom w:val="single" w:sz="8" w:color="auto"/>
            </w:tcBorders>
          </w:tcPr>
          <w:p>
            <w:pPr>
              <w:spacing w:after="0"/>
              <w:rPr>
                <w:sz w:val="17"/>
                <w:szCs w:val="17"/>
                <w:color w:val="auto"/>
              </w:rPr>
            </w:pPr>
          </w:p>
        </w:tc>
        <w:tc>
          <w:tcPr>
            <w:tcW w:w="324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six months ended June 30,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220345</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6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85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June 30, 2021</w:t>
            </w:r>
          </w:p>
        </w:tc>
      </w:tr>
      <w:tr>
        <w:trPr>
          <w:trHeight w:val="209"/>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128,752</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Goodwill acquired during the period</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281,845</w:t>
            </w: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r>
      <w:tr>
        <w:trPr>
          <w:trHeight w:val="210"/>
        </w:trPr>
        <w:tc>
          <w:tcPr>
            <w:tcW w:w="8500" w:type="dxa"/>
            <w:vAlign w:val="bottom"/>
            <w:gridSpan w:val="2"/>
          </w:tcPr>
          <w:p>
            <w:pPr>
              <w:spacing w:after="0"/>
              <w:rPr>
                <w:sz w:val="20"/>
                <w:szCs w:val="20"/>
                <w:color w:val="auto"/>
              </w:rPr>
            </w:pPr>
            <w:r>
              <w:rPr>
                <w:rFonts w:ascii="Arial" w:cs="Arial" w:eastAsia="Arial" w:hAnsi="Arial"/>
                <w:sz w:val="18"/>
                <w:szCs w:val="18"/>
                <w:color w:val="auto"/>
              </w:rPr>
              <w:t>Balance as of the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407,191</w:t>
            </w: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205740</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Goodwill increased $281.8 million during the six months ended June 30, 2021 as a result of our acquisition of Hubs. Goodwill has been allocated to the acquired Hubs entities consisting of goodwill of €106.5 million in Europe and $152.2 million in the United States as of the date of the acquisition. The Euro denominated goodwill is translated at the end of each period using the current exchange rates resulting in a foreign currency translation adjustment that is recorded as a component of Other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at June 30, 2021 and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June 30, 2021</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Useful</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Useful Life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Life (in</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(in</w:t>
            </w: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Gross</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Gross</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finite lives:</w:t>
            </w: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Marketing assets</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2.8</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2.0 - 5.0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3.3</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Software technology</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8,899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9,584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7.0</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Software platform</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26,081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9.6</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Tradenames</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7"/>
              </w:rPr>
              <w:t>3.0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2.6</w:t>
            </w:r>
          </w:p>
        </w:tc>
      </w:tr>
      <w:tr>
        <w:trPr>
          <w:trHeight w:val="216"/>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12,292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3.0 - 9.0</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2.3</w:t>
            </w:r>
          </w:p>
        </w:tc>
      </w:tr>
      <w:tr>
        <w:trPr>
          <w:trHeight w:val="210"/>
        </w:trPr>
        <w:tc>
          <w:tcPr>
            <w:tcW w:w="26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85"/>
              </w:rPr>
              <w:t>$ 54,839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(13,165)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$ 41,674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9"/>
              </w:rPr>
              <w:t>$ 24,499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(10,149)</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$ 14,350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increased $30.8 million during the six months ended June 30, 2021 as a result of our acquisition of Hubs. Intangible assets have been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allocated to the acquired Hubs entities consisting of intangible assets of €11.6 million in Europe and $16.6 million in the United States as of the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The Euro denominated intangible assets are translated at the end of each period using the current exchange rates resulting in a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translation adjustment that is recorded as a component of Other Comprehensive Income. Foreign currency losses related to intangible assets were $0.4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as of June 30, 2021. There was no foreign currency translation impact as of December 31, 2020. Amortization expense for intangible assets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and $0.8 million for the three months ended June 30, 2021 and 2020, respectively, and $3.0 million and $1.5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respectively.</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186055</wp:posOffset>
            </wp:positionV>
            <wp:extent cx="6412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3,130</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6,259</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6,056</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3,832</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18,647</w:t>
            </w:r>
          </w:p>
        </w:tc>
      </w:tr>
      <w:tr>
        <w:trPr>
          <w:trHeight w:val="249"/>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41,674</w:t>
            </w: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 xml:space="preserve">Accounting Standards Codification,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1—Quoted prices in active markets for identical assets or liabilities.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2—Observable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assets and liabilities that are required to be measured or disclosed at fair value on a recurring basis include cash and cash equivalents, marketable securities and contingent consideration.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 The Company's contingent consideration is the current fair value estimate of amounts owed to the former shareholders of Hubs and is determined using the Monte Carlo pricing model (Level 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assets as of June 30, 2021 and December 31, 2020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tcBorders>
              <w:bottom w:val="single" w:sz="8" w:color="auto"/>
            </w:tcBorders>
          </w:tcPr>
          <w:p>
            <w:pPr>
              <w:spacing w:after="0"/>
              <w:rPr>
                <w:sz w:val="20"/>
                <w:szCs w:val="20"/>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3</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40,694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72,225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mutual fund</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29,090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59,860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5,629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first quarter of 2021, the Company sold held-to-maturity securities in order to partially fund the acquisition of Hubs. As a result of the sale, all remaining marketable securities were reclassified to available-for-sale securities and reported at fair value.</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recorded a contingent consideration liability at the acquisition date of Hubs representing the amounts payable to former shareholders, as outlined under the terms of the merger agreement, payable subject to the satisfaction of performance-based targets during fiscal year 2021 and fiscal year 2022, consisting of up to $25.0 million in cash and up to 143,983 shares of the Company's common stock valued at $27.8 million on the date of close. The fair value of the contingent consideration (Level 3) is determined using a Monte Carlo pricing model. Subsequent changes in the fair value of the contingent consideration liabilities have been recorded in the Consolidated Statements of Comprehensive Income. Fluctuations due to foreign currency translation have been recorded in the Consolidated Statements of Shareholders’ Equity.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Marketable Securities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invests in short-term and long-term agency, municipal, corporate and other debt securities. As of June 30, 2021 the securities are categorized as available-for-sale and are recorded at fair value. As of December 31, 2020, the securities were categorized as held-to-maturity and were recorded at amortized cost, net of an allowance for credit losses. The change in categorization was a result of the sale of securities in the first quarter of 2021 in order to partially fund the acquisition of Hubs and did not have a material impact on our financial statements. The following table summarizes information regarding the Company’s short-term and long-term marketable securities as of June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189230</wp:posOffset>
            </wp:positionV>
            <wp:extent cx="6412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June 30, 2021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20,994</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19,062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19,101</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5,448</w:t>
            </w:r>
          </w:p>
        </w:tc>
      </w:tr>
      <w:tr>
        <w:trPr>
          <w:trHeight w:val="249"/>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47,041</w:t>
            </w:r>
          </w:p>
        </w:tc>
      </w:tr>
      <w:tr>
        <w:trPr>
          <w:trHeight w:val="197"/>
        </w:trPr>
        <w:tc>
          <w:tcPr>
            <w:tcW w:w="20" w:type="dxa"/>
            <w:vAlign w:val="bottom"/>
          </w:tcPr>
          <w:p>
            <w:pPr>
              <w:spacing w:after="0"/>
              <w:rPr>
                <w:sz w:val="17"/>
                <w:szCs w:val="17"/>
                <w:color w:val="auto"/>
              </w:rPr>
            </w:pPr>
          </w:p>
        </w:tc>
        <w:tc>
          <w:tcPr>
            <w:tcW w:w="4160" w:type="dxa"/>
            <w:vAlign w:val="bottom"/>
            <w:tcBorders>
              <w:top w:val="single" w:sz="8" w:color="CCEEFF"/>
              <w:bottom w:val="single" w:sz="8" w:color="auto"/>
            </w:tcBorders>
          </w:tcPr>
          <w:p>
            <w:pPr>
              <w:spacing w:after="0"/>
              <w:rPr>
                <w:sz w:val="17"/>
                <w:szCs w:val="17"/>
                <w:color w:val="auto"/>
              </w:rPr>
            </w:pPr>
          </w:p>
        </w:tc>
        <w:tc>
          <w:tcPr>
            <w:tcW w:w="160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237490</wp:posOffset>
            </wp:positionV>
            <wp:extent cx="6412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December 31, 2020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42,248</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18,496</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5,488</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93,445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93,815</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4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June 30, 2021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170815</wp:posOffset>
            </wp:positionV>
            <wp:extent cx="5709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c>
          <w:tcPr>
            <w:tcW w:w="20" w:type="dxa"/>
            <w:vAlign w:val="bottom"/>
          </w:tcPr>
          <w:p>
            <w:pPr>
              <w:spacing w:after="0"/>
              <w:rPr>
                <w:sz w:val="18"/>
                <w:szCs w:val="18"/>
                <w:color w:val="auto"/>
              </w:rPr>
            </w:pPr>
          </w:p>
        </w:tc>
      </w:tr>
      <w:tr>
        <w:trPr>
          <w:trHeight w:val="234"/>
        </w:trPr>
        <w:tc>
          <w:tcPr>
            <w:tcW w:w="7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18,341</w:t>
            </w:r>
          </w:p>
        </w:tc>
        <w:tc>
          <w:tcPr>
            <w:tcW w:w="20" w:type="dxa"/>
            <w:vAlign w:val="bottom"/>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w:t>
            </w:r>
          </w:p>
        </w:tc>
        <w:tc>
          <w:tcPr>
            <w:tcW w:w="20" w:type="dxa"/>
            <w:vAlign w:val="bottom"/>
          </w:tcPr>
          <w:p>
            <w:pPr>
              <w:spacing w:after="0"/>
              <w:rPr>
                <w:sz w:val="18"/>
                <w:szCs w:val="18"/>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20" w:type="dxa"/>
            <w:vAlign w:val="bottom"/>
          </w:tcPr>
          <w:p>
            <w:pPr>
              <w:spacing w:after="0"/>
              <w:rPr>
                <w:sz w:val="21"/>
                <w:szCs w:val="21"/>
                <w:color w:val="auto"/>
              </w:rPr>
            </w:pPr>
          </w:p>
        </w:tc>
      </w:tr>
      <w:tr>
        <w:trPr>
          <w:trHeight w:val="197"/>
        </w:trPr>
        <w:tc>
          <w:tcPr>
            <w:tcW w:w="7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Inventory</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220345</wp:posOffset>
            </wp:positionV>
            <wp:extent cx="5709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Allowance for obsolescence</w:t>
            </w:r>
          </w:p>
        </w:tc>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 of allowance</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3220" w:type="dxa"/>
            <w:vAlign w:val="bottom"/>
            <w:tcBorders>
              <w:top w:val="single" w:sz="8" w:color="CCEEFF"/>
              <w:bottom w:val="single" w:sz="8" w:color="auto"/>
            </w:tcBorders>
          </w:tcPr>
          <w:p>
            <w:pPr>
              <w:spacing w:after="0"/>
              <w:rPr>
                <w:sz w:val="17"/>
                <w:szCs w:val="17"/>
                <w:color w:val="auto"/>
              </w:rPr>
            </w:pPr>
          </w:p>
        </w:tc>
        <w:tc>
          <w:tcPr>
            <w:tcW w:w="320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533"/>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Company’s 2012 Long-Term Incentive Plan, as amended (the 2012 Plan), the Company has the ability to grant stock options, stock appreciation rights (SARs), restricted stock, restricted stock units, other stock-based awards and cash incentive awards.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Stock-based compensation expense was $4.9 million and $3.6 million for the three months ended June 30, 2021 and 2020, respectively, and $10.6 million and $6.7 million for the six months ended June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86.46</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128.14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101.65</w:t>
            </w:r>
          </w:p>
        </w:tc>
      </w:tr>
      <w:tr>
        <w:trPr>
          <w:trHeight w:val="249"/>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2021</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249,894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w:t>
            </w:r>
          </w:p>
        </w:tc>
      </w:tr>
      <w:tr>
        <w:trPr>
          <w:trHeight w:val="197"/>
        </w:trPr>
        <w:tc>
          <w:tcPr>
            <w:tcW w:w="738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2021</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116,452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81.38</w:t>
            </w: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outstanding options generally have a term of ten years. For employees, options granted become exercisable ratably over the vesting period, which is generally a period from four to five years, beginning on the first anniversary of the grant date, subject to the employee’s continuing service to the Company. For the board of directors, options generally become exercisable in full on the first anniversary of the grant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options that were granted during the six months ended June 30, 2021 was $57.26.</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the assumptions used in the Black-Scholes pricing model valuation of options during the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117475</wp:posOffset>
            </wp:positionV>
            <wp:extent cx="6412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76"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30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0.80 - 1.12%</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0.50 - 1.47%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life (years)</w:t>
            </w:r>
          </w:p>
        </w:tc>
        <w:tc>
          <w:tcPr>
            <w:tcW w:w="1500" w:type="dxa"/>
            <w:vAlign w:val="bottom"/>
          </w:tcPr>
          <w:p>
            <w:pPr>
              <w:jc w:val="center"/>
              <w:ind w:left="10"/>
              <w:spacing w:after="0"/>
              <w:rPr>
                <w:sz w:val="20"/>
                <w:szCs w:val="20"/>
                <w:color w:val="auto"/>
              </w:rPr>
            </w:pPr>
            <w:r>
              <w:rPr>
                <w:rFonts w:ascii="Arial" w:cs="Arial" w:eastAsia="Arial" w:hAnsi="Arial"/>
                <w:sz w:val="18"/>
                <w:szCs w:val="18"/>
                <w:color w:val="auto"/>
                <w:w w:val="91"/>
              </w:rPr>
              <w:t>6.25</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5"/>
              </w:rPr>
              <w:t>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45.28 - 45.53%</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42.40 - 43.83%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tcPr>
          <w:p>
            <w:pPr>
              <w:jc w:val="center"/>
              <w:ind w:left="10"/>
              <w:spacing w:after="0"/>
              <w:rPr>
                <w:sz w:val="20"/>
                <w:szCs w:val="20"/>
                <w:color w:val="auto"/>
              </w:rPr>
            </w:pPr>
            <w:r>
              <w:rPr>
                <w:rFonts w:ascii="Arial" w:cs="Arial" w:eastAsia="Arial" w:hAnsi="Arial"/>
                <w:sz w:val="18"/>
                <w:szCs w:val="18"/>
                <w:color w:val="auto"/>
                <w:w w:val="92"/>
              </w:rPr>
              <w:t>0%</w:t>
            </w:r>
          </w:p>
        </w:tc>
        <w:tc>
          <w:tcPr>
            <w:tcW w:w="170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2021, there was $5.8 million of unrecognized compensation expense related to unvested stock options, which is expected to be recognized over a weighted-average period of 3.0 years.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Restricted stock awards are share-settled awards and restrictions lapse ratably over the vesting period, which is generally a period from three to five years, beginning on the first anniversary of the grant date, subject to the employee's continuing service to the Company. For the board of directors, restrictions generally lapse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Restricted stock at December 31, 2020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Restrictions lapsed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Forfeited</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Restricted stock at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307,199</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98.87</w:t>
            </w:r>
          </w:p>
        </w:tc>
      </w:tr>
      <w:tr>
        <w:trPr>
          <w:trHeight w:val="216"/>
        </w:trPr>
        <w:tc>
          <w:tcPr>
            <w:tcW w:w="1600" w:type="dxa"/>
            <w:vAlign w:val="bottom"/>
          </w:tcPr>
          <w:p>
            <w:pPr>
              <w:jc w:val="right"/>
              <w:ind w:right="10"/>
              <w:spacing w:after="0"/>
              <w:rPr>
                <w:sz w:val="20"/>
                <w:szCs w:val="20"/>
                <w:color w:val="auto"/>
              </w:rPr>
            </w:pPr>
            <w:r>
              <w:rPr>
                <w:rFonts w:ascii="Arial" w:cs="Arial" w:eastAsia="Arial" w:hAnsi="Arial"/>
                <w:sz w:val="18"/>
                <w:szCs w:val="18"/>
                <w:color w:val="auto"/>
              </w:rPr>
              <w:t>178,398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133.67</w:t>
            </w:r>
          </w:p>
        </w:tc>
      </w:tr>
      <w:tr>
        <w:trPr>
          <w:trHeight w:val="216"/>
        </w:trPr>
        <w:tc>
          <w:tcPr>
            <w:tcW w:w="1600" w:type="dxa"/>
            <w:vAlign w:val="bottom"/>
          </w:tcPr>
          <w:p>
            <w:pPr>
              <w:jc w:val="right"/>
              <w:spacing w:after="0"/>
              <w:rPr>
                <w:sz w:val="20"/>
                <w:szCs w:val="20"/>
                <w:color w:val="auto"/>
              </w:rPr>
            </w:pPr>
            <w:r>
              <w:rPr>
                <w:rFonts w:ascii="Arial" w:cs="Arial" w:eastAsia="Arial" w:hAnsi="Arial"/>
                <w:sz w:val="18"/>
                <w:szCs w:val="18"/>
                <w:color w:val="auto"/>
              </w:rPr>
              <w:t>(113,315)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91.10</w:t>
            </w:r>
          </w:p>
        </w:tc>
      </w:tr>
      <w:tr>
        <w:trPr>
          <w:trHeight w:val="230"/>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105.72</w:t>
            </w:r>
          </w:p>
        </w:tc>
      </w:tr>
      <w:tr>
        <w:trPr>
          <w:trHeight w:val="210"/>
        </w:trPr>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357,757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118.41</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-719455</wp:posOffset>
            </wp:positionV>
            <wp:extent cx="67722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-445135</wp:posOffset>
            </wp:positionV>
            <wp:extent cx="67722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-161925</wp:posOffset>
            </wp:positionV>
            <wp:extent cx="677227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137160</wp:posOffset>
            </wp:positionV>
            <wp:extent cx="6772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460"/>
          </w:cols>
          <w:pgMar w:left="320" w:top="125" w:right="459" w:bottom="1440" w:gutter="0" w:footer="0" w:header="0"/>
          <w:type w:val="continuous"/>
        </w:sectPr>
      </w:pPr>
    </w:p>
    <w:p>
      <w:pPr>
        <w:spacing w:after="0" w:line="2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June 30, 2021, there was $36.0 million of unrecognized compensation expense related to non-vested restricted stock, which is expected to be recognized over a weighted-average period of 2.8 years.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and certain PSUs granted in 2021 are based on performance conditions and the related compensation cost is based on the probability that the performance conditions will be achieved. The Company’s PSUs granted in 2020 and certain PSUs granted in 2021 are based on market conditions and the related compensation cost is based on the fair value at grant date calculated using a Monte Carlo pricing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stock activity during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December 31, 2020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118.66</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203.64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Performance change</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99.59</w:t>
            </w:r>
          </w:p>
        </w:tc>
      </w:tr>
      <w:tr>
        <w:trPr>
          <w:trHeight w:val="210"/>
        </w:trPr>
        <w:tc>
          <w:tcPr>
            <w:tcW w:w="7380" w:type="dxa"/>
            <w:vAlign w:val="bottom"/>
            <w:gridSpan w:val="2"/>
          </w:tcPr>
          <w:p>
            <w:pPr>
              <w:spacing w:after="0"/>
              <w:rPr>
                <w:sz w:val="20"/>
                <w:szCs w:val="20"/>
                <w:color w:val="auto"/>
              </w:rPr>
            </w:pPr>
            <w:r>
              <w:rPr>
                <w:rFonts w:ascii="Arial" w:cs="Arial" w:eastAsia="Arial" w:hAnsi="Arial"/>
                <w:sz w:val="18"/>
                <w:szCs w:val="18"/>
                <w:color w:val="auto"/>
              </w:rPr>
              <w:t>Performance stock at June 30, 2021</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30,850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160.19</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140" w:right="360" w:hanging="161"/>
        <w:spacing w:after="0" w:line="277" w:lineRule="auto"/>
        <w:rPr>
          <w:sz w:val="20"/>
          <w:szCs w:val="20"/>
          <w:color w:val="auto"/>
        </w:rPr>
      </w:pPr>
      <w:r>
        <w:rPr>
          <w:rFonts w:ascii="Arial" w:cs="Arial" w:eastAsia="Arial" w:hAnsi="Arial"/>
          <w:sz w:val="18"/>
          <w:szCs w:val="18"/>
          <w:color w:val="auto"/>
        </w:rPr>
        <w:t>The following table provides the assumptions used in the Monte Carlo pricing model valuation of PSUs during the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186055</wp:posOffset>
            </wp:positionV>
            <wp:extent cx="6772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94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0.22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1"/>
              </w:rPr>
              <w:t>1.41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Expected life (years)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1"/>
              </w:rPr>
              <w:t>2.87</w:t>
            </w:r>
          </w:p>
        </w:tc>
        <w:tc>
          <w:tcPr>
            <w:tcW w:w="260" w:type="dxa"/>
            <w:vAlign w:val="bottom"/>
          </w:tcPr>
          <w:p>
            <w:pPr>
              <w:spacing w:after="0"/>
              <w:rPr>
                <w:sz w:val="18"/>
                <w:szCs w:val="18"/>
                <w:color w:val="auto"/>
              </w:rPr>
            </w:pPr>
          </w:p>
        </w:tc>
        <w:tc>
          <w:tcPr>
            <w:tcW w:w="1220" w:type="dxa"/>
            <w:vAlign w:val="bottom"/>
          </w:tcPr>
          <w:p>
            <w:pPr>
              <w:jc w:val="center"/>
              <w:ind w:left="250"/>
              <w:spacing w:after="0"/>
              <w:rPr>
                <w:sz w:val="20"/>
                <w:szCs w:val="20"/>
                <w:color w:val="auto"/>
              </w:rPr>
            </w:pPr>
            <w:r>
              <w:rPr>
                <w:rFonts w:ascii="Arial" w:cs="Arial" w:eastAsia="Arial" w:hAnsi="Arial"/>
                <w:sz w:val="18"/>
                <w:szCs w:val="18"/>
                <w:color w:val="auto"/>
                <w:w w:val="91"/>
              </w:rPr>
              <w:t>2.88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51.40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8"/>
              </w:rPr>
              <w:t>38.70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20" w:type="dxa"/>
            <w:vAlign w:val="bottom"/>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128270</wp:posOffset>
            </wp:positionV>
            <wp:extent cx="67722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2021, there was $3.2 million of unrecognized compensation expense related to non-vested performance stock, which is expected to be recognized over a weighted-average period of 2.4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assumptions used to estimate the fair value of the ESPP during the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159385</wp:posOffset>
            </wp:positionV>
            <wp:extent cx="6772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30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380" w:type="dxa"/>
            <w:vAlign w:val="bottom"/>
            <w:gridSpan w:val="2"/>
            <w:shd w:val="clear" w:color="auto" w:fill="CCEEFF"/>
          </w:tcPr>
          <w:p>
            <w:pPr>
              <w:jc w:val="center"/>
              <w:ind w:left="3890"/>
              <w:spacing w:after="0"/>
              <w:rPr>
                <w:sz w:val="20"/>
                <w:szCs w:val="20"/>
                <w:color w:val="auto"/>
              </w:rPr>
            </w:pPr>
            <w:r>
              <w:rPr>
                <w:rFonts w:ascii="Arial" w:cs="Arial" w:eastAsia="Arial" w:hAnsi="Arial"/>
                <w:sz w:val="18"/>
                <w:szCs w:val="18"/>
                <w:color w:val="auto"/>
                <w:w w:val="90"/>
              </w:rPr>
              <w:t>0.06 - 0.12%</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0.17 - 1.59%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life (months)</w:t>
            </w:r>
          </w:p>
        </w:tc>
        <w:tc>
          <w:tcPr>
            <w:tcW w:w="5380" w:type="dxa"/>
            <w:vAlign w:val="bottom"/>
            <w:gridSpan w:val="2"/>
          </w:tcPr>
          <w:p>
            <w:pPr>
              <w:jc w:val="center"/>
              <w:ind w:left="3890"/>
              <w:spacing w:after="0"/>
              <w:rPr>
                <w:sz w:val="20"/>
                <w:szCs w:val="20"/>
                <w:color w:val="auto"/>
              </w:rPr>
            </w:pPr>
            <w:r>
              <w:rPr>
                <w:rFonts w:ascii="Arial" w:cs="Arial" w:eastAsia="Arial" w:hAnsi="Arial"/>
                <w:sz w:val="18"/>
                <w:szCs w:val="18"/>
                <w:color w:val="auto"/>
                <w:w w:val="91"/>
              </w:rPr>
              <w:t>6.00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5"/>
              </w:rPr>
              <w:t>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380" w:type="dxa"/>
            <w:vAlign w:val="bottom"/>
            <w:gridSpan w:val="2"/>
            <w:shd w:val="clear" w:color="auto" w:fill="CCEEFF"/>
          </w:tcPr>
          <w:p>
            <w:pPr>
              <w:jc w:val="center"/>
              <w:ind w:left="3890"/>
              <w:spacing w:after="0"/>
              <w:rPr>
                <w:sz w:val="20"/>
                <w:szCs w:val="20"/>
                <w:color w:val="auto"/>
              </w:rPr>
            </w:pPr>
            <w:r>
              <w:rPr>
                <w:rFonts w:ascii="Arial" w:cs="Arial" w:eastAsia="Arial" w:hAnsi="Arial"/>
                <w:sz w:val="18"/>
                <w:szCs w:val="18"/>
                <w:color w:val="auto"/>
                <w:w w:val="91"/>
              </w:rPr>
              <w:t>50.85 - 65.53%</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42.63 - 59.99%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80" w:type="dxa"/>
            <w:vAlign w:val="bottom"/>
            <w:gridSpan w:val="2"/>
          </w:tcPr>
          <w:p>
            <w:pPr>
              <w:jc w:val="center"/>
              <w:ind w:left="3890"/>
              <w:spacing w:after="0"/>
              <w:rPr>
                <w:sz w:val="20"/>
                <w:szCs w:val="20"/>
                <w:color w:val="auto"/>
              </w:rPr>
            </w:pPr>
            <w:r>
              <w:rPr>
                <w:rFonts w:ascii="Arial" w:cs="Arial" w:eastAsia="Arial" w:hAnsi="Arial"/>
                <w:sz w:val="18"/>
                <w:szCs w:val="18"/>
                <w:color w:val="auto"/>
                <w:w w:val="92"/>
              </w:rPr>
              <w:t>0%</w:t>
            </w:r>
          </w:p>
        </w:tc>
        <w:tc>
          <w:tcPr>
            <w:tcW w:w="170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tcPr>
          <w:p>
            <w:pPr>
              <w:jc w:val="right"/>
              <w:ind w:right="1850"/>
              <w:spacing w:after="0"/>
              <w:rPr>
                <w:sz w:val="20"/>
                <w:szCs w:val="20"/>
                <w:color w:val="auto"/>
              </w:rPr>
            </w:pPr>
            <w:r>
              <w:rPr>
                <w:rFonts w:ascii="Arial" w:cs="Arial" w:eastAsia="Arial" w:hAnsi="Arial"/>
                <w:sz w:val="18"/>
                <w:szCs w:val="18"/>
                <w:color w:val="auto"/>
              </w:rPr>
              <w:t>13</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Accumulated Other Comprehensive Income (Loss)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Other comprehensive income (loss) is comprised of foreign currency translation adjustments and net unrealized gains (losses) on investments in securities. The following table presents the changes in accumulated other comprehensive income (loss) balances during the three and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(10,096)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(9,998)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(7,018)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Foreign currency translation adjustments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Amounts reclassified from 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Net unrealized gains (losses) on investments in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Amounts reclassified from 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r>
      <w:tr>
        <w:trPr>
          <w:trHeight w:val="251"/>
        </w:trPr>
        <w:tc>
          <w:tcPr>
            <w:tcW w:w="598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subject to income tax in multiple jurisdictions and the use of estimates is required to determine the provision for income taxes. For the three months ended June 30, 2021 and 2020, the Company recorded an income tax provision of $3.3 million and $2.5 million, respectively. The income tax provision is based on the estimated annual effective tax rate for the year applied to pre-tax income. The results for the three and six months ended June 30, 2021 reflect losses in jurisdictions that are not eligible for tax benefits on account of valuation allowances. The effective income tax rate for the three months ended June 30, 2021 was 20.5 percent compared to 16.6 percent in the same period of the prior year. The effective tax rate increased by 3.9 percent for the three months ended June 30, 2021 when compared to the same period in 2020, primarily due to a decrease in tax benefits from the vesting of restricted stock and the exercise of stock options. The effective income tax rate for the six months ended June 30, 2021 was 17.6 percent compared to 19.4 percent in the same period of the prior year. The effective tax rate decreased by 1.8 percent for the six months ended June 30, 2021 when compared to the same period in 2020, primarily due to an increase in tax benefits from the vesting of restricted stock and the exercise of stock options.</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effective income tax rate for the six months ended June 30, 2021 differs from the U.S. federal statutory rate of 21.0 percent due to various factors, including operating in multiple state and foreign jurisdictions and tax credits for which the Company qualifies.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had unrecognized tax benefits totaling $5.0 million as of June 30, 2021 and $4.8 million as of December 31, 2020, respectively, all of which, if recognized, would affect the Company’s effective tax rate. The Company recognizes interest and penalties related to income tax matters in income tax expense, and reports the liability in current or long-term income taxes payable as appropriate.</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11, 2021, the President signed into law the ARP Act, a legislative package which is generally not significant to the Company's current tax footprint; however, the Company will continue to assess the ARP Act on an ongoing basis. Similar tax provisions and other stimulus measures have been granted either before or after June 30, 2021 by certain foreign and U.S. state jurisdictions, which the Company continues to evaluate and apply, if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Reporting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and income from operations by reportable segment for the three and six months ended June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95,344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86,823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186,397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176,899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Japan</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7,268</w:t>
            </w:r>
          </w:p>
        </w:tc>
      </w:tr>
      <w:tr>
        <w:trPr>
          <w:trHeight w:val="250"/>
        </w:trPr>
        <w:tc>
          <w:tcPr>
            <w:tcW w:w="300" w:type="dxa"/>
            <w:vAlign w:val="bottom"/>
            <w:shd w:val="clear" w:color="auto" w:fill="CCEEFF"/>
          </w:tcPr>
          <w:p>
            <w:pPr>
              <w:spacing w:after="0"/>
              <w:rPr>
                <w:sz w:val="21"/>
                <w:szCs w:val="21"/>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123,048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239,174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221,683</w:t>
            </w:r>
          </w:p>
        </w:tc>
      </w:tr>
      <w:tr>
        <w:trPr>
          <w:trHeight w:val="250"/>
        </w:trPr>
        <w:tc>
          <w:tcPr>
            <w:tcW w:w="300" w:type="dxa"/>
            <w:vAlign w:val="bottom"/>
            <w:tcBorders>
              <w:top w:val="single" w:sz="8" w:color="CCEEFF"/>
              <w:bottom w:val="single" w:sz="8" w:color="auto"/>
            </w:tcBorders>
          </w:tcPr>
          <w:p>
            <w:pPr>
              <w:spacing w:after="0"/>
              <w:rPr>
                <w:sz w:val="21"/>
                <w:szCs w:val="21"/>
                <w:color w:val="auto"/>
              </w:rPr>
            </w:pPr>
          </w:p>
        </w:tc>
        <w:tc>
          <w:tcPr>
            <w:tcW w:w="568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5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09"/>
        </w:trPr>
        <w:tc>
          <w:tcPr>
            <w:tcW w:w="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United States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26,280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24,349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48,783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49,438</w:t>
            </w:r>
          </w:p>
        </w:tc>
      </w:tr>
      <w:tr>
        <w:trPr>
          <w:trHeight w:val="216"/>
        </w:trPr>
        <w:tc>
          <w:tcPr>
            <w:tcW w:w="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6,625</w:t>
            </w:r>
          </w:p>
        </w:tc>
      </w:tr>
      <w:tr>
        <w:trPr>
          <w:trHeight w:val="216"/>
        </w:trPr>
        <w:tc>
          <w:tcPr>
            <w:tcW w:w="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Corporate Unallocated and Japan</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(24,887)</w:t>
            </w:r>
          </w:p>
        </w:tc>
      </w:tr>
      <w:tr>
        <w:trPr>
          <w:trHeight w:val="250"/>
        </w:trPr>
        <w:tc>
          <w:tcPr>
            <w:tcW w:w="300" w:type="dxa"/>
            <w:vAlign w:val="bottom"/>
          </w:tcPr>
          <w:p>
            <w:pPr>
              <w:spacing w:after="0"/>
              <w:rPr>
                <w:sz w:val="21"/>
                <w:szCs w:val="21"/>
                <w:color w:val="auto"/>
              </w:rPr>
            </w:pPr>
          </w:p>
        </w:tc>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Income from Operations</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31,176</w:t>
            </w:r>
          </w:p>
        </w:tc>
      </w:tr>
      <w:tr>
        <w:trPr>
          <w:trHeight w:val="197"/>
        </w:trPr>
        <w:tc>
          <w:tcPr>
            <w:tcW w:w="300" w:type="dxa"/>
            <w:vAlign w:val="bottom"/>
          </w:tcPr>
          <w:p>
            <w:pPr>
              <w:spacing w:after="0"/>
              <w:rPr>
                <w:sz w:val="17"/>
                <w:szCs w:val="17"/>
                <w:color w:val="auto"/>
              </w:rPr>
            </w:pPr>
          </w:p>
        </w:tc>
        <w:tc>
          <w:tcPr>
            <w:tcW w:w="5220" w:type="dxa"/>
            <w:vAlign w:val="bottom"/>
            <w:tcBorders>
              <w:top w:val="single" w:sz="8" w:color="CCEEFF"/>
              <w:bottom w:val="single" w:sz="8" w:color="auto"/>
            </w:tcBorders>
            <w:gridSpan w:val="2"/>
          </w:tcPr>
          <w:p>
            <w:pPr>
              <w:spacing w:after="0"/>
              <w:rPr>
                <w:sz w:val="17"/>
                <w:szCs w:val="17"/>
                <w:color w:val="auto"/>
              </w:rPr>
            </w:pPr>
          </w:p>
        </w:tc>
        <w:tc>
          <w:tcPr>
            <w:tcW w:w="1300" w:type="dxa"/>
            <w:vAlign w:val="bottom"/>
            <w:tcBorders>
              <w:top w:val="single" w:sz="8" w:color="auto"/>
              <w:bottom w:val="single" w:sz="8" w:color="auto"/>
            </w:tcBorders>
            <w:gridSpan w:val="2"/>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r>
      <w:tr>
        <w:trPr>
          <w:trHeight w:val="425"/>
        </w:trPr>
        <w:tc>
          <w:tcPr>
            <w:tcW w:w="6820" w:type="dxa"/>
            <w:vAlign w:val="bottom"/>
            <w:gridSpan w:val="5"/>
          </w:tcPr>
          <w:p>
            <w:pPr>
              <w:jc w:val="right"/>
              <w:ind w:right="850"/>
              <w:spacing w:after="0"/>
              <w:rPr>
                <w:sz w:val="20"/>
                <w:szCs w:val="20"/>
                <w:color w:val="auto"/>
              </w:rPr>
            </w:pPr>
            <w:r>
              <w:rPr>
                <w:rFonts w:ascii="Arial" w:cs="Arial" w:eastAsia="Arial" w:hAnsi="Arial"/>
                <w:sz w:val="18"/>
                <w:szCs w:val="18"/>
                <w:color w:val="auto"/>
                <w:w w:val="90"/>
              </w:rPr>
              <w:t>Total long-lived assets at June 30, 2021 and December 31, 2020 were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137160</wp:posOffset>
            </wp:positionV>
            <wp:extent cx="5709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r>
      <w:tr>
        <w:trPr>
          <w:trHeight w:val="234"/>
        </w:trPr>
        <w:tc>
          <w:tcPr>
            <w:tcW w:w="56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222,117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215,721</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20" w:type="dxa"/>
            <w:vAlign w:val="bottom"/>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Japan</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20" w:type="dxa"/>
            <w:vAlign w:val="bottom"/>
          </w:tcPr>
          <w:p>
            <w:pPr>
              <w:spacing w:after="0"/>
              <w:rPr>
                <w:sz w:val="18"/>
                <w:szCs w:val="18"/>
                <w:color w:val="auto"/>
              </w:rPr>
            </w:pPr>
          </w:p>
        </w:tc>
      </w:tr>
      <w:tr>
        <w:trPr>
          <w:trHeight w:val="249"/>
        </w:trPr>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Long-lived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282,666</w:t>
            </w:r>
          </w:p>
        </w:tc>
        <w:tc>
          <w:tcPr>
            <w:tcW w:w="20" w:type="dxa"/>
            <w:vAlign w:val="bottom"/>
          </w:tcPr>
          <w:p>
            <w:pPr>
              <w:spacing w:after="0"/>
              <w:rPr>
                <w:sz w:val="21"/>
                <w:szCs w:val="21"/>
                <w:color w:val="auto"/>
              </w:rPr>
            </w:pPr>
          </w:p>
        </w:tc>
      </w:tr>
      <w:tr>
        <w:trPr>
          <w:trHeight w:val="197"/>
        </w:trPr>
        <w:tc>
          <w:tcPr>
            <w:tcW w:w="568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for the three and six months ended June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Injection Molding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58,168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57,894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114,527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112,670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CNC Machining</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41,592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66,645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3D Printing</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18,170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Sheet Metal</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Revenue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1,866</w:t>
            </w: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123,048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239,174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221,683</w:t>
            </w:r>
          </w:p>
        </w:tc>
      </w:tr>
      <w:tr>
        <w:trPr>
          <w:trHeight w:val="251"/>
        </w:trPr>
        <w:tc>
          <w:tcPr>
            <w:tcW w:w="598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the world’s largest and fastest digital manufacturer of custom prototypes and on-demand production parts. We manufacture prototypes and low-volume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In January 2021, we acquired Hubs, a leading online manufacturing platform based in Amsterdam, Netherlands, that provides customers with on-demand access to a global network of premium manufacturing partners. This acquisition creates the world's largest digital manufacturing platform, offering the broadest set of manufacturing services with the help of a global network of premium manufacturing providers. Our customers conduct nearly all of their business with us over the Internet. We target our products to the millions of product developers and engineers who use three-dimensional computer-aided design (3D CAD) software to design products across a diverse range of end-markets.</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The acquisition of Hubs broadens our offer beyond our current manufacturing capabilities and provides a broader range of price and lead time options by leveraging a network of manufacturing partners to meet the holistic needs of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aluminum molds and quick turnaround times help reduce design risk and limit overall production costs for product developers and engineers. Because we retain possession of the molds, customers who need short-run production often come back to Protolabs’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product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product developer or engineer. CNC turning with live tooling combines both lathe and mill capabilities to machine parts with cylindrical features from metal rod stock. Our efficiencies derive from the automation of the programming of these machines and a proprietary fixturing process.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Quick-turn CNC machining works best for prototyping, form and fit testing, jigs and fixtures and functional components for end-use applications.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Printing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3D Printing product line includes stereolithography, selective laser sintering, direct metal laser sintering, Multi Jet Fusion, PolyJet and digital light synthesis processes, which offer customers a wide-variety of high-quality, precision rapid prototyping and low-volume production. These processes create parts with a high level of accuracy, detail, strength and durability. Industrial 3D Printing is best suited for functional prototypes, complex designs and end-use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Sheet Metal product line includes quick-turn and e-commerce-enabled custom sheet metal parts, which provides customers with prototype and low-volume production parts. The rapid prototype sheet metal process is most often used when form, fit and function are all a priority. Our manufacturing process uses customer 3D CAD models uploaded by the product developer or engineer to fabricate quick-turn prototype sheet metal or short-run production parts.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 and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expanding the breadth of our product offerings, gaining new customers and selling to our existing customer base by increasing marketing and selling activities, including:</w:t>
      </w:r>
    </w:p>
    <w:p>
      <w:pPr>
        <w:spacing w:after="0" w:line="192"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the breadth and scope of each of our product lines by adding more sizes and materials to our offerings;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October 2015;</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Manufacturing Group, LLC (RAPID) in 2017</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 and</w:t>
      </w:r>
    </w:p>
    <w:p>
      <w:pPr>
        <w:spacing w:after="0" w:line="225" w:lineRule="exact"/>
        <w:rPr>
          <w:rFonts w:ascii="Arial" w:cs="Arial" w:eastAsia="Arial" w:hAnsi="Arial"/>
          <w:sz w:val="18"/>
          <w:szCs w:val="18"/>
          <w:color w:val="auto"/>
        </w:rPr>
      </w:pPr>
    </w:p>
    <w:p>
      <w:pPr>
        <w:ind w:left="820" w:right="40" w:hanging="488"/>
        <w:spacing w:after="0" w:line="182" w:lineRule="auto"/>
        <w:tabs>
          <w:tab w:leader="none" w:pos="820" w:val="left"/>
        </w:tabs>
        <w:numPr>
          <w:ilvl w:val="0"/>
          <w:numId w:val="3"/>
        </w:numPr>
        <w:rPr>
          <w:rFonts w:ascii="Arial" w:cs="Arial" w:eastAsia="Arial" w:hAnsi="Arial"/>
          <w:sz w:val="34"/>
          <w:szCs w:val="34"/>
          <w:color w:val="auto"/>
          <w:vertAlign w:val="subscript"/>
        </w:rPr>
      </w:pPr>
      <w:r>
        <w:rPr>
          <w:rFonts w:ascii="Arial" w:cs="Arial" w:eastAsia="Arial" w:hAnsi="Arial"/>
          <w:sz w:val="17"/>
          <w:szCs w:val="17"/>
          <w:color w:val="auto"/>
        </w:rPr>
        <w:t>providing customers with on-demand access to a global network of premium manufacturing partners through our acquisition of Hubs in January 2021.</w:t>
      </w:r>
    </w:p>
    <w:p>
      <w:pPr>
        <w:spacing w:after="0" w:line="2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the three months ended June 30, 2021, we served 23,253 unique product developers and engineers who purchased our products through our web-based customer interface, an increase of 36.5% over the same period in 2020. The increase in product developers was driven primarily by our acquisition of Hubs. Excluding the impact of Hubs, our product developers increased 14.3% during the three months ended June 30, 2021 when compared to the same period in 2020. During the six months ended June 30, 2021, we served 37,501 unique product developers and engineers who purchased our products through our web-based customer interface, an increase of 26.3% over the same period in 2020. The increase in unique product developers served was driven primarily by our acquisition of Hubs. Excluding the impact of Hubs, unique product developers served increased 7.1% during the six months ended June 30, 2021 when compared to the same period in 2020.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At this time, it is difficult to predict the future given the current economic uncertainty and evolving market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 consists primarily of raw materials, equipment depreciation, employee compensation, benefits, stock-based compensation, facilities costs, overhead allocations and outsourced manufacturing costs associated with the manufacturing process for molds and custom parts. We expect our personnel-related costs to increase in order to retain and attract top talent and remain competitive in the market. Overall, we expect cost of revenue to increase in absolute dollars.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define gross profit as our revenue less our cost of revenue, and we define gross margin as gross profit expressed as a percentage of revenue. We expect our gross profit to increase in absolute dollars, however our gross margin may fluctuate based on the business mix in each reporting period.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recent growth in operating expenses is mainly due to the launch of our Protolabs 2.0 project in the fourth quarter of 2020. During the development of Protolabs 2.0, certain research and development personnel costs were capitalizable as a software development asset. Since the system was placed in service in November 2020, the personnel costs have been expensed as incurred. In addition, amortization expense for the software asset is now being recorded over the systems’ estimated useful lives of seven to 10 years. Our business strategy is to continue to be a leading online and technology-enabled manufacturer of quick-turn, on-demand injection-molded, CNC-machined, CNC-turned, 3D-printed and sheet metal custom parts for prototyping and low-volume production. In order to achieve our goals, we anticipate continued substantial investments in technology and personnel, resulting in increased operating expenses.</w:t>
      </w:r>
    </w:p>
    <w:p>
      <w:pPr>
        <w:spacing w:after="0" w:line="19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 consists primarily of employee compensation, benefits, commissions,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We expect research and development expense to increase in the future as we seek to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interface technology, internal software and supporting business systems, and continue to expand our product lines.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we expect our effective tax rate for 2021 and beyond will remain consistent based on the current tax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w w:val="88"/>
              </w:rPr>
              <w:t>Change</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w w:val="88"/>
              </w:rPr>
              <w:t>Change</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123,048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106,575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100.0</w:t>
            </w: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99"/>
              </w:rPr>
              <w:t>$ 16,473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239,174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221,683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$ 17,491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66,423</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12,304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127,219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111,127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49.2</w:t>
            </w: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4,169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111,955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110,556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Marketing and sales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4,108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93"/>
        </w:trPr>
        <w:tc>
          <w:tcPr>
            <w:tcW w:w="1740" w:type="dxa"/>
            <w:vAlign w:val="bottom"/>
          </w:tcPr>
          <w:p>
            <w:pPr>
              <w:ind w:left="340"/>
              <w:spacing w:after="0"/>
              <w:rPr>
                <w:sz w:val="20"/>
                <w:szCs w:val="20"/>
                <w:color w:val="auto"/>
              </w:rPr>
            </w:pPr>
            <w:r>
              <w:rPr>
                <w:rFonts w:ascii="Arial" w:cs="Arial" w:eastAsia="Arial" w:hAnsi="Arial"/>
                <w:sz w:val="16"/>
                <w:szCs w:val="16"/>
                <w:color w:val="auto"/>
              </w:rPr>
              <w:t>Research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340"/>
              <w:spacing w:after="0"/>
              <w:rPr>
                <w:sz w:val="20"/>
                <w:szCs w:val="20"/>
                <w:color w:val="auto"/>
              </w:rPr>
            </w:pPr>
            <w:r>
              <w:rPr>
                <w:rFonts w:ascii="Arial" w:cs="Arial" w:eastAsia="Arial" w:hAnsi="Arial"/>
                <w:sz w:val="16"/>
                <w:szCs w:val="16"/>
                <w:color w:val="auto"/>
              </w:rPr>
              <w:t>development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23,241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17,635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administrative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w:t>
            </w: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3,659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93"/>
        </w:trPr>
        <w:tc>
          <w:tcPr>
            <w:tcW w:w="1740" w:type="dxa"/>
            <w:vAlign w:val="bottom"/>
          </w:tcPr>
          <w:p>
            <w:pPr>
              <w:ind w:left="340"/>
              <w:spacing w:after="0"/>
              <w:rPr>
                <w:sz w:val="20"/>
                <w:szCs w:val="20"/>
                <w:color w:val="auto"/>
              </w:rPr>
            </w:pPr>
            <w:r>
              <w:rPr>
                <w:rFonts w:ascii="Arial" w:cs="Arial" w:eastAsia="Arial" w:hAnsi="Arial"/>
                <w:sz w:val="16"/>
                <w:szCs w:val="16"/>
                <w:color w:val="auto"/>
              </w:rPr>
              <w:t>Changes in fair</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value of contingent</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(7,763)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(7,763)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(7,763)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(7,763)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740" w:type="dxa"/>
            <w:vAlign w:val="bottom"/>
          </w:tcPr>
          <w:p>
            <w:pPr>
              <w:spacing w:after="0"/>
              <w:rPr>
                <w:sz w:val="20"/>
                <w:szCs w:val="20"/>
                <w:color w:val="auto"/>
              </w:rPr>
            </w:pPr>
            <w:r>
              <w:rPr>
                <w:rFonts w:ascii="Arial" w:cs="Arial" w:eastAsia="Arial" w:hAnsi="Arial"/>
                <w:sz w:val="16"/>
                <w:szCs w:val="16"/>
                <w:color w:val="auto"/>
              </w:rPr>
              <w:t>consideration</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9"/>
              </w:rPr>
              <w:t>Total operating</w:t>
            </w: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32.9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35.8</w:t>
            </w:r>
          </w:p>
        </w:tc>
        <w:tc>
          <w:tcPr>
            <w:tcW w:w="100" w:type="dxa"/>
            <w:vAlign w:val="bottom"/>
            <w:vMerge w:val="restart"/>
            <w:shd w:val="clear" w:color="auto" w:fill="CCEEFF"/>
          </w:tcPr>
          <w:p>
            <w:pPr>
              <w:spacing w:after="0"/>
              <w:rPr>
                <w:sz w:val="16"/>
                <w:szCs w:val="16"/>
                <w:color w:val="auto"/>
              </w:rPr>
            </w:pP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91,590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79,380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12,210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99"/>
        </w:trPr>
        <w:tc>
          <w:tcPr>
            <w:tcW w:w="1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expenses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16,104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13.5</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20,365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31,176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Other income (loss), net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(82.1)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6"/>
              </w:rPr>
              <w:t>(109.7)</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before income</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Arial" w:cs="Arial" w:eastAsia="Arial" w:hAnsi="Arial"/>
                <w:sz w:val="16"/>
                <w:szCs w:val="16"/>
                <w:color w:val="auto"/>
              </w:rPr>
              <w:t>taxes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16,241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14.2</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00" w:type="dxa"/>
            <w:vAlign w:val="bottom"/>
            <w:vMerge w:val="restart"/>
            <w:shd w:val="clear" w:color="auto" w:fill="CCEEFF"/>
          </w:tcPr>
          <w:p>
            <w:pPr>
              <w:spacing w:after="0"/>
              <w:rPr>
                <w:sz w:val="17"/>
                <w:szCs w:val="17"/>
                <w:color w:val="auto"/>
              </w:rPr>
            </w:pP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3,562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99"/>
        </w:trPr>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12,915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12,607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11.8%</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   308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16,627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26,591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700" w:type="dxa"/>
            <w:vAlign w:val="bottom"/>
          </w:tcPr>
          <w:p>
            <w:pPr>
              <w:jc w:val="right"/>
              <w:spacing w:after="0"/>
              <w:rPr>
                <w:sz w:val="20"/>
                <w:szCs w:val="20"/>
                <w:color w:val="auto"/>
              </w:rPr>
            </w:pPr>
            <w:r>
              <w:rPr>
                <w:rFonts w:ascii="Arial" w:cs="Arial" w:eastAsia="Arial" w:hAnsi="Arial"/>
                <w:sz w:val="16"/>
                <w:szCs w:val="16"/>
                <w:color w:val="auto"/>
                <w:w w:val="93"/>
              </w:rPr>
              <w:t>$  (9,964)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*Percentage change not meaningful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Stock-based compensation expense included in the statements of operations data above for the three and six months ended June 30,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117475</wp:posOffset>
            </wp:positionV>
            <wp:extent cx="67722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0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5"/>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1"/>
              </w:rPr>
              <w:t>Six Months Ended June 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3,639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10,561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6,672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three months ended June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95,344</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77.5%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86,823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8,521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24,655</w:t>
            </w:r>
          </w:p>
        </w:tc>
        <w:tc>
          <w:tcPr>
            <w:tcW w:w="12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16,729</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123,048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106,575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revenue increased $16.5 million, or 15.5%, for the three months ended June 30, 2021 compared to the same period in 2020. Our revenue for the three months ended June 30, 2021 includes revenue of $8.9 million provided by our acquisition of Hubs. By reportable segment, revenue in the United States increased $8.5 million, or 9.8%, for the three months ended June 30, 2021 compared to the same period in 2020. Revenue in Europe increased $7.9 million, or 47.4%, and revenue in Japan increased 0.9%, in each case for the three months ended June 30, 2021 compared to the same period in 2020. Excluding Hubs, revenue in the United States increased $3.9 million, or 4.5%, and revenue in Europe increased $3.6 million, or 21.6%, in each case for the three months ended June 30, 2021 compared to the same period in 2020. International revenue was positively impacted by $1.9 million during the three months ended June 30, 2021 compared to the same period in 2020 as a result of foreign currency movements, primarily the strengthening of the British Pound and Euro relative to the United States Dollar.</w:t>
      </w:r>
    </w:p>
    <w:p>
      <w:pPr>
        <w:spacing w:after="0" w:line="17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the three months ended June 30, 2021, we served 23,253 unique product developers and engineers, an increase of 36.5% over the same period in 2020. The increase in unique product developers served was primarily driven by our acquisition of Hubs. Excluding the impact of Hubs, unique product developers served increased 14.3% during the three months ended June 30, 2021 when compared to the same period in 2020.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At this time, it is difficult to predict the future given the current economic uncertainty and evolving market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three months ended June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58,168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57,894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41,592</w:t>
            </w:r>
          </w:p>
        </w:tc>
        <w:tc>
          <w:tcPr>
            <w:tcW w:w="12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28,760</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44.6</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18,170</w:t>
            </w:r>
          </w:p>
        </w:tc>
        <w:tc>
          <w:tcPr>
            <w:tcW w:w="1240" w:type="dxa"/>
            <w:vAlign w:val="bottom"/>
            <w:gridSpan w:val="3"/>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14,236</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27.6</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2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r>
      <w:tr>
        <w:trPr>
          <w:trHeight w:val="250"/>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123,048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106,575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196"/>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r>
    </w:tbl>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By product line, our revenue increase was driven by a 44.6% increase in CNC Machining revenue, a 27.6% increase in 3D Printing revenue, a 0.5% increase in Injection Molding revenue and a 1.0% increase in Sheet Metal revenue, which was partially offset by a 60.5% decrease in Other Revenue, in each case for the three months ended June 30, 2021 compared to the same period in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$12.3 million, or 22.7%, for the three months ended June 30, 2021 compared to the same period in 2020,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greater than the rate of revenue increase of 15.5% for the three months ended June 30, 2021 compared to the same period in 2020. The increase in cost of revenue was driven by a $7.8 million increase resulting from our acquisition of Hubs. The $4.5 million increase in cost of revenue in our legacy business was driven by an increase in headcount resulting in personnel and related cost increases of $2.6 million, an increase in raw material and product costs of $1.5 million, and an increase in equipment and facility related costs of $0.4 million.</w:t>
      </w:r>
    </w:p>
    <w:p>
      <w:pPr>
        <w:spacing w:after="0" w:line="17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from $52.5 million in the three months ended June 30, 2020 to $56.6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Gross margin decreased from 49.2% in the three months ended June 30, 2020 to 46.0% in the three months ended June 30, 2021, primarily due to the mix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net and Provision for Income Taxes</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increased $4.1 million, or 24.3%, during the three months ended June 30, 2021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2020. The increase is primarily driven by personnel and related cost increases in our legacy business of $1.2 million, information technology allocation cost increases, including amortization of Protolabs 2.0 software assets, of $1.2 million and marketing program cost increases of $0.4 million. In addition, our acquisition of Hubs provided $1.3 million in marketing and sales expenses during the three months ended June 30, 2021.</w:t>
      </w:r>
    </w:p>
    <w:p>
      <w:pPr>
        <w:spacing w:after="0" w:line="157"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increased $2.4 million, or 27.9%, during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2020 primarily due to personnel and related cost increases of $1.6 million driven by personnel and contractor resources dedicated to the launch of our Protolabs 2.0 system. During the development of Protolabs 2.0, certain research and development personnel costs were capitalizable as a software development asset. Since the system was placed in service in November 2020, the personnel costs have been expensed as incurred. In addition, increases of $0.8 million resulted from our acquisition of Hubs.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$3.7 million, or 29.2%, during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2020 primarily due to an increase of $0.6 million in professional service costs, an increase of $0.2 million of personnel and related costs and an increase of $0.2 million in administrative costs. In addition, our acquisition of Hubs provided $2.7 million in general and administrative expense during the three months ended June 30, 2021.</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Changes in fair value of contingent consideration. </w:t>
      </w:r>
      <w:r>
        <w:rPr>
          <w:rFonts w:ascii="Arial" w:cs="Arial" w:eastAsia="Arial" w:hAnsi="Arial"/>
          <w:sz w:val="18"/>
          <w:szCs w:val="18"/>
          <w:color w:val="auto"/>
        </w:rPr>
        <w:t>The fair value of contingent consideration associated with the acquisition of Hubs decreased $7.8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three months ended June 30, 2021 compared to the same period in 2020. We had no contingent consideration liabilities recorded during the three months ended June 30, 2020.</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recognized other income, net of $0.1 million for the three months ended June 30, 2021, a decrease of $0.7 million compared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net of $0.8 million for the three months ended June 30, 2020. Other income, net for the three months ended June 30, 2021 primarily consisted of a gain on foreign currency and interest income on investments. Other income, net for the three months ended June 30, 2020 primarily consisted of $0.4 million in interest income on investments and a $0.3 million gain on foreign currency.</w:t>
      </w:r>
    </w:p>
    <w:p>
      <w:pPr>
        <w:spacing w:after="0" w:line="18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of 20.5% for the three months ended June 30, 2021 increased 3.9% compared to 16.6%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2020. The increase in the effective tax rate is primarily due to a decrease in tax benefits from the vesting of restricted stock and the exercise of stock options. Our income tax provision of $3.3 million for the three months ended June 30, 2021 increased $0.8 million compared to our income tax provision of $2.5 million for the three months ended June 30, 2020, due to a combination of higher pre-tax income and a higher effective tax rate.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six months ended June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w w:val="94"/>
              </w:rPr>
              <w:t>Six Months Ended 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176,899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320"/>
              <w:spacing w:after="0"/>
              <w:rPr>
                <w:sz w:val="20"/>
                <w:szCs w:val="20"/>
                <w:color w:val="auto"/>
              </w:rPr>
            </w:pPr>
            <w:r>
              <w:rPr>
                <w:rFonts w:ascii="Arial" w:cs="Arial" w:eastAsia="Arial" w:hAnsi="Arial"/>
                <w:sz w:val="18"/>
                <w:szCs w:val="18"/>
                <w:color w:val="auto"/>
              </w:rPr>
              <w:t>Japan</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239,174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221,683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Borders>
              <w:top w:val="single" w:sz="8" w:color="CCEEFF"/>
              <w:bottom w:val="single" w:sz="8" w:color="auto"/>
            </w:tcBorders>
          </w:tcPr>
          <w:p>
            <w:pPr>
              <w:spacing w:after="0"/>
              <w:rPr>
                <w:sz w:val="17"/>
                <w:szCs w:val="17"/>
                <w:color w:val="auto"/>
              </w:rPr>
            </w:pPr>
          </w:p>
        </w:tc>
        <w:tc>
          <w:tcPr>
            <w:tcW w:w="44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revenue increased $17.5 million, or 7.9%, for the six months ended June 30, 2021 compared to the same period in 2020. Our revenue for the six months ended June 30, 2021 includes revenue of $14.7 million provided by our acquisition of Hubs. By reportable segment, revenue in the United States increased $9.5 million, or 5.4%, for the six months ended June 30, 2021 compared to the same period in 2020. Revenue in Europe increased $8.6 million, or 22.9% and revenue in Japan decreased $0.6 million, or 8.2%, in each case for the six months ended June 30, 2021 compared to the same period in 2020. Excluding Hubs, revenue in the United States increased $1.7 million, or 1.0%, and revenue in Europe increased $1.7 million, or 4.4%, in each case for the six months ended June 30, 2021 compared to the same period in 2020. International revenue was positively impacted by $3.5 million during the six months ended June 30, 2021 compared to the same period in 2020 as a result of foreign currency movements, primarily the strengthening of the British Pound and Euro relative to the United States Dollar.</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six months ended June 30, 2021, we served 37,501 unique product developers and engineers, an increase of 26.3% over the same period in 2020. The increase in unique product developers served was primarily driven by our acquisition of Hubs. Excluding the impact of Hubs, unique product developers served increased 7.1% during the six months ended June 30, 2021 when compared to the same period in 2020.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At this time, it is difficult to predict the future given the current economic uncertainty and evolving market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six months ended June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w w:val="94"/>
              </w:rPr>
              <w:t>Six Months Ended 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114,527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112,670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35,405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30,184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239,174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221,683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Borders>
              <w:top w:val="single" w:sz="8" w:color="CCEEFF"/>
              <w:bottom w:val="single" w:sz="8" w:color="auto"/>
            </w:tcBorders>
          </w:tcPr>
          <w:p>
            <w:pPr>
              <w:spacing w:after="0"/>
              <w:rPr>
                <w:sz w:val="17"/>
                <w:szCs w:val="17"/>
                <w:color w:val="auto"/>
              </w:rPr>
            </w:pPr>
          </w:p>
        </w:tc>
        <w:tc>
          <w:tcPr>
            <w:tcW w:w="44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By product line, our revenue increase was driven by a 17.5% increase in CNC Machining revenue, a 17.3% increase in 3D Printing revenue, and a 1.6% increase in Injection Molding revenue, which was partially offset by a 3.7% decrease in Sheet Metal revenue, and a 45.8% decrease in Other Revenue, in each case for the six months ended June 30, 2021 compared to the same period in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increased $16.1 million, or 14.5%, for the six months ended June 30, 2021 compared to the same period in 2020,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greater than the rate of revenue increase of 7.9% for the six months ended June 30, 2021 compared to the same period in 2020. The increase in cost of revenue was driven by a $12.9 million increase resulting from our acquisition of Hubs. In our legacy business, cost of revenue increased $3.2 million due to an increase in headcount resulting in personnel and related cost increases of $1.7 million, an increase in raw material and product costs of $1.0 million, and an increase in equipment and facility related costs of $0.5 million.</w:t>
      </w:r>
    </w:p>
    <w:p>
      <w:pPr>
        <w:spacing w:after="0" w:line="18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from $110.6 million in the six months ended June 30, 2020 to $112.0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Gross margin decreased from 49.9% in the six months ended June 30, 2020 to 46.8% in the six months ended June 30, 2021, primarily due to the mix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(Loss) Income, net and Provision for Income Taxes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Marketing and Sales. </w:t>
      </w:r>
      <w:r>
        <w:rPr>
          <w:rFonts w:ascii="Arial" w:cs="Arial" w:eastAsia="Arial" w:hAnsi="Arial"/>
          <w:sz w:val="17"/>
          <w:szCs w:val="17"/>
          <w:color w:val="auto"/>
        </w:rPr>
        <w:t>Marketing and sales expenses increased $5.4 million, or 15.4%, during the six months ended June 30, 2021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2020. In our legacy business, personnel and related cost increases of $1.2 million and information technology allocation cost increases, including amortization of Protolabs 2.0 software assets, of $2.2 million were partially offset by marketing program cost decreases of $0.3 million. In addition, our acquisition of Hubs provided $2.3 million in marketing and sales expense during the six months ended June 30, 2021.</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$5.6 million, or 31.8%,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personnel and related cost increases of $4.4 million driven by personnel and contractor resources dedicated to the launch of our Protolabs 2.0 system. During the development of Protolabs 2.0, certain research and development personnel costs were capitalizable as a software development asset. Since the system was placed in service in November 2020, the personnel costs have been expensed as incurred. In addition, increases of $1.3 million resulted from our acquisition of Hubs, which were partially offset by decreases of $0.1 in professional service costs.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$9.0 million, or 33.6%, during the six months ended June 30,</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2021 compared to the same period in 2020 primarily due to an increase of $4.8 million resulting from our acquisition of Hubs, other professional service cost increases of $3.4 million and stock-based compensation cost increases of $1.7 million, which were partially offset by administrative cost decreases of $0.7 million and personnel and related cost decreases of $0.2 million.</w:t>
      </w:r>
    </w:p>
    <w:p>
      <w:pPr>
        <w:spacing w:after="0" w:line="19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 xml:space="preserve">Changes in fair value of contingent consideration. </w:t>
      </w:r>
      <w:r>
        <w:rPr>
          <w:rFonts w:ascii="Arial" w:cs="Arial" w:eastAsia="Arial" w:hAnsi="Arial"/>
          <w:sz w:val="16"/>
          <w:szCs w:val="16"/>
          <w:color w:val="auto"/>
        </w:rPr>
        <w:t>The fair value of contingent consideration associated with the acquisition of Hubs decreased $7.8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six months ended June 30, 2021. We had no contingent consideration liabilities recorded during the six months ended June 30, 2020.</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Other (Loss) Income, net. </w:t>
      </w:r>
      <w:r>
        <w:rPr>
          <w:rFonts w:ascii="Arial" w:cs="Arial" w:eastAsia="Arial" w:hAnsi="Arial"/>
          <w:sz w:val="18"/>
          <w:szCs w:val="18"/>
          <w:color w:val="auto"/>
        </w:rPr>
        <w:t>We recognized other loss, net of $0.2 million for the six months ended June 30, 2021, a decrease of $2.0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income, net of $1.8 million for the six months ended June 30, 2020. Other loss, net for the six months ended June 30, 2021 primarily consisted of a $0.5 million loss on foreign currency, which was partially offset by $0.2 million in interest income on investments and $0.1 million in other income. Other income, net for the six months ended June 30, 2020 primarily consisted of $0.9 million in interest income on investments and a $0.9 million gain on foreign currency.</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of 17.6% for the six months ended June 30, 2021 decreased 1.8% compared to 19.4%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2020. The decrease in the effective tax rate is primarily due to an increase in tax benefits from the vesting of restricted stock and the exercise of stock options. Our income tax provision of $3.6 million for the six months ended June 30, 2021 decreased $2.8 million compared to our income tax provision of $6.4 million for the six months ended June 30, 2020, due to a combination of lower pre-tax income and the lower effective tax rate.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during the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53,417</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(65,292)</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w:t>
            </w: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49"/>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(27,222)</w:t>
            </w:r>
          </w:p>
        </w:tc>
      </w:tr>
      <w:tr>
        <w:trPr>
          <w:trHeight w:val="197"/>
        </w:trPr>
        <w:tc>
          <w:tcPr>
            <w:tcW w:w="20" w:type="dxa"/>
            <w:vAlign w:val="bottom"/>
          </w:tcPr>
          <w:p>
            <w:pPr>
              <w:spacing w:after="0"/>
              <w:rPr>
                <w:sz w:val="17"/>
                <w:szCs w:val="17"/>
                <w:color w:val="auto"/>
              </w:rPr>
            </w:pPr>
          </w:p>
        </w:tc>
        <w:tc>
          <w:tcPr>
            <w:tcW w:w="5520" w:type="dxa"/>
            <w:vAlign w:val="bottom"/>
            <w:tcBorders>
              <w:top w:val="single" w:sz="8" w:color="CCEEFF"/>
              <w:bottom w:val="single" w:sz="8" w:color="auto"/>
            </w:tcBorders>
          </w:tcPr>
          <w:p>
            <w:pPr>
              <w:spacing w:after="0"/>
              <w:rPr>
                <w:sz w:val="17"/>
                <w:szCs w:val="17"/>
                <w:color w:val="auto"/>
              </w:rPr>
            </w:pPr>
          </w:p>
        </w:tc>
        <w:tc>
          <w:tcPr>
            <w:tcW w:w="166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Historically, we have primarily financed our operations and capital expenditures through cash flow from operations. We had cash and cash equivalents of $41.9 million as of June 30, 2021, a decrease of $85.7 million from December 31, 2020. The decrease in our cash was primarily due to cash used in investing activity for our acquisition of Hubs of $127.4 million and purchases of property, equipment and other capital assets of $23.9 million, which were partially offset by net proceeds from investments in marketable securities of $46.2 million and cash generated through operations of $20.7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flows from operating activities were $20.7 million during the six months ended June 30, 2021 and primarily consisted of net income of $16.6 million, adjusted for certain non-cash items, including depreciation and amortization of $20.1 million and stock-based compensation expense of $10.6 million, which were partially offset by a decrease in the fair value of contingent consideration of $7.8 million and changes in operating assets and liabilities and other items totaling $18.8 million. Cash flows from operating activities were $53.4 million during the six months ended June 30, 2020 and primarily consisted of net income of $26.6 million, adjusted for certain non-cash items, including depreciation and amortization of $15.9 million, stock-based compensation expense of $6.7 million and deferred taxes of $5.7 million, which were partially offset by changes in operating assets and liabilities and other items totaling $1.5 million.</w:t>
      </w:r>
    </w:p>
    <w:p>
      <w:pPr>
        <w:spacing w:after="0" w:line="195"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Cash flows from operating activities decreased $32.7 million during the six months ended June 30, 2021 compared to the same period in 2020, primarily due to decreases in net income of $10.0 million, decreases in accounts receivable of $19.0 million driven by timing of cash receipts, a decrease in the fair value of contingent consideration of $7.8 million, and decreases in deferred taxes of $5.2 million, which were partially offset by increases in depreciation and amortization of $4.3 million, increases in stock-based compensation of $3.9 million and increases of $1.1 million in other items.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was $105.1 million during the six months ended June 30, 2021, consisting of $127.4 million in cash used for acquisitions, net of cash acquired and $23.9 million for the purchases of property, equipment and other capital assets, which were partially offset by $46.2 million for net proceeds from investments in marketable securities.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used in investing activities was $65.3 million during the six months ended June 30, 2020, consisting of $29.0 million in net investments in marketable securities, $33.3 million for the purchases of property, equipment and other capital assets and $3.0 million for purchases of other assets and investments.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Cash used in financing activities was $1.9 million during the six months ended June 30, 2021, consisting of $4.2 million in purchases of shares withheld for tax obligations associated with equity transactions, $1.2 million in repurchases of common stock and $0.3 million for repayments of finance lease obligations, which were partially offset by $3.8 million in proceeds from the exercise of stock options.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Cash used in financing activities was $15.2 million during the six months ended June 30, 2020, consisting of $14.7 million in repurchases of common stock and $3.4 million in purchases of shares withheld for tax obligations associated with equity transactions, which were partially offset by $2.9 million in proceeds from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on recent accounting pronouncements, see Note 2 to the Consolidated Financial Statements appearing in Part I, Item 1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$0.1 million and foreign currency losses of $0.5 million during the three and six months ended June 30, 2021, respectively. We recognized foreign currency gains of $0.3 million and $0.9 million during the three and six months ended June 30, 2020, respectively. The changes in foreign exchange rates had a positive impact on consolidated revenue of $1.9 million for the three months ended June 30, 2021 and $3.5 million for the six months ended June 30, 2021 as compared to the same periods in 2020.</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quarter of 2021, the Company completed the implementation of Protolabs 2.0, an internal business systems project impacting both external customer-facing and internal back-end systems. Emphasis has been on the maintenance of effective internal controls throughout development and deployment of all phases. The Company evaluated and concluded the implementation of Protolabs 2.0 has not materially affected the Company's internal control over financial reporting. Based on this evaluation, 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Management has excluded certain elements of Hubs from its assessment of internal control over financial reporting as of June 30, 2021. Subsequent to the acquisition, Hubs maintained its revenue and payroll systems and processing through June 30, 2021. Those elements of the acquired business’s internal control over financial reporting that were not fully integrated into the Company’s existing internal control over financial reporting during 2021 have been excluded from management’s assessment of the effectiveness of internal control over financial reporting. Hubs is a wholly-owned subsidiary of the Company; its combined total assets, excluding goodwill, and total revenues excluded from our assessment represent approximately 4% and 6%, respectively, of the related consolidated financial statements amounts as of the six months ended June 30, 2021.</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 I, Item 1A. “Risk Factors” in our Annual Report on Form 10-K for the year ended December 31, 2020 includes a discussion of our risk factors. There have been no material changes from the risk factors described 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9, 2017, we announced that our board of directors had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This authorization increases the stock repurchase program to $100 million. The timing and amount of any share repurchases will be determined by our management based on market conditions and other factors.</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three months ended June 30, 2021, we repurchased 14,000 shares of our common stock at a total purchase price of $1.2 million under this program. Common stock repurchase activity through June 30, 2021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18"/>
                <w:szCs w:val="18"/>
                <w:color w:val="auto"/>
              </w:rPr>
            </w:pP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Paid</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 Plans</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18"/>
                <w:szCs w:val="18"/>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per</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or Programs (in</w:t>
            </w:r>
          </w:p>
        </w:tc>
      </w:tr>
      <w:tr>
        <w:trPr>
          <w:trHeight w:val="234"/>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40" w:type="dxa"/>
            <w:vAlign w:val="bottom"/>
          </w:tcPr>
          <w:p>
            <w:pPr>
              <w:spacing w:after="0"/>
              <w:rPr>
                <w:sz w:val="20"/>
                <w:szCs w:val="20"/>
                <w:color w:val="auto"/>
              </w:rPr>
            </w:pPr>
          </w:p>
        </w:tc>
        <w:tc>
          <w:tcPr>
            <w:tcW w:w="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60" w:type="dxa"/>
            <w:vAlign w:val="bottom"/>
          </w:tcPr>
          <w:p>
            <w:pPr>
              <w:spacing w:after="0"/>
              <w:rPr>
                <w:sz w:val="20"/>
                <w:szCs w:val="20"/>
                <w:color w:val="auto"/>
              </w:rPr>
            </w:pPr>
          </w:p>
        </w:tc>
        <w:tc>
          <w:tcPr>
            <w:tcW w:w="14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thousands) (1)</w:t>
            </w:r>
          </w:p>
        </w:tc>
        <w:tc>
          <w:tcPr>
            <w:tcW w:w="60" w:type="dxa"/>
            <w:vAlign w:val="bottom"/>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April 1, 2021 through April 30, 2021</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2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$35,175</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May 1, 2021 through May 31, 2021</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21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$35,175</w:t>
            </w:r>
          </w:p>
        </w:tc>
        <w:tc>
          <w:tcPr>
            <w:tcW w:w="60" w:type="dxa"/>
            <w:vAlign w:val="bottom"/>
          </w:tcPr>
          <w:p>
            <w:pPr>
              <w:spacing w:after="0"/>
              <w:rPr>
                <w:sz w:val="18"/>
                <w:szCs w:val="18"/>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2021 through June 30, 2021</w:t>
            </w:r>
          </w:p>
        </w:tc>
        <w:tc>
          <w:tcPr>
            <w:tcW w:w="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800" w:type="dxa"/>
            <w:vAlign w:val="bottom"/>
            <w:tcBorders>
              <w:bottom w:val="single" w:sz="8" w:color="auto"/>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$86.53</w:t>
            </w:r>
          </w:p>
        </w:tc>
        <w:tc>
          <w:tcPr>
            <w:tcW w:w="1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$33,964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24"/>
        </w:trPr>
        <w:tc>
          <w:tcPr>
            <w:tcW w:w="584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14,000</w:t>
            </w:r>
          </w:p>
        </w:tc>
        <w:tc>
          <w:tcPr>
            <w:tcW w:w="8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$86.53</w:t>
            </w:r>
          </w:p>
        </w:tc>
        <w:tc>
          <w:tcPr>
            <w:tcW w:w="21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14,000</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$33,964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-8255</wp:posOffset>
            </wp:positionV>
            <wp:extent cx="33604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right="20" w:firstLine="8"/>
        <w:spacing w:after="0" w:line="216" w:lineRule="auto"/>
        <w:tabs>
          <w:tab w:leader="none" w:pos="112"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Effective May 15, 2019 the Board of Directors authorized the repurchase of shares of the Company’s common stock from time to time on the open market or in privately negotiated purchases, at an aggregate purchase price of up to $100 million. The term of the program runs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-281305</wp:posOffset>
            </wp:positionV>
            <wp:extent cx="33604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10420" w:type="dxa"/>
            <w:vAlign w:val="bottom"/>
            <w:gridSpan w:val="7"/>
          </w:tcPr>
          <w:p>
            <w:pPr>
              <w:ind w:left="436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9"/>
                <w:szCs w:val="19"/>
                <w:color w:val="auto"/>
                <w:vertAlign w:val="subscript"/>
              </w:rPr>
              <w:t>3.1</w:t>
            </w:r>
            <w:r>
              <w:rPr>
                <w:rFonts w:ascii="Arial" w:cs="Arial" w:eastAsia="Arial" w:hAnsi="Arial"/>
                <w:sz w:val="9"/>
                <w:szCs w:val="9"/>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tcBorders>
              <w:top w:val="single" w:sz="8" w:color="auto"/>
            </w:tcBorders>
            <w:gridSpan w:val="7"/>
          </w:tcPr>
          <w:p>
            <w:pPr>
              <w:spacing w:after="0" w:line="169" w:lineRule="exact"/>
              <w:rPr>
                <w:rFonts w:ascii="Arial" w:cs="Arial" w:eastAsia="Arial" w:hAnsi="Arial"/>
                <w:sz w:val="18"/>
                <w:szCs w:val="18"/>
                <w:color w:val="0000EE"/>
              </w:rPr>
            </w:pPr>
            <w:hyperlink r:id="rId75">
              <w:r>
                <w:rPr>
                  <w:rFonts w:ascii="Arial" w:cs="Arial" w:eastAsia="Arial" w:hAnsi="Arial"/>
                  <w:sz w:val="18"/>
                  <w:szCs w:val="18"/>
                  <w:color w:val="0000EE"/>
                </w:rPr>
                <w:t>Third Amended and Restated Articles of Incorporation of Proto Labs, Inc.</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17"/>
                <w:szCs w:val="17"/>
                <w:color w:val="auto"/>
                <w:w w:val="86"/>
              </w:rPr>
              <w:t>3.2</w:t>
            </w:r>
            <w:r>
              <w:rPr>
                <w:rFonts w:ascii="Arial" w:cs="Arial" w:eastAsia="Arial" w:hAnsi="Arial"/>
                <w:sz w:val="22"/>
                <w:szCs w:val="22"/>
                <w:color w:val="auto"/>
                <w:w w:val="86"/>
                <w:vertAlign w:val="superscript"/>
              </w:rPr>
              <w:t>(2)</w:t>
            </w:r>
          </w:p>
        </w:tc>
        <w:tc>
          <w:tcPr>
            <w:tcW w:w="120" w:type="dxa"/>
            <w:vAlign w:val="bottom"/>
          </w:tcPr>
          <w:p>
            <w:pPr>
              <w:spacing w:after="0"/>
              <w:rPr>
                <w:sz w:val="17"/>
                <w:szCs w:val="17"/>
                <w:color w:val="auto"/>
              </w:rPr>
            </w:pPr>
          </w:p>
        </w:tc>
        <w:tc>
          <w:tcPr>
            <w:tcW w:w="87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Articles of Amendment to Third Amended and Restated Articles of Incorporation of Proto Labs, Inc. dated May 20, 2015</w:t>
              </w:r>
            </w:hyperlink>
          </w:p>
        </w:tc>
        <w:tc>
          <w:tcPr>
            <w:tcW w:w="1680" w:type="dxa"/>
            <w:vAlign w:val="bottom"/>
            <w:gridSpan w:val="2"/>
          </w:tcPr>
          <w:p>
            <w:pPr>
              <w:spacing w:after="0"/>
              <w:rPr>
                <w:sz w:val="17"/>
                <w:szCs w:val="17"/>
                <w:color w:val="auto"/>
              </w:rPr>
            </w:pPr>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17"/>
                <w:szCs w:val="17"/>
                <w:color w:val="auto"/>
                <w:w w:val="86"/>
              </w:rPr>
              <w:t>3.3</w:t>
            </w:r>
            <w:r>
              <w:rPr>
                <w:rFonts w:ascii="Arial" w:cs="Arial" w:eastAsia="Arial" w:hAnsi="Arial"/>
                <w:sz w:val="22"/>
                <w:szCs w:val="22"/>
                <w:color w:val="auto"/>
                <w:w w:val="86"/>
                <w:vertAlign w:val="superscript"/>
              </w:rPr>
              <w:t>(3)</w:t>
            </w:r>
          </w:p>
        </w:tc>
        <w:tc>
          <w:tcPr>
            <w:tcW w:w="120" w:type="dxa"/>
            <w:vAlign w:val="bottom"/>
          </w:tcPr>
          <w:p>
            <w:pPr>
              <w:spacing w:after="0"/>
              <w:rPr>
                <w:sz w:val="17"/>
                <w:szCs w:val="17"/>
                <w:color w:val="auto"/>
              </w:rPr>
            </w:pPr>
          </w:p>
        </w:tc>
        <w:tc>
          <w:tcPr>
            <w:tcW w:w="10440" w:type="dxa"/>
            <w:vAlign w:val="bottom"/>
            <w:gridSpan w:val="8"/>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Second Amended and Restated By-Laws of Proto Labs, Inc., as amended through November 8, 2016</w:t>
              </w:r>
            </w:hyperlink>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the Chief Executive Officer pursuant to Section 302 of the Sarbanes-Oxley Act</w:t>
              </w:r>
            </w:hyperlink>
          </w:p>
        </w:tc>
        <w:tc>
          <w:tcPr>
            <w:tcW w:w="400" w:type="dxa"/>
            <w:vAlign w:val="bottom"/>
            <w:tcBorders>
              <w:top w:val="single" w:sz="8" w:color="0000EE"/>
            </w:tcBorders>
          </w:tcPr>
          <w:p>
            <w:pPr>
              <w:spacing w:after="0"/>
              <w:rPr>
                <w:sz w:val="17"/>
                <w:szCs w:val="17"/>
                <w:color w:val="auto"/>
              </w:rPr>
            </w:pPr>
          </w:p>
        </w:tc>
        <w:tc>
          <w:tcPr>
            <w:tcW w:w="3180" w:type="dxa"/>
            <w:vAlign w:val="bottom"/>
            <w:gridSpan w:val="3"/>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7"/>
                <w:szCs w:val="17"/>
                <w:color w:val="auto"/>
              </w:rPr>
            </w:pPr>
          </w:p>
        </w:tc>
        <w:tc>
          <w:tcPr>
            <w:tcW w:w="10440" w:type="dxa"/>
            <w:vAlign w:val="bottom"/>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of the Chief Financial Officer pursuant to Section 302 of the Sarbanes-Oxley Act</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0" w:type="dxa"/>
            <w:vAlign w:val="bottom"/>
            <w:gridSpan w:val="3"/>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7"/>
                <w:szCs w:val="17"/>
                <w:color w:val="auto"/>
              </w:rPr>
            </w:pPr>
          </w:p>
        </w:tc>
        <w:tc>
          <w:tcPr>
            <w:tcW w:w="10440" w:type="dxa"/>
            <w:vAlign w:val="bottom"/>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the Chief Executive Officer and the Chief Financial Officer pursuant to Section 906 of the Sarbanes-Oxley Act</w:t>
              </w:r>
            </w:hyperlink>
          </w:p>
        </w:tc>
      </w:tr>
      <w:tr>
        <w:trPr>
          <w:trHeight w:val="20"/>
        </w:trPr>
        <w:tc>
          <w:tcPr>
            <w:tcW w:w="800" w:type="dxa"/>
            <w:vAlign w:val="bottom"/>
            <w:gridSpan w:val="2"/>
          </w:tcPr>
          <w:p>
            <w:pPr>
              <w:spacing w:after="0" w:line="20" w:lineRule="exact"/>
              <w:rPr>
                <w:sz w:val="1"/>
                <w:szCs w:val="1"/>
                <w:color w:val="auto"/>
              </w:rPr>
            </w:pPr>
          </w:p>
        </w:tc>
        <w:tc>
          <w:tcPr>
            <w:tcW w:w="9140" w:type="dxa"/>
            <w:vAlign w:val="bottom"/>
            <w:gridSpan w:val="7"/>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044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 embedded</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4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800" w:hanging="590"/>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380" w:right="640" w:hanging="372"/>
        <w:spacing w:after="0" w:line="221"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3.2 to the Company’s Registration Statement on Form S-1/A (File No. 333-175745), filed with the Commission on February 13, 2012, and incorporated by reference herein.</w:t>
      </w:r>
    </w:p>
    <w:p>
      <w:pPr>
        <w:spacing w:after="0" w:line="1" w:lineRule="exact"/>
        <w:rPr>
          <w:rFonts w:ascii="Arial" w:cs="Arial" w:eastAsia="Arial" w:hAnsi="Arial"/>
          <w:sz w:val="24"/>
          <w:szCs w:val="24"/>
          <w:color w:val="auto"/>
          <w:vertAlign w:val="superscript"/>
        </w:rPr>
      </w:pPr>
    </w:p>
    <w:p>
      <w:pPr>
        <w:ind w:left="380" w:right="280" w:hanging="372"/>
        <w:spacing w:after="0" w:line="214"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May 21, 2015 and incorporated by reference herein.</w:t>
      </w:r>
    </w:p>
    <w:p>
      <w:pPr>
        <w:spacing w:after="0" w:line="1" w:lineRule="exact"/>
        <w:rPr>
          <w:rFonts w:ascii="Arial" w:cs="Arial" w:eastAsia="Arial" w:hAnsi="Arial"/>
          <w:sz w:val="24"/>
          <w:szCs w:val="24"/>
          <w:color w:val="auto"/>
          <w:vertAlign w:val="superscript"/>
        </w:rPr>
      </w:pPr>
    </w:p>
    <w:p>
      <w:pPr>
        <w:ind w:left="380" w:right="180" w:hanging="372"/>
        <w:spacing w:after="0" w:line="214"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November 8, 2016 and incorporated by reference herein.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Proto Labs,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3, 2021</w:t>
            </w:r>
          </w:p>
        </w:tc>
        <w:tc>
          <w:tcPr>
            <w:tcW w:w="21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Bodor</w:t>
            </w:r>
          </w:p>
        </w:tc>
      </w:tr>
      <w:tr>
        <w:trPr>
          <w:trHeight w:val="195"/>
        </w:trPr>
        <w:tc>
          <w:tcPr>
            <w:tcW w:w="3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3, 2021</w:t>
            </w:r>
          </w:p>
        </w:tc>
        <w:tc>
          <w:tcPr>
            <w:tcW w:w="21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Way</w:t>
            </w:r>
          </w:p>
        </w:tc>
      </w:tr>
      <w:tr>
        <w:trPr>
          <w:trHeight w:val="195"/>
        </w:trPr>
        <w:tc>
          <w:tcPr>
            <w:tcW w:w="3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3540" w:type="dxa"/>
            <w:vAlign w:val="bottom"/>
          </w:tcPr>
          <w:p>
            <w:pPr>
              <w:spacing w:after="0"/>
              <w:rPr>
                <w:sz w:val="24"/>
                <w:szCs w:val="24"/>
                <w:color w:val="auto"/>
              </w:rPr>
            </w:pPr>
          </w:p>
        </w:tc>
        <w:tc>
          <w:tcPr>
            <w:tcW w:w="6580" w:type="dxa"/>
            <w:vAlign w:val="bottom"/>
            <w:gridSpan w:val="2"/>
          </w:tcPr>
          <w:p>
            <w:pPr>
              <w:jc w:val="right"/>
              <w:ind w:right="431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00"/>
          </w:cols>
          <w:pgMar w:left="320" w:top="125" w:right="379" w:bottom="1440" w:gutter="0" w:footer="0" w:header="0"/>
        </w:sectPr>
      </w:pPr>
    </w:p>
    <w:bookmarkStart w:id="31" w:name="page32"/>
    <w:bookmarkEnd w:id="31"/>
    <w:p>
      <w:pPr>
        <w:ind w:left="101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Bodor,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August 3, 2021</w:t>
            </w:r>
          </w:p>
        </w:tc>
        <w:tc>
          <w:tcPr>
            <w:tcW w:w="7500" w:type="dxa"/>
            <w:vAlign w:val="bottom"/>
            <w:gridSpan w:val="2"/>
          </w:tcPr>
          <w:p>
            <w:pPr>
              <w:ind w:left="2200"/>
              <w:spacing w:after="0"/>
              <w:rPr>
                <w:sz w:val="20"/>
                <w:szCs w:val="20"/>
                <w:color w:val="auto"/>
              </w:rPr>
            </w:pPr>
            <w:r>
              <w:rPr>
                <w:rFonts w:ascii="Arial" w:cs="Arial" w:eastAsia="Arial" w:hAnsi="Arial"/>
                <w:sz w:val="18"/>
                <w:szCs w:val="18"/>
                <w:color w:val="auto"/>
              </w:rPr>
              <w:t>By: /s/ Robert Bodor</w:t>
            </w:r>
          </w:p>
        </w:tc>
      </w:tr>
      <w:tr>
        <w:trPr>
          <w:trHeight w:val="195"/>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90"/>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Way,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August 3, 2021</w:t>
            </w:r>
          </w:p>
        </w:tc>
        <w:tc>
          <w:tcPr>
            <w:tcW w:w="7500" w:type="dxa"/>
            <w:vAlign w:val="bottom"/>
            <w:gridSpan w:val="2"/>
          </w:tcPr>
          <w:p>
            <w:pPr>
              <w:ind w:left="2200"/>
              <w:spacing w:after="0"/>
              <w:rPr>
                <w:sz w:val="20"/>
                <w:szCs w:val="20"/>
                <w:color w:val="auto"/>
              </w:rPr>
            </w:pPr>
            <w:r>
              <w:rPr>
                <w:rFonts w:ascii="Arial" w:cs="Arial" w:eastAsia="Arial" w:hAnsi="Arial"/>
                <w:sz w:val="18"/>
                <w:szCs w:val="18"/>
                <w:color w:val="auto"/>
              </w:rPr>
              <w:t>By: /s/ John A. Way</w:t>
            </w:r>
          </w:p>
        </w:tc>
      </w:tr>
      <w:tr>
        <w:trPr>
          <w:trHeight w:val="195"/>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74"/>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Robert Bodor, certify, pursuant to 18 U.S.C. Section 1350, as adopted pursuant to Section 906 of the Sarbanes-Oxley Act of 2002, that the Quarterly Report of Proto Labs, Inc. on Form 10-Q for the fiscal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Robert Bodor</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Robert Bodor</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John A. Way, certify, pursuant to 18 U.S.C. Section 1350, as adopted pursuant to Section 906 of the Sarbanes-Oxley Act of 2002, that the Quarterly Report of Proto Labs, Inc. on Form 10-Q for the fiscal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John A. Way</w:t>
            </w:r>
          </w:p>
        </w:tc>
      </w:tr>
      <w:tr>
        <w:trPr>
          <w:trHeight w:val="195"/>
        </w:trPr>
        <w:tc>
          <w:tcPr>
            <w:tcW w:w="6920" w:type="dxa"/>
            <w:vAlign w:val="bottom"/>
          </w:tcPr>
          <w:p>
            <w:pPr>
              <w:ind w:left="644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A. Way</w:t>
            </w:r>
          </w:p>
        </w:tc>
      </w:t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574"/>
        </w:trPr>
        <w:tc>
          <w:tcPr>
            <w:tcW w:w="6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1"/>
    </w:lvl>
    <w:lvl w:ilvl="1">
      <w:lvlJc w:val="left"/>
      <w:lvlText w:val="%2"/>
      <w:numFmt w:val="decimal"/>
      <w:start w:val="104"/>
    </w:lvl>
  </w:abstractNum>
  <w:abstractNum w:abstractNumId="5">
    <w:nsid w:val="41B71EFB"/>
    <w:multiLevelType w:val="hybridMultilevel"/>
    <w:lvl w:ilvl="0">
      <w:lvlJc w:val="left"/>
      <w:lvlText w:val="(%1)"/>
      <w:numFmt w:val="decimal"/>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5" Type="http://schemas.openxmlformats.org/officeDocument/2006/relationships/hyperlink" Target="http://www.sec.gov/Archives/edgar/data/1443669/000119312512054357/d199869dex32.htm" TargetMode="External"/><Relationship Id="rId76" Type="http://schemas.openxmlformats.org/officeDocument/2006/relationships/hyperlink" Target="http://www.sec.gov/Archives/edgar/data/1443669/000143774915010824/ex3-1.htm" TargetMode="External"/><Relationship Id="rId77" Type="http://schemas.openxmlformats.org/officeDocument/2006/relationships/hyperlink" Target="http://www.sec.gov/Archives/edgar/data/1443669/000143774916041414/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2021-08-03T16:48:23Z</dcterms:created>
  <dcterms:modified xsi:type="dcterms:W3CDTF">2021-08-03T16:48:23Z</dcterms:modified>
</cp:coreProperties>
</file>