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(Mark One)</w:t>
      </w:r>
    </w:p>
    <w:p>
      <w:pPr>
        <w:spacing w:after="0" w:line="201" w:lineRule="exact"/>
        <w:rPr>
          <w:sz w:val="24"/>
          <w:szCs w:val="24"/>
          <w:color w:val="auto"/>
        </w:rPr>
      </w:pPr>
    </w:p>
    <w:p>
      <w:pPr>
        <w:ind w:left="380" w:right="1700" w:hanging="372"/>
        <w:spacing w:after="0" w:line="286" w:lineRule="auto"/>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155"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tbl>
      <w:tblPr>
        <w:tblLayout w:type="fixed"/>
        <w:tblInd w:w="380" w:type="dxa"/>
        <w:tblCellMar>
          <w:top w:w="0" w:type="dxa"/>
          <w:left w:w="0" w:type="dxa"/>
          <w:bottom w:w="0" w:type="dxa"/>
          <w:right w:w="0" w:type="dxa"/>
        </w:tblCellMar>
      </w:tblPr>
      <w:tr>
        <w:trPr>
          <w:trHeight w:val="207"/>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For the transition period from</w:t>
            </w:r>
          </w:p>
        </w:tc>
        <w:tc>
          <w:tcPr>
            <w:tcW w:w="94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940" w:type="dxa"/>
            <w:vAlign w:val="bottom"/>
            <w:tcBorders>
              <w:bottom w:val="single" w:sz="8" w:color="auto"/>
            </w:tcBorders>
          </w:tcPr>
          <w:p>
            <w:pPr>
              <w:spacing w:after="0"/>
              <w:rPr>
                <w:sz w:val="17"/>
                <w:szCs w:val="17"/>
                <w:color w:val="auto"/>
              </w:rPr>
            </w:pPr>
          </w:p>
        </w:tc>
        <w:tc>
          <w:tcPr>
            <w:tcW w:w="2260" w:type="dxa"/>
            <w:vAlign w:val="bottom"/>
          </w:tcPr>
          <w:p>
            <w:pPr>
              <w:spacing w:after="0"/>
              <w:rPr>
                <w:sz w:val="17"/>
                <w:szCs w:val="17"/>
                <w:color w:val="auto"/>
              </w:rPr>
            </w:pPr>
          </w:p>
        </w:tc>
      </w:tr>
      <w:tr>
        <w:trPr>
          <w:trHeight w:val="237"/>
        </w:trPr>
        <w:tc>
          <w:tcPr>
            <w:tcW w:w="2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001-35435</w:t>
            </w:r>
          </w:p>
        </w:tc>
      </w:tr>
    </w:tbl>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Proto Labs,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47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41-1939628</w:t>
            </w:r>
          </w:p>
        </w:tc>
      </w:tr>
      <w:tr>
        <w:trPr>
          <w:trHeight w:val="234"/>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72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0"/>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5540 Pioneer Creek Drive</w:t>
            </w:r>
          </w:p>
        </w:tc>
        <w:tc>
          <w:tcPr>
            <w:tcW w:w="4720" w:type="dxa"/>
            <w:vAlign w:val="bottom"/>
          </w:tcPr>
          <w:p>
            <w:pPr>
              <w:spacing w:after="0"/>
              <w:rPr>
                <w:sz w:val="24"/>
                <w:szCs w:val="24"/>
                <w:color w:val="auto"/>
              </w:rPr>
            </w:pPr>
          </w:p>
        </w:tc>
      </w:tr>
      <w:tr>
        <w:trPr>
          <w:trHeight w:val="220"/>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Maple Plain, Minnesota</w:t>
            </w:r>
          </w:p>
        </w:tc>
        <w:tc>
          <w:tcPr>
            <w:tcW w:w="47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55359</w:t>
            </w:r>
          </w:p>
        </w:tc>
      </w:tr>
      <w:tr>
        <w:trPr>
          <w:trHeight w:val="234"/>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72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32"/>
        </w:trPr>
        <w:tc>
          <w:tcPr>
            <w:tcW w:w="4360" w:type="dxa"/>
            <w:vAlign w:val="bottom"/>
          </w:tcPr>
          <w:p>
            <w:pPr>
              <w:spacing w:after="0"/>
              <w:rPr>
                <w:sz w:val="24"/>
                <w:szCs w:val="24"/>
                <w:color w:val="auto"/>
              </w:rPr>
            </w:pPr>
          </w:p>
        </w:tc>
        <w:tc>
          <w:tcPr>
            <w:tcW w:w="4720" w:type="dxa"/>
            <w:vAlign w:val="bottom"/>
          </w:tcPr>
          <w:p>
            <w:pPr>
              <w:jc w:val="right"/>
              <w:ind w:right="3470"/>
              <w:spacing w:after="0"/>
              <w:rPr>
                <w:sz w:val="20"/>
                <w:szCs w:val="20"/>
                <w:color w:val="auto"/>
              </w:rPr>
            </w:pPr>
            <w:r>
              <w:rPr>
                <w:rFonts w:ascii="Times New Roman" w:cs="Times New Roman" w:eastAsia="Times New Roman" w:hAnsi="Times New Roman"/>
                <w:sz w:val="18"/>
                <w:szCs w:val="18"/>
                <w:b w:val="1"/>
                <w:bCs w:val="1"/>
                <w:color w:val="auto"/>
              </w:rPr>
              <w:t>(763) 479-3680</w:t>
            </w:r>
          </w:p>
        </w:tc>
      </w:tr>
    </w:tbl>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0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253"/>
        </w:trPr>
        <w:tc>
          <w:tcPr>
            <w:tcW w:w="39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tcPr>
          <w:p>
            <w:pPr>
              <w:spacing w:after="0"/>
              <w:rPr>
                <w:sz w:val="21"/>
                <w:szCs w:val="21"/>
                <w:color w:val="auto"/>
              </w:rPr>
            </w:pPr>
          </w:p>
        </w:tc>
      </w:tr>
      <w:tr>
        <w:trPr>
          <w:trHeight w:val="190"/>
        </w:trPr>
        <w:tc>
          <w:tcPr>
            <w:tcW w:w="3960" w:type="dxa"/>
            <w:vAlign w:val="bottom"/>
            <w:tcBorders>
              <w:left w:val="single" w:sz="8" w:color="auto"/>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Title of each class</w:t>
            </w:r>
          </w:p>
        </w:tc>
        <w:tc>
          <w:tcPr>
            <w:tcW w:w="660" w:type="dxa"/>
            <w:vAlign w:val="bottom"/>
            <w:tcBorders>
              <w:bottom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jc w:val="center"/>
              <w:ind w:right="590"/>
              <w:spacing w:after="0" w:line="170" w:lineRule="exact"/>
              <w:rPr>
                <w:sz w:val="20"/>
                <w:szCs w:val="20"/>
                <w:color w:val="auto"/>
              </w:rPr>
            </w:pPr>
            <w:r>
              <w:rPr>
                <w:rFonts w:ascii="Times New Roman" w:cs="Times New Roman" w:eastAsia="Times New Roman" w:hAnsi="Times New Roman"/>
                <w:sz w:val="18"/>
                <w:szCs w:val="18"/>
                <w:color w:val="auto"/>
                <w:w w:val="98"/>
              </w:rPr>
              <w:t>Trading Symbol(s)</w:t>
            </w:r>
          </w:p>
        </w:tc>
        <w:tc>
          <w:tcPr>
            <w:tcW w:w="392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9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660" w:type="dxa"/>
            <w:vAlign w:val="bottom"/>
            <w:tcBorders>
              <w:bottom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jc w:val="center"/>
              <w:ind w:right="590"/>
              <w:spacing w:after="0" w:line="193" w:lineRule="exact"/>
              <w:rPr>
                <w:sz w:val="20"/>
                <w:szCs w:val="20"/>
                <w:color w:val="auto"/>
              </w:rPr>
            </w:pPr>
            <w:r>
              <w:rPr>
                <w:rFonts w:ascii="Times New Roman" w:cs="Times New Roman" w:eastAsia="Times New Roman" w:hAnsi="Times New Roman"/>
                <w:sz w:val="18"/>
                <w:szCs w:val="18"/>
                <w:color w:val="auto"/>
              </w:rPr>
              <w:t>PRLB</w:t>
            </w:r>
          </w:p>
        </w:tc>
        <w:tc>
          <w:tcPr>
            <w:tcW w:w="39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left="140" w:right="160" w:firstLine="48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w:t>
      </w:r>
    </w:p>
    <w:p>
      <w:pPr>
        <w:spacing w:after="0" w:line="178" w:lineRule="exact"/>
        <w:rPr>
          <w:sz w:val="24"/>
          <w:szCs w:val="24"/>
          <w:color w:val="auto"/>
        </w:rPr>
      </w:pPr>
    </w:p>
    <w:p>
      <w:pPr>
        <w:ind w:left="140" w:right="260" w:firstLine="486"/>
        <w:spacing w:after="0" w:line="23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No</w:t>
      </w:r>
    </w:p>
    <w:p>
      <w:pPr>
        <w:spacing w:after="0" w:line="179" w:lineRule="exact"/>
        <w:rPr>
          <w:sz w:val="24"/>
          <w:szCs w:val="24"/>
          <w:color w:val="auto"/>
        </w:rPr>
      </w:pPr>
    </w:p>
    <w:p>
      <w:pPr>
        <w:ind w:left="140" w:right="240" w:firstLine="486"/>
        <w:spacing w:after="0" w:line="274"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large accelerated filer, an accelerated filer, a non-accelerated filer, a smaller reporting company, or an emerging growth company. See the definitions of "large accelerated filer," </w:t>
      </w:r>
      <w:r>
        <w:rPr>
          <w:rFonts w:ascii="PMingLiU" w:cs="PMingLiU" w:eastAsia="PMingLiU" w:hAnsi="PMingLiU"/>
          <w:sz w:val="18"/>
          <w:szCs w:val="18"/>
          <w:b w:val="1"/>
          <w:bCs w:val="1"/>
          <w:color w:val="auto"/>
        </w:rPr>
        <w:t></w:t>
      </w:r>
      <w:r>
        <w:rPr>
          <w:rFonts w:ascii="Times New Roman" w:cs="Times New Roman" w:eastAsia="Times New Roman" w:hAnsi="Times New Roman"/>
          <w:sz w:val="18"/>
          <w:szCs w:val="18"/>
          <w:color w:val="auto"/>
        </w:rPr>
        <w:t>"accelerated filer,"</w:t>
      </w:r>
      <w:r>
        <w:rPr>
          <w:rFonts w:ascii="PMingLiU" w:cs="PMingLiU" w:eastAsia="PMingLiU" w:hAnsi="PMingLiU"/>
          <w:sz w:val="18"/>
          <w:szCs w:val="18"/>
          <w:b w:val="1"/>
          <w:bCs w:val="1"/>
          <w:color w:val="auto"/>
        </w:rPr>
        <w:t></w:t>
      </w:r>
      <w:r>
        <w:rPr>
          <w:rFonts w:ascii="Times New Roman" w:cs="Times New Roman" w:eastAsia="Times New Roman" w:hAnsi="Times New Roman"/>
          <w:sz w:val="18"/>
          <w:szCs w:val="18"/>
          <w:color w:val="auto"/>
        </w:rPr>
        <w:t xml:space="preserve"> "smaller reporting company,"</w:t>
      </w:r>
      <w:r>
        <w:rPr>
          <w:rFonts w:ascii="PMingLiU" w:cs="PMingLiU" w:eastAsia="PMingLiU" w:hAnsi="PMingLiU"/>
          <w:sz w:val="18"/>
          <w:szCs w:val="18"/>
          <w:b w:val="1"/>
          <w:bCs w:val="1"/>
          <w:color w:val="auto"/>
        </w:rPr>
        <w:t></w:t>
      </w:r>
      <w:r>
        <w:rPr>
          <w:rFonts w:ascii="Times New Roman" w:cs="Times New Roman" w:eastAsia="Times New Roman" w:hAnsi="Times New Roman"/>
          <w:sz w:val="18"/>
          <w:szCs w:val="18"/>
          <w:color w:val="auto"/>
        </w:rPr>
        <w:t xml:space="preserve"> and "emerging growth company"</w:t>
      </w:r>
      <w:r>
        <w:rPr>
          <w:rFonts w:ascii="PMingLiU" w:cs="PMingLiU" w:eastAsia="PMingLiU" w:hAnsi="PMingLiU"/>
          <w:sz w:val="18"/>
          <w:szCs w:val="18"/>
          <w:b w:val="1"/>
          <w:bCs w:val="1"/>
          <w:color w:val="auto"/>
        </w:rPr>
        <w:t></w:t>
      </w:r>
      <w:r>
        <w:rPr>
          <w:rFonts w:ascii="Times New Roman" w:cs="Times New Roman" w:eastAsia="Times New Roman" w:hAnsi="Times New Roman"/>
          <w:sz w:val="18"/>
          <w:szCs w:val="18"/>
          <w:color w:val="auto"/>
        </w:rPr>
        <w:t xml:space="preserve"> in Rule 12b-2 of the Exchange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spacing w:after="0"/>
              <w:rPr>
                <w:sz w:val="18"/>
                <w:szCs w:val="18"/>
                <w:color w:val="auto"/>
              </w:rPr>
            </w:pPr>
          </w:p>
        </w:tc>
        <w:tc>
          <w:tcPr>
            <w:tcW w:w="3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78" w:lineRule="exact"/>
        <w:rPr>
          <w:sz w:val="24"/>
          <w:szCs w:val="24"/>
          <w:color w:val="auto"/>
        </w:rPr>
      </w:pPr>
    </w:p>
    <w:p>
      <w:pPr>
        <w:ind w:left="140" w:right="200" w:firstLine="486"/>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w:t>
      </w:r>
    </w:p>
    <w:p>
      <w:pPr>
        <w:spacing w:after="0" w:line="254" w:lineRule="exact"/>
        <w:rPr>
          <w:sz w:val="24"/>
          <w:szCs w:val="24"/>
          <w:color w:val="auto"/>
        </w:rPr>
      </w:pPr>
    </w:p>
    <w:p>
      <w:pPr>
        <w:ind w:left="140" w:right="240" w:firstLine="486"/>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27,496,142 shares of Common Stock, par value $0.001 per share, were outstanding at May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Table of Contents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916"/>
        </w:trPr>
        <w:tc>
          <w:tcPr>
            <w:tcW w:w="10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340" w:type="dxa"/>
            <w:vAlign w:val="bottom"/>
            <w:gridSpan w:val="8"/>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8"/>
              </w:rPr>
              <w:t>Proto Labs, Inc.</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8"/>
        </w:trPr>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340" w:type="dxa"/>
            <w:vAlign w:val="bottom"/>
            <w:gridSpan w:val="8"/>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32"/>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866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tcPr>
          <w:p>
            <w:pPr>
              <w:spacing w:after="0"/>
              <w:rPr>
                <w:sz w:val="24"/>
                <w:szCs w:val="24"/>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4640" w:type="dxa"/>
            <w:vAlign w:val="bottom"/>
            <w:tcBorders>
              <w:top w:val="single" w:sz="8" w:color="auto"/>
            </w:tcBorders>
            <w:gridSpan w:val="7"/>
          </w:tcPr>
          <w:p>
            <w:pPr>
              <w:jc w:val="center"/>
              <w:ind w:right="4020"/>
              <w:spacing w:after="0"/>
              <w:rPr>
                <w:sz w:val="20"/>
                <w:szCs w:val="20"/>
                <w:color w:val="auto"/>
              </w:rPr>
            </w:pPr>
            <w:r>
              <w:rPr>
                <w:rFonts w:ascii="Times New Roman" w:cs="Times New Roman" w:eastAsia="Times New Roman" w:hAnsi="Times New Roman"/>
                <w:sz w:val="18"/>
                <w:szCs w:val="18"/>
                <w:color w:val="0000EE"/>
                <w:w w:val="95"/>
              </w:rPr>
              <w:t>PART I</w:t>
            </w:r>
          </w:p>
        </w:tc>
        <w:tc>
          <w:tcPr>
            <w:tcW w:w="2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540" w:type="dxa"/>
            <w:vAlign w:val="bottom"/>
            <w:tcBorders>
              <w:top w:val="single" w:sz="8" w:color="0000EE"/>
            </w:tcBorders>
            <w:gridSpan w:val="3"/>
          </w:tcPr>
          <w:p>
            <w:pPr>
              <w:spacing w:after="0"/>
              <w:rPr>
                <w:sz w:val="17"/>
                <w:szCs w:val="17"/>
                <w:color w:val="auto"/>
              </w:rPr>
            </w:pPr>
          </w:p>
        </w:tc>
        <w:tc>
          <w:tcPr>
            <w:tcW w:w="4060" w:type="dxa"/>
            <w:vAlign w:val="bottom"/>
            <w:gridSpan w:val="3"/>
          </w:tcPr>
          <w:p>
            <w:pPr>
              <w:spacing w:after="0"/>
              <w:rPr>
                <w:sz w:val="17"/>
                <w:szCs w:val="17"/>
                <w:color w:val="auto"/>
              </w:rPr>
            </w:pPr>
          </w:p>
        </w:tc>
        <w:tc>
          <w:tcPr>
            <w:tcW w:w="840" w:type="dxa"/>
            <w:vAlign w:val="bottom"/>
            <w:gridSpan w:val="5"/>
          </w:tcPr>
          <w:p>
            <w:pPr>
              <w:jc w:val="center"/>
              <w:ind w:left="57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4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280" w:type="dxa"/>
            <w:vAlign w:val="bottom"/>
            <w:gridSpan w:val="6"/>
          </w:tcPr>
          <w:p>
            <w:pPr>
              <w:jc w:val="center"/>
              <w:ind w:left="130"/>
              <w:spacing w:after="0" w:line="196" w:lineRule="exact"/>
              <w:rPr>
                <w:sz w:val="20"/>
                <w:szCs w:val="20"/>
                <w:color w:val="auto"/>
              </w:rPr>
            </w:pPr>
            <w:r>
              <w:rPr>
                <w:rFonts w:ascii="Times New Roman" w:cs="Times New Roman" w:eastAsia="Times New Roman" w:hAnsi="Times New Roman"/>
                <w:sz w:val="18"/>
                <w:szCs w:val="18"/>
                <w:color w:val="0000EE"/>
                <w:w w:val="99"/>
              </w:rPr>
              <w:t>16</w:t>
            </w: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120" w:type="dxa"/>
            <w:vAlign w:val="bottom"/>
            <w:gridSpan w:val="4"/>
          </w:tcPr>
          <w:p>
            <w:pPr>
              <w:spacing w:after="0"/>
              <w:rPr>
                <w:sz w:val="17"/>
                <w:szCs w:val="17"/>
                <w:color w:val="auto"/>
              </w:rPr>
            </w:pPr>
          </w:p>
        </w:tc>
        <w:tc>
          <w:tcPr>
            <w:tcW w:w="222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0000EE"/>
                <w:w w:val="99"/>
              </w:rPr>
              <w:t>24</w:t>
            </w: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4340" w:type="dxa"/>
            <w:vAlign w:val="bottom"/>
            <w:gridSpan w:val="5"/>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0000EE"/>
                <w:w w:val="99"/>
              </w:rPr>
              <w:t>25</w:t>
            </w: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40" w:type="dxa"/>
            <w:vAlign w:val="bottom"/>
            <w:gridSpan w:val="7"/>
          </w:tcPr>
          <w:p>
            <w:pPr>
              <w:jc w:val="center"/>
              <w:ind w:right="4040"/>
              <w:spacing w:after="0" w:line="196" w:lineRule="exact"/>
              <w:rPr>
                <w:sz w:val="20"/>
                <w:szCs w:val="20"/>
                <w:color w:val="auto"/>
              </w:rPr>
            </w:pPr>
            <w:r>
              <w:rPr>
                <w:rFonts w:ascii="Times New Roman" w:cs="Times New Roman" w:eastAsia="Times New Roman" w:hAnsi="Times New Roman"/>
                <w:sz w:val="18"/>
                <w:szCs w:val="18"/>
                <w:color w:val="0000EE"/>
                <w:w w:val="95"/>
              </w:rPr>
              <w:t>PART II</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Legal Proceedings</w:t>
            </w:r>
          </w:p>
        </w:tc>
        <w:tc>
          <w:tcPr>
            <w:tcW w:w="2700" w:type="dxa"/>
            <w:vAlign w:val="bottom"/>
            <w:gridSpan w:val="4"/>
          </w:tcPr>
          <w:p>
            <w:pPr>
              <w:spacing w:after="0"/>
              <w:rPr>
                <w:sz w:val="17"/>
                <w:szCs w:val="17"/>
                <w:color w:val="auto"/>
              </w:rPr>
            </w:pPr>
          </w:p>
        </w:tc>
        <w:tc>
          <w:tcPr>
            <w:tcW w:w="600" w:type="dxa"/>
            <w:vAlign w:val="bottom"/>
            <w:tcBorders>
              <w:top w:val="single" w:sz="8" w:color="0000EE"/>
            </w:tcBorders>
            <w:gridSpan w:val="5"/>
          </w:tcPr>
          <w:p>
            <w:pPr>
              <w:spacing w:after="0"/>
              <w:rPr>
                <w:sz w:val="17"/>
                <w:szCs w:val="17"/>
                <w:color w:val="auto"/>
              </w:rPr>
            </w:pPr>
          </w:p>
        </w:tc>
        <w:tc>
          <w:tcPr>
            <w:tcW w:w="4040" w:type="dxa"/>
            <w:vAlign w:val="bottom"/>
            <w:gridSpan w:val="2"/>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0000EE"/>
                <w:w w:val="99"/>
              </w:rPr>
              <w:t>26</w:t>
            </w:r>
          </w:p>
        </w:tc>
      </w:tr>
      <w:tr>
        <w:trPr>
          <w:trHeight w:val="20"/>
        </w:trPr>
        <w:tc>
          <w:tcPr>
            <w:tcW w:w="130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300" w:type="dxa"/>
            <w:vAlign w:val="bottom"/>
            <w:gridSpan w:val="3"/>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7"/>
              </w:rPr>
              <w:t>1A.</w:t>
            </w:r>
          </w:p>
        </w:tc>
        <w:tc>
          <w:tcPr>
            <w:tcW w:w="13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340" w:type="dxa"/>
            <w:vAlign w:val="bottom"/>
            <w:gridSpan w:val="11"/>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0000EE"/>
                <w:w w:val="99"/>
              </w:rPr>
              <w:t>26</w:t>
            </w: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4300" w:type="dxa"/>
            <w:vAlign w:val="bottom"/>
            <w:gridSpan w:val="4"/>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0000EE"/>
                <w:w w:val="99"/>
              </w:rPr>
              <w:t>26</w:t>
            </w: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4300" w:type="dxa"/>
            <w:vAlign w:val="bottom"/>
            <w:gridSpan w:val="4"/>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0000EE"/>
                <w:w w:val="99"/>
              </w:rPr>
              <w:t>26</w:t>
            </w: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340" w:type="dxa"/>
            <w:vAlign w:val="bottom"/>
            <w:gridSpan w:val="8"/>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Pr>
          <w:p>
            <w:pPr>
              <w:spacing w:after="0"/>
              <w:rPr>
                <w:sz w:val="17"/>
                <w:szCs w:val="17"/>
                <w:color w:val="auto"/>
              </w:rPr>
            </w:pPr>
          </w:p>
        </w:tc>
        <w:tc>
          <w:tcPr>
            <w:tcW w:w="6340" w:type="dxa"/>
            <w:vAlign w:val="bottom"/>
            <w:gridSpan w:val="8"/>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0000EE"/>
                <w:w w:val="99"/>
              </w:rPr>
              <w:t>26</w:t>
            </w: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880" w:type="dxa"/>
            <w:vAlign w:val="bottom"/>
            <w:gridSpan w:val="9"/>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Other Information</w:t>
            </w:r>
          </w:p>
        </w:tc>
        <w:tc>
          <w:tcPr>
            <w:tcW w:w="460" w:type="dxa"/>
            <w:vAlign w:val="bottom"/>
            <w:gridSpan w:val="2"/>
          </w:tcPr>
          <w:p>
            <w:pPr>
              <w:spacing w:after="0"/>
              <w:rPr>
                <w:sz w:val="17"/>
                <w:szCs w:val="17"/>
                <w:color w:val="auto"/>
              </w:rPr>
            </w:pPr>
          </w:p>
        </w:tc>
        <w:tc>
          <w:tcPr>
            <w:tcW w:w="6880" w:type="dxa"/>
            <w:vAlign w:val="bottom"/>
            <w:gridSpan w:val="9"/>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0000EE"/>
                <w:w w:val="99"/>
              </w:rPr>
              <w:t>26</w:t>
            </w: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340" w:type="dxa"/>
            <w:vAlign w:val="bottom"/>
            <w:gridSpan w:val="11"/>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7340" w:type="dxa"/>
            <w:vAlign w:val="bottom"/>
            <w:gridSpan w:val="11"/>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0000EE"/>
                <w:w w:val="99"/>
              </w:rPr>
              <w:t>27</w:t>
            </w:r>
          </w:p>
        </w:tc>
      </w:tr>
      <w:tr>
        <w:trPr>
          <w:trHeight w:val="453"/>
        </w:trPr>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00" w:type="dxa"/>
            <w:vAlign w:val="bottom"/>
            <w:gridSpan w:val="10"/>
          </w:tcPr>
          <w:p>
            <w:pPr>
              <w:jc w:val="center"/>
              <w:ind w:left="3350"/>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10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8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57,239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65,929</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11,580</w:t>
            </w:r>
          </w:p>
        </w:tc>
      </w:tr>
      <w:tr>
        <w:trPr>
          <w:trHeight w:val="198"/>
        </w:trPr>
        <w:tc>
          <w:tcPr>
            <w:tcW w:w="8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$1,998 and $1,948 as of March 31, 2022 and</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4"/>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85,960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80,051</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13,161</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receivable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1,321</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10,185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11,450</w:t>
            </w:r>
          </w:p>
        </w:tc>
      </w:tr>
      <w:tr>
        <w:trPr>
          <w:trHeight w:val="210"/>
        </w:trPr>
        <w:tc>
          <w:tcPr>
            <w:tcW w:w="8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188,212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183,492</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270,946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280,346</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398,319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400,610</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36,234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37,998</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28,196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14,340</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5,578</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assets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1,898</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 held for sale</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4,286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4,320</w:t>
            </w:r>
          </w:p>
        </w:tc>
      </w:tr>
      <w:tr>
        <w:trPr>
          <w:trHeight w:val="210"/>
        </w:trPr>
        <w:tc>
          <w:tcPr>
            <w:tcW w:w="8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934,751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928,582</w:t>
            </w:r>
          </w:p>
        </w:tc>
      </w:tr>
      <w:tr>
        <w:trPr>
          <w:trHeight w:val="20"/>
        </w:trPr>
        <w:tc>
          <w:tcPr>
            <w:tcW w:w="8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17,511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25,364</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13,704</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11,980</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3,298</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8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60,251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54,896</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2,245</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Long-term finance lease liabilities</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1,351</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tax liabilities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35,892</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6,021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5,705</w:t>
            </w:r>
          </w:p>
        </w:tc>
      </w:tr>
      <w:tr>
        <w:trPr>
          <w:trHeight w:val="210"/>
        </w:trPr>
        <w:tc>
          <w:tcPr>
            <w:tcW w:w="8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102,716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100,089</w:t>
            </w:r>
          </w:p>
        </w:tc>
      </w:tr>
      <w:tr>
        <w:trPr>
          <w:trHeight w:val="216"/>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198"/>
        </w:trPr>
        <w:tc>
          <w:tcPr>
            <w:tcW w:w="84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authorized 10,000,000 shares; issued and outstanding 0 shares as of each of</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March 31, 2022 and December 31, 2021</w:t>
            </w:r>
          </w:p>
        </w:tc>
        <w:tc>
          <w:tcPr>
            <w:tcW w:w="1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4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150,000,000 shares; issued and outstanding 27,493,661 and</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4"/>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27,465,945 shares as of March 31, 2022 and December 31, 2021, respectively</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472,483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468,548</w:t>
            </w:r>
          </w:p>
        </w:tc>
      </w:tr>
      <w:tr>
        <w:trPr>
          <w:trHeight w:val="216"/>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381,829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376,734</w:t>
            </w:r>
          </w:p>
        </w:tc>
      </w:tr>
      <w:tr>
        <w:trPr>
          <w:trHeight w:val="216"/>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(16,817)</w:t>
            </w:r>
          </w:p>
        </w:tc>
      </w:tr>
      <w:tr>
        <w:trPr>
          <w:trHeight w:val="209"/>
        </w:trPr>
        <w:tc>
          <w:tcPr>
            <w:tcW w:w="84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832,035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828,493</w:t>
            </w:r>
          </w:p>
        </w:tc>
      </w:tr>
      <w:tr>
        <w:trPr>
          <w:trHeight w:val="210"/>
        </w:trPr>
        <w:tc>
          <w:tcPr>
            <w:tcW w:w="8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934,751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928,582</w:t>
            </w:r>
          </w:p>
        </w:tc>
      </w:tr>
      <w:tr>
        <w:trPr>
          <w:trHeight w:val="20"/>
        </w:trPr>
        <w:tc>
          <w:tcPr>
            <w:tcW w:w="8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84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124,168</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116,126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68,364</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60,796</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55,804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55,330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sales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20,586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19,480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10,557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12,181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16,771</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19,408</w:t>
            </w:r>
          </w:p>
        </w:tc>
      </w:tr>
      <w:tr>
        <w:trPr>
          <w:trHeight w:val="210"/>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47,914</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51,069</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7,890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7,590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5,095</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3,712</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0.14</w:t>
            </w:r>
          </w:p>
        </w:tc>
      </w:tr>
      <w:tr>
        <w:trPr>
          <w:trHeight w:val="197"/>
        </w:trPr>
        <w:tc>
          <w:tcPr>
            <w:tcW w:w="800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520" w:type="dxa"/>
            <w:vAlign w:val="bottom"/>
            <w:gridSpan w:val="2"/>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0.13</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Shares used to compute net income per share:</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27,502,941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27,464,136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27,510,477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27,698,195</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(net of tax)</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r>
      <w:tr>
        <w:trPr>
          <w:trHeight w:val="270"/>
        </w:trPr>
        <w:tc>
          <w:tcPr>
            <w:tcW w:w="80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5"/>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5"/>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Paid-In</w:t>
            </w:r>
          </w:p>
        </w:tc>
        <w:tc>
          <w:tcPr>
            <w:tcW w:w="20" w:type="dxa"/>
            <w:vAlign w:val="bottom"/>
          </w:tcPr>
          <w:p>
            <w:pPr>
              <w:spacing w:after="0"/>
              <w:rPr>
                <w:sz w:val="16"/>
                <w:szCs w:val="16"/>
                <w:color w:val="auto"/>
              </w:rPr>
            </w:pPr>
          </w:p>
        </w:tc>
        <w:tc>
          <w:tcPr>
            <w:tcW w:w="1000" w:type="dxa"/>
            <w:vAlign w:val="bottom"/>
            <w:gridSpan w:val="3"/>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8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0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 w:type="dxa"/>
            <w:vAlign w:val="bottom"/>
          </w:tcPr>
          <w:p>
            <w:pPr>
              <w:spacing w:after="0"/>
              <w:rPr>
                <w:sz w:val="20"/>
                <w:szCs w:val="20"/>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27,465,945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468,548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376,734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828,493</w:t>
            </w:r>
          </w:p>
        </w:tc>
        <w:tc>
          <w:tcPr>
            <w:tcW w:w="0" w:type="dxa"/>
            <w:vAlign w:val="bottom"/>
          </w:tcPr>
          <w:p>
            <w:pPr>
              <w:spacing w:after="0"/>
              <w:rPr>
                <w:sz w:val="1"/>
                <w:szCs w:val="1"/>
                <w:color w:val="auto"/>
              </w:rPr>
            </w:pPr>
          </w:p>
        </w:tc>
      </w:tr>
      <w:tr>
        <w:trPr>
          <w:trHeight w:val="198"/>
        </w:trPr>
        <w:tc>
          <w:tcPr>
            <w:tcW w:w="47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shares issued on exercise of options and other, net</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of shares withheld for tax obligations</w:t>
            </w: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27,716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4,397</w:t>
            </w:r>
          </w:p>
        </w:tc>
        <w:tc>
          <w:tcPr>
            <w:tcW w:w="0" w:type="dxa"/>
            <w:vAlign w:val="bottom"/>
          </w:tcPr>
          <w:p>
            <w:pPr>
              <w:spacing w:after="0"/>
              <w:rPr>
                <w:sz w:val="1"/>
                <w:szCs w:val="1"/>
                <w:color w:val="auto"/>
              </w:rPr>
            </w:pPr>
          </w:p>
        </w:tc>
      </w:tr>
      <w:tr>
        <w:trPr>
          <w:trHeight w:val="216"/>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5,095</w:t>
            </w:r>
          </w:p>
        </w:tc>
        <w:tc>
          <w:tcPr>
            <w:tcW w:w="0" w:type="dxa"/>
            <w:vAlign w:val="bottom"/>
          </w:tcPr>
          <w:p>
            <w:pPr>
              <w:spacing w:after="0"/>
              <w:rPr>
                <w:sz w:val="1"/>
                <w:szCs w:val="1"/>
                <w:color w:val="auto"/>
              </w:rPr>
            </w:pPr>
          </w:p>
        </w:tc>
      </w:tr>
      <w:tr>
        <w:trPr>
          <w:trHeight w:val="216"/>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Other comprehensive loss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0" w:type="dxa"/>
            <w:vAlign w:val="bottom"/>
          </w:tcPr>
          <w:p>
            <w:pPr>
              <w:spacing w:after="0"/>
              <w:rPr>
                <w:sz w:val="1"/>
                <w:szCs w:val="1"/>
                <w:color w:val="auto"/>
              </w:rPr>
            </w:pPr>
          </w:p>
        </w:tc>
      </w:tr>
      <w:tr>
        <w:trPr>
          <w:trHeight w:val="216"/>
        </w:trPr>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unrealized gains (losses) on investments in securities</w:t>
            </w: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loss</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27,493,661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472,483</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381,829</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832,035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8"/>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Borders>
              <w:bottom w:val="single" w:sz="8" w:color="auto"/>
            </w:tcBorders>
            <w:gridSpan w:val="8"/>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26,776,796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284,848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362,901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644,356</w:t>
            </w:r>
          </w:p>
        </w:tc>
        <w:tc>
          <w:tcPr>
            <w:tcW w:w="0" w:type="dxa"/>
            <w:vAlign w:val="bottom"/>
          </w:tcPr>
          <w:p>
            <w:pPr>
              <w:spacing w:after="0"/>
              <w:rPr>
                <w:sz w:val="1"/>
                <w:szCs w:val="1"/>
                <w:color w:val="auto"/>
              </w:rPr>
            </w:pPr>
          </w:p>
        </w:tc>
      </w:tr>
      <w:tr>
        <w:trPr>
          <w:trHeight w:val="198"/>
        </w:trPr>
        <w:tc>
          <w:tcPr>
            <w:tcW w:w="47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w w:val="99"/>
              </w:rPr>
              <w:t>Common shares issued on exercise of options and other, net of</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shares withheld for tax obligations</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48,955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 issued for Hubs acquisition</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863,995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166,708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166,709</w:t>
            </w:r>
          </w:p>
        </w:tc>
        <w:tc>
          <w:tcPr>
            <w:tcW w:w="0" w:type="dxa"/>
            <w:vAlign w:val="bottom"/>
          </w:tcPr>
          <w:p>
            <w:pPr>
              <w:spacing w:after="0"/>
              <w:rPr>
                <w:sz w:val="1"/>
                <w:szCs w:val="1"/>
                <w:color w:val="auto"/>
              </w:rPr>
            </w:pPr>
          </w:p>
        </w:tc>
      </w:tr>
      <w:tr>
        <w:trPr>
          <w:trHeight w:val="216"/>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3,712</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Other comprehensive loss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unrealized gains (losses) on investments in securities</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0"/>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0" w:type="dxa"/>
            <w:vAlign w:val="bottom"/>
          </w:tcPr>
          <w:p>
            <w:pPr>
              <w:spacing w:after="0"/>
              <w:rPr>
                <w:sz w:val="1"/>
                <w:szCs w:val="1"/>
                <w:color w:val="auto"/>
              </w:rPr>
            </w:pPr>
          </w:p>
        </w:tc>
      </w:tr>
      <w:tr>
        <w:trPr>
          <w:trHeight w:val="249"/>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27,689,746</w:t>
            </w:r>
          </w:p>
        </w:tc>
        <w:tc>
          <w:tcPr>
            <w:tcW w:w="50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456,886</w:t>
            </w:r>
          </w:p>
        </w:tc>
        <w:tc>
          <w:tcPr>
            <w:tcW w:w="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366,613</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813,431</w:t>
            </w:r>
          </w:p>
        </w:tc>
        <w:tc>
          <w:tcPr>
            <w:tcW w:w="0" w:type="dxa"/>
            <w:vAlign w:val="bottom"/>
          </w:tcPr>
          <w:p>
            <w:pPr>
              <w:spacing w:after="0"/>
              <w:rPr>
                <w:sz w:val="1"/>
                <w:szCs w:val="1"/>
                <w:color w:val="auto"/>
              </w:rPr>
            </w:pPr>
          </w:p>
        </w:tc>
      </w:tr>
      <w:tr>
        <w:trPr>
          <w:trHeight w:val="250"/>
        </w:trPr>
        <w:tc>
          <w:tcPr>
            <w:tcW w:w="4620" w:type="dxa"/>
            <w:vAlign w:val="bottom"/>
            <w:tcBorders>
              <w:top w:val="single" w:sz="8" w:color="CCEEFF"/>
              <w:bottom w:val="single" w:sz="8" w:color="auto"/>
            </w:tcBorders>
          </w:tcPr>
          <w:p>
            <w:pPr>
              <w:spacing w:after="0"/>
              <w:rPr>
                <w:sz w:val="21"/>
                <w:szCs w:val="21"/>
                <w:color w:val="auto"/>
              </w:rPr>
            </w:pPr>
          </w:p>
        </w:tc>
        <w:tc>
          <w:tcPr>
            <w:tcW w:w="80" w:type="dxa"/>
            <w:vAlign w:val="bottom"/>
            <w:tcBorders>
              <w:top w:val="single" w:sz="8" w:color="CCEEFF"/>
              <w:bottom w:val="single" w:sz="8" w:color="auto"/>
            </w:tcBorders>
          </w:tcPr>
          <w:p>
            <w:pPr>
              <w:spacing w:after="0"/>
              <w:rPr>
                <w:sz w:val="21"/>
                <w:szCs w:val="21"/>
                <w:color w:val="auto"/>
              </w:rPr>
            </w:pPr>
          </w:p>
        </w:tc>
        <w:tc>
          <w:tcPr>
            <w:tcW w:w="120" w:type="dxa"/>
            <w:vAlign w:val="bottom"/>
            <w:tcBorders>
              <w:top w:val="single" w:sz="8" w:color="CCEEFF"/>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CCEEFF"/>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5"/>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5,095</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10,232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10,059</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5,620</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taxes</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(14,558)</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917</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2,696</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taxes</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669</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w:t>
            </w:r>
          </w:p>
        </w:tc>
      </w:tr>
      <w:tr>
        <w:trPr>
          <w:trHeight w:val="209"/>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17,783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6,425</w:t>
            </w:r>
          </w:p>
        </w:tc>
      </w:tr>
      <w:tr>
        <w:trPr>
          <w:trHeight w:val="210"/>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equipment and other capital assets</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used for acquisitions, net of cash acquired</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(127,709)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(29,366)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45,194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call redemptions and maturities of marketable securities</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7,155</w:t>
            </w: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(25,835)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(90,133)</w:t>
            </w:r>
          </w:p>
        </w:tc>
      </w:tr>
      <w:tr>
        <w:trPr>
          <w:trHeight w:val="209"/>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shares withheld for tax obligations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repayments of finance lease obligations</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65,929</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127,603</w:t>
            </w: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57,239</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43,774</w:t>
            </w:r>
          </w:p>
        </w:tc>
      </w:tr>
      <w:tr>
        <w:trPr>
          <w:trHeight w:val="250"/>
        </w:trPr>
        <w:tc>
          <w:tcPr>
            <w:tcW w:w="8000" w:type="dxa"/>
            <w:vAlign w:val="bottom"/>
            <w:tcBorders>
              <w:top w:val="single" w:sz="8" w:color="CCEEFF"/>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unaudited interim Consolidated Financial Statements of Proto Labs, Inc. (Protolabs, the Company, we, us or our) have been prepared in accordance with accounting principles generally accepted in the United States of America (U.S. GAAP) for interim financial information and with the instructions to Form 10-Q and Article 10 of Regulation S-X. In the opinion of management, the accompanying financial statements reflect all adjustments necessary for a fair presentation of the Company’s statements of financial position, results of operations and cash flows for the periods presented. Except as otherwise disclosed herein, these adjustments consist of normal, recurring items. Operating results for interim periods are not necessarily indicative of results that may be expected for the fiscal year as a whole.</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and assumptions that affect the reported amounts of assets, liabilities, revenues, expenses, and the related disclosures at the date of the financial statements and during the reporting period. Actual results could materially differ from these estimates. For further information, refer to the audited Consolidated Financial Statements and Notes thereto included in the Company’s Annual Report on Form 10-K for the year ended December 31, 2021 as filed with the Securities and Exchange Commission (SEC) on February 18, 2022.</w:t>
      </w:r>
    </w:p>
    <w:p>
      <w:pPr>
        <w:spacing w:after="0" w:line="183" w:lineRule="exact"/>
        <w:rPr>
          <w:sz w:val="20"/>
          <w:szCs w:val="20"/>
          <w:color w:val="auto"/>
        </w:rPr>
      </w:pPr>
    </w:p>
    <w:p>
      <w:pPr>
        <w:jc w:val="both"/>
        <w:ind w:right="340"/>
        <w:spacing w:after="0" w:line="289" w:lineRule="auto"/>
        <w:rPr>
          <w:sz w:val="20"/>
          <w:szCs w:val="20"/>
          <w:color w:val="auto"/>
        </w:rPr>
      </w:pPr>
      <w:r>
        <w:rPr>
          <w:rFonts w:ascii="Times New Roman" w:cs="Times New Roman" w:eastAsia="Times New Roman" w:hAnsi="Times New Roman"/>
          <w:sz w:val="17"/>
          <w:szCs w:val="17"/>
          <w:color w:val="auto"/>
        </w:rPr>
        <w:t>The accompanying Consolidated Balance Sheet as of December 31, 2021 was derived from the audited Consolidated Financial Statements but does not include all disclosures required by U.S. GAAP for a full set of financial statements. This Form 10-Q should be read in conjunction with the Company’s Consolidated Financial Statements and Notes included in the Annual Report on Form 10-K filed on February 18, 2022 as referenced above.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recently adopt any accounting pronouncements that had a material impact on the Company's Consolidated Financial Statements.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Net Income per Common Share</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Basic net income per share is computed based on the weighted-average number of common shares outstanding. Diluted net income per share is computed based on the weighted-average number of common shares outstanding, increased by the number of additional shares that would have been outstanding had potentially dilutive common shares been issued and reduced by the number of shares the Company could have repurchased from the proceeds from issuance of the potentially dilutive shares. Potentially dilutive shares of common stock include stock options and other stock-based awards granted under stock-based compensation plans and shares committed to be purchased under the employee stock purchase plan. Performance stock units are excluded from the calculation of dilutive potential common shares until the performance conditions have been satisfied. For the three months ended March 31, 2022, 233,380 anti-dilutive options were excluded from the calculation of diluted weighted average shares outstanding.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computation of basic and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222885</wp:posOffset>
            </wp:positionV>
            <wp:extent cx="67722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tc>
        <w:tc>
          <w:tcPr>
            <w:tcW w:w="2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5,095</w:t>
            </w: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 weighted-average shares outstanding:</w:t>
            </w:r>
          </w:p>
        </w:tc>
        <w:tc>
          <w:tcPr>
            <w:tcW w:w="2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27,502,941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27,464,136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options and other</w:t>
            </w:r>
          </w:p>
        </w:tc>
        <w:tc>
          <w:tcPr>
            <w:tcW w:w="29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7,536</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234,059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Diluted - weighted-average shares outstanding:</w:t>
            </w:r>
          </w:p>
        </w:tc>
        <w:tc>
          <w:tcPr>
            <w:tcW w:w="2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27,510,477</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27,698,195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 w:type="dxa"/>
            <w:vAlign w:val="bottom"/>
          </w:tcPr>
          <w:p>
            <w:pPr>
              <w:spacing w:after="0"/>
              <w:rPr>
                <w:sz w:val="17"/>
                <w:szCs w:val="17"/>
                <w:color w:val="auto"/>
              </w:rPr>
            </w:pPr>
          </w:p>
        </w:tc>
        <w:tc>
          <w:tcPr>
            <w:tcW w:w="4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2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3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0.19</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p>
        </w:tc>
        <w:tc>
          <w:tcPr>
            <w:tcW w:w="4460" w:type="dxa"/>
            <w:vAlign w:val="bottom"/>
            <w:shd w:val="clear" w:color="auto" w:fill="CCEEFF"/>
          </w:tcPr>
          <w:p>
            <w:pPr>
              <w:ind w:left="3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22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540" w:type="dxa"/>
            <w:vAlign w:val="bottom"/>
            <w:gridSpan w:val="2"/>
            <w:shd w:val="clear" w:color="auto" w:fill="CCEEFF"/>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4460" w:type="dxa"/>
            <w:vAlign w:val="bottom"/>
            <w:tcBorders>
              <w:top w:val="single" w:sz="8" w:color="CCEEFF"/>
              <w:bottom w:val="single" w:sz="8" w:color="auto"/>
            </w:tcBorders>
          </w:tcPr>
          <w:p>
            <w:pPr>
              <w:spacing w:after="0"/>
              <w:rPr>
                <w:sz w:val="17"/>
                <w:szCs w:val="17"/>
                <w:color w:val="auto"/>
              </w:rPr>
            </w:pPr>
          </w:p>
        </w:tc>
        <w:tc>
          <w:tcPr>
            <w:tcW w:w="290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90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446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January 22, 2021, the Company acquired all of the outstanding shares of 3D Hubs, Inc. (Hubs), for $294.1 million, consisting of $127.4 million in cash and 863,995 shares of the Company's common stock valued at $166.7 million on the closing date. The purchase agreement included additional contingent consideration of up to $52.8 million subject to the achievement of performance-based targets during fiscal 2021 and fiscal 2022. The contingent consideration consisted of up to $25.0 million in cash and up to 143,983 shares of the Company's common stock valued at $27.8 million on the closing date. The Company initially recorded a liability of $13.6 million related to the contingent consideration, which was subsequently reversed when it was determined the performance based targets would not be met in 2021 and the expectation that those targets would not be met in fiscal 2022. The reversal of the contingent consideration was recorded as a decrease in general and administrative expense in the Consolidated Statements of Comprehensive Income.</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Hubs is based in Amsterdam, Netherlands and is a leading online manufacturing platform that provides customers with on-demand access to a global network of premium manufacturing partners. The acquisition enhances the Company’s value proposition by expanding the customer offerings, enabling the Company to more holistically serve its customers.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fair value of the consideration paid for this acquisition has been allocated to the assets purchased and liabilities assumed based on their fair values as of the acquisition date, with any excess recorded as goodwill. The goodwill associated with the acquisition represents both the strategic and growth opportunities by significantly expanding the customer offering with a network of premium manufacturing partners. The goodwill related to the acquisition is not deductible for tax purposes.</w:t>
      </w:r>
    </w:p>
    <w:p>
      <w:pPr>
        <w:spacing w:after="0" w:line="178"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color w:val="auto"/>
        </w:rPr>
        <w:t xml:space="preserve">The acquisition has been accounted for under the acquisition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final purchase price allocation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44450</wp:posOffset>
            </wp:positionV>
            <wp:extent cx="6772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 thousands)</w:t>
            </w:r>
          </w:p>
        </w:tc>
        <w:tc>
          <w:tcPr>
            <w:tcW w:w="5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30,770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280,925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5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 acquired</w:t>
            </w:r>
          </w:p>
        </w:tc>
        <w:tc>
          <w:tcPr>
            <w:tcW w:w="5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315,331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vMerge w:val="restart"/>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contingent consideration</w:t>
            </w:r>
          </w:p>
        </w:tc>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contingent consideration</w:t>
            </w:r>
          </w:p>
        </w:tc>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tax liabilities</w:t>
            </w:r>
          </w:p>
        </w:tc>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21,209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assets acquired</w:t>
            </w:r>
          </w:p>
        </w:tc>
        <w:tc>
          <w:tcPr>
            <w:tcW w:w="5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294,122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w:t>
            </w:r>
          </w:p>
        </w:tc>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133,847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Cash acquired</w:t>
            </w:r>
          </w:p>
        </w:tc>
        <w:tc>
          <w:tcPr>
            <w:tcW w:w="5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consideration</w:t>
            </w:r>
          </w:p>
        </w:tc>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127,413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Equity portion of purchase price</w:t>
            </w:r>
          </w:p>
        </w:tc>
        <w:tc>
          <w:tcPr>
            <w:tcW w:w="5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166,709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00" w:type="dxa"/>
            <w:vAlign w:val="bottom"/>
          </w:tcPr>
          <w:p>
            <w:pPr>
              <w:spacing w:after="0"/>
              <w:rPr>
                <w:sz w:val="21"/>
                <w:szCs w:val="21"/>
                <w:color w:val="auto"/>
              </w:rPr>
            </w:pPr>
          </w:p>
        </w:tc>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5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294,122</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3920" w:type="dxa"/>
            <w:vAlign w:val="bottom"/>
            <w:tcBorders>
              <w:top w:val="single" w:sz="8" w:color="CCEEFF"/>
              <w:bottom w:val="single" w:sz="8" w:color="auto"/>
            </w:tcBorders>
          </w:tcPr>
          <w:p>
            <w:pPr>
              <w:spacing w:after="0"/>
              <w:rPr>
                <w:sz w:val="17"/>
                <w:szCs w:val="17"/>
                <w:color w:val="auto"/>
              </w:rPr>
            </w:pPr>
          </w:p>
        </w:tc>
        <w:tc>
          <w:tcPr>
            <w:tcW w:w="5140" w:type="dxa"/>
            <w:vAlign w:val="bottom"/>
            <w:tcBorders>
              <w:top w:val="single" w:sz="8" w:color="CCEEFF"/>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140" w:type="dxa"/>
            <w:vAlign w:val="bottom"/>
          </w:tcPr>
          <w:p>
            <w:pPr>
              <w:jc w:val="right"/>
              <w:ind w:right="361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c>
          <w:tcPr>
            <w:tcW w:w="5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and Other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during the three months ended March 31,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222885</wp:posOffset>
            </wp:positionV>
            <wp:extent cx="64122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r>
      <w:tr>
        <w:trPr>
          <w:trHeight w:val="238"/>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the beginning of the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400,610</w:t>
            </w: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Goodwill acquired during the period</w:t>
            </w: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09"/>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the end of the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398,319</w:t>
            </w: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205740</wp:posOffset>
            </wp:positionV>
            <wp:extent cx="64122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Goodwill has been allocated to the acquired Hubs entities consisting of goodwill of €106.5 million in Europe and $151.3 million in the United States as of the date of the acquisition. The Euro denominated goodwill is translated at the end of each period using the current exchange rates resulting in a foreign currency translation adjustment that is recorded as a component of Other Comprehensive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other than goodwill at March 31, 2022 and December 31,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222885</wp:posOffset>
            </wp:positionV>
            <wp:extent cx="67722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6"/>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vMerge w:val="continue"/>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Useful</w:t>
            </w:r>
          </w:p>
        </w:tc>
        <w:tc>
          <w:tcPr>
            <w:tcW w:w="100" w:type="dxa"/>
            <w:vAlign w:val="bottom"/>
          </w:tcPr>
          <w:p>
            <w:pPr>
              <w:spacing w:after="0"/>
              <w:rPr>
                <w:sz w:val="19"/>
                <w:szCs w:val="19"/>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Life (in</w:t>
            </w:r>
          </w:p>
        </w:tc>
        <w:tc>
          <w:tcPr>
            <w:tcW w:w="1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21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Intangible assets with finite</w:t>
            </w: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lives:</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Marketing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930</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930</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w:t>
            </w:r>
          </w:p>
        </w:tc>
        <w:tc>
          <w:tcPr>
            <w:tcW w:w="1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2.0 - 5.0</w:t>
            </w:r>
          </w:p>
        </w:tc>
        <w:tc>
          <w:tcPr>
            <w:tcW w:w="68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13,229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8,215</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platform</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26,432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24,463</w:t>
            </w:r>
          </w:p>
        </w:tc>
        <w:tc>
          <w:tcPr>
            <w:tcW w:w="1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10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Tradenames</w:t>
            </w:r>
          </w:p>
        </w:tc>
        <w:tc>
          <w:tcPr>
            <w:tcW w:w="1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6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12,228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12,252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4,379</w:t>
            </w:r>
          </w:p>
        </w:tc>
        <w:tc>
          <w:tcPr>
            <w:tcW w:w="10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3.0 - 9.0</w:t>
            </w:r>
          </w:p>
        </w:tc>
        <w:tc>
          <w:tcPr>
            <w:tcW w:w="680" w:type="dxa"/>
            <w:vAlign w:val="bottom"/>
            <w:tcBorders>
              <w:bottom w:val="single" w:sz="8" w:color="CCEEFF"/>
            </w:tcBorders>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54,010</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36,234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54,337</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(16,339)</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37,998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Intangible assets have been allocated to the acquired Hubs entities consisting of intangible assets of €11.6 million in Europe and $16.6 million in the United States as of the date of the acquisition. The Euro denominated intangible assets are translated at the end of each period using the current exchange rates resulting in a foreign currency translation adjustment that is recorded as a component of Other Comprehensive Income. Foreign currency losses related to intangible assets were $1.2 and $0.9 million as of March 31, 2022 and December 31, 2021, respectively. Amortization expense for intangible assets was $1.5 million for each of the three months ended March 31, 2022 and 2021.</w:t>
      </w:r>
    </w:p>
    <w:p>
      <w:pPr>
        <w:spacing w:after="0" w:line="183"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Estimated aggregated amortization expense based on the current carrying value of the amortizable intangible assets and current exchange rates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182880</wp:posOffset>
            </wp:positionV>
            <wp:extent cx="64122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3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Expense</w:t>
            </w: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2022</w:t>
            </w:r>
          </w:p>
        </w:tc>
        <w:tc>
          <w:tcPr>
            <w:tcW w:w="3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4,608</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5,940</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3,770</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3,670</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3,567</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14,679</w:t>
            </w:r>
          </w:p>
        </w:tc>
      </w:tr>
      <w:tr>
        <w:trPr>
          <w:trHeight w:val="250"/>
        </w:trPr>
        <w:tc>
          <w:tcPr>
            <w:tcW w:w="2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estimated amortization expense</w:t>
            </w:r>
          </w:p>
        </w:tc>
        <w:tc>
          <w:tcPr>
            <w:tcW w:w="3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36,234</w:t>
            </w:r>
          </w:p>
        </w:tc>
      </w:tr>
      <w:tr>
        <w:trPr>
          <w:trHeight w:val="196"/>
        </w:trPr>
        <w:tc>
          <w:tcPr>
            <w:tcW w:w="20" w:type="dxa"/>
            <w:vAlign w:val="bottom"/>
          </w:tcPr>
          <w:p>
            <w:pPr>
              <w:spacing w:after="0"/>
              <w:rPr>
                <w:sz w:val="17"/>
                <w:szCs w:val="17"/>
                <w:color w:val="auto"/>
              </w:rPr>
            </w:pPr>
          </w:p>
        </w:tc>
        <w:tc>
          <w:tcPr>
            <w:tcW w:w="5580" w:type="dxa"/>
            <w:vAlign w:val="bottom"/>
            <w:tcBorders>
              <w:top w:val="single" w:sz="8" w:color="CCEEFF"/>
              <w:bottom w:val="single" w:sz="8" w:color="auto"/>
            </w:tcBorders>
          </w:tcPr>
          <w:p>
            <w:pPr>
              <w:spacing w:after="0"/>
              <w:rPr>
                <w:sz w:val="17"/>
                <w:szCs w:val="17"/>
                <w:color w:val="auto"/>
              </w:rPr>
            </w:pPr>
          </w:p>
        </w:tc>
        <w:tc>
          <w:tcPr>
            <w:tcW w:w="290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20"/>
          </w:cols>
          <w:pgMar w:left="320" w:top="121" w:right="259" w:bottom="1440" w:gutter="0" w:footer="0" w:header="0"/>
        </w:sectPr>
      </w:pPr>
    </w:p>
    <w:p>
      <w:pPr>
        <w:spacing w:after="0" w:line="1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Assets Held for Sale</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Assets are classified as held for sale and presented separately on the Consolidated Balance Sheet when all of the following criteria for a plan of sale have been met: (1) management, having the authority to approve the action, commits to a plan to sell the assets; (2) the assets are available for immediate sale, in their present condition, subject only to terms that are usual and customary for sales of such assets; (3) an active program to locate a buyer and other actions required to complete the plan to sell the assets have been initiated; (4) the sale of the assets is probable and is expected to be completed within one year; (5) the assets are being actively marketed for a price that is reasonable in relation to their current fair value; and (6) actions required to complete the plan indicate that it is unlikely that significant changes to the plan will be made or the plan will be withdrawn. The assets are then recorded at the lower of their current carrying value or the fair market value, less costs to sell.</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first quarter of 2022, a facility the Company owns in Maple Plain, Minnesota, encompassing approximately 35,000 square feet of manufacturing and office space, met the criteria to be held for sale. The assets held for sale were $2.0 million as of March 31, 2022 and are presented on the Company's Consolidated Balance Sheet as Long-term assets held for sale. The assets held for sale had no impact on the Company’s Consolidated Statements of Operations during the three months ended March 31, 2022. The Company expects to sell the facility during fiscal 2022.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Fair Value Measurements</w:t>
      </w:r>
    </w:p>
    <w:p>
      <w:pPr>
        <w:spacing w:after="0" w:line="227"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 xml:space="preserve">Accounting Standards Codification, </w:t>
      </w:r>
      <w:r>
        <w:rPr>
          <w:rFonts w:ascii="Times New Roman" w:cs="Times New Roman" w:eastAsia="Times New Roman" w:hAnsi="Times New Roman"/>
          <w:sz w:val="18"/>
          <w:szCs w:val="18"/>
          <w:i w:val="1"/>
          <w:iCs w:val="1"/>
          <w:color w:val="auto"/>
        </w:rPr>
        <w:t>Fair Value Measuremen</w:t>
      </w:r>
      <w:r>
        <w:rPr>
          <w:rFonts w:ascii="Times New Roman" w:cs="Times New Roman" w:eastAsia="Times New Roman" w:hAnsi="Times New Roman"/>
          <w:sz w:val="18"/>
          <w:szCs w:val="18"/>
          <w:color w:val="auto"/>
        </w:rPr>
        <w:t>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that requires classification based on observable and unobservable inputs when measuring fair value. There are three levels of inputs that may be used to measure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w:t>
      </w:r>
      <w:r>
        <w:rPr>
          <w:rFonts w:ascii="Times New Roman" w:cs="Times New Roman" w:eastAsia="Times New Roman" w:hAnsi="Times New Roman"/>
          <w:sz w:val="18"/>
          <w:szCs w:val="18"/>
          <w:color w:val="auto"/>
        </w:rPr>
        <w:t>1—Quoted prices in active markets for identical assets or liabilities.</w:t>
      </w:r>
    </w:p>
    <w:p>
      <w:pPr>
        <w:spacing w:after="0" w:line="225"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w:t>
      </w:r>
      <w:r>
        <w:rPr>
          <w:rFonts w:ascii="Times New Roman" w:cs="Times New Roman" w:eastAsia="Times New Roman" w:hAnsi="Times New Roman"/>
          <w:sz w:val="18"/>
          <w:szCs w:val="18"/>
          <w:color w:val="auto"/>
        </w:rPr>
        <w:t>2—Observable inputs other than Level 1 prices such as quoted prices for similar assets or liabilities; quoted prices in markets that are not active;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inputs that are observable or can be corroborated by observable market data for substantially the full term of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w:t>
      </w:r>
      <w:r>
        <w:rPr>
          <w:rFonts w:ascii="Times New Roman" w:cs="Times New Roman" w:eastAsia="Times New Roman" w:hAnsi="Times New Roman"/>
          <w:sz w:val="18"/>
          <w:szCs w:val="18"/>
          <w:color w:val="auto"/>
        </w:rPr>
        <w:t>3—Unobservable inputs that are supported by little or no market activity and that are significant to the fair value of the assets or liabilities.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assets and liabilities that are required to be measured or disclosed at fair value on a recurring basis include cash and cash equivalents and marketable securities. The Company’s cash consists of bank deposits. The Company’s cash equivalents measured at fair value consist of money market mutual funds. The Company determines the fair value of these investments using Level 1 inputs. The Company's marketable securities consist of short-term and long-term agency, municipal, corporate and other debt securities. Fair value for the corporate debt securities is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financial assets as of March 31, 2022 and December 31, 2021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222885</wp:posOffset>
            </wp:positionV>
            <wp:extent cx="67722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ectPr>
          <w:pgSz w:w="11900" w:h="16838" w:orient="portrait"/>
          <w:cols w:equalWidth="0" w:num="1">
            <w:col w:w="11240"/>
          </w:cols>
          <w:pgMar w:left="320" w:top="121" w:right="339"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Financial Assets: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Money market mutual fund</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Marketable securities</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20" w:type="dxa"/>
            <w:vAlign w:val="bottom"/>
            <w:tcBorders>
              <w:bottom w:val="single" w:sz="8" w:color="auto"/>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407"/>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49,569</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65,637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22,251</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25,859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7,602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18,318</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79,490</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25,859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73,531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18,318</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-2786380</wp:posOffset>
            </wp:positionH>
            <wp:positionV relativeFrom="paragraph">
              <wp:posOffset>-719455</wp:posOffset>
            </wp:positionV>
            <wp:extent cx="677227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-2786380</wp:posOffset>
            </wp:positionH>
            <wp:positionV relativeFrom="paragraph">
              <wp:posOffset>-445135</wp:posOffset>
            </wp:positionV>
            <wp:extent cx="677227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-2786380</wp:posOffset>
            </wp:positionH>
            <wp:positionV relativeFrom="paragraph">
              <wp:posOffset>-162560</wp:posOffset>
            </wp:positionV>
            <wp:extent cx="67722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22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60" w:space="720"/>
            <w:col w:w="6560"/>
          </w:cols>
          <w:pgMar w:left="320" w:top="121" w:right="339" w:bottom="92" w:gutter="0" w:footer="0" w:header="0"/>
          <w:type w:val="continuous"/>
        </w:sect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Marketable Securities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invests in short-term and long-term agency, municipal, corporate and other debt securities. The securities are categorized as available-for-sale and are recorded at fair value. The following table summarizes information regarding the Company’s short-term and long-term marketable securities as of March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191770</wp:posOffset>
            </wp:positionV>
            <wp:extent cx="64122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1000" w:type="dxa"/>
            <w:vAlign w:val="bottom"/>
            <w:gridSpan w:val="2"/>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8"/>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municipal securities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14,889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14,625</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11,964</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17,100</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deposit/time deposits</w:t>
            </w: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1,438</w:t>
            </w: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2,983</w:t>
            </w:r>
          </w:p>
        </w:tc>
      </w:tr>
      <w:tr>
        <w:trPr>
          <w:trHeight w:val="209"/>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48,746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48,110</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92" w:gutter="0" w:footer="0" w:header="0"/>
          <w:type w:val="continuous"/>
        </w:sectPr>
      </w:pP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2"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240030</wp:posOffset>
            </wp:positionV>
            <wp:extent cx="64122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1000" w:type="dxa"/>
            <w:vAlign w:val="bottom"/>
            <w:gridSpan w:val="2"/>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8"/>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municipal securities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12,549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12,479</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9,259</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2,488</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deposit/time deposits</w:t>
            </w: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1,694</w:t>
            </w: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26,039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25,920</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bl>
    <w:p>
      <w:pPr>
        <w:spacing w:after="0" w:line="30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Fair values for the corporate debt securities are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of marketable securities as current or non-current is based upon the security’s maturity date as of the date of these financial statements.</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March 31, 2022 balance of available-for-sale debt securities by contractual maturity is shown in the following table at fair value. Actual maturities may differ from contractual maturities because the issuers of the securities may have the right to prepay obligations without prepayment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182880</wp:posOffset>
            </wp:positionV>
            <wp:extent cx="57092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8"/>
                <w:szCs w:val="18"/>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r>
      <w:tr>
        <w:trPr>
          <w:trHeight w:val="20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19,914</w:t>
            </w:r>
          </w:p>
        </w:tc>
        <w:tc>
          <w:tcPr>
            <w:tcW w:w="20" w:type="dxa"/>
            <w:vAlign w:val="bottom"/>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28,196</w:t>
            </w:r>
          </w:p>
        </w:tc>
        <w:tc>
          <w:tcPr>
            <w:tcW w:w="20" w:type="dxa"/>
            <w:vAlign w:val="bottom"/>
          </w:tcPr>
          <w:p>
            <w:pPr>
              <w:spacing w:after="0"/>
              <w:rPr>
                <w:sz w:val="18"/>
                <w:szCs w:val="18"/>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48,110</w:t>
            </w:r>
          </w:p>
        </w:tc>
        <w:tc>
          <w:tcPr>
            <w:tcW w:w="20" w:type="dxa"/>
            <w:vAlign w:val="bottom"/>
          </w:tcPr>
          <w:p>
            <w:pPr>
              <w:spacing w:after="0"/>
              <w:rPr>
                <w:sz w:val="21"/>
                <w:szCs w:val="21"/>
                <w:color w:val="auto"/>
              </w:rPr>
            </w:pPr>
          </w:p>
        </w:tc>
      </w:tr>
      <w:tr>
        <w:trPr>
          <w:trHeight w:val="196"/>
        </w:trPr>
        <w:tc>
          <w:tcPr>
            <w:tcW w:w="7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Inventory</w:t>
      </w:r>
    </w:p>
    <w:p>
      <w:pPr>
        <w:spacing w:after="0" w:line="229"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Inventory consists primarily of raw materials, which are recorded at the lower of cost and net realizable value using the standard cost method, which approximates first-in, first-out (FIFO) cost. The Company periodically reviews its inventory for slow-moving, damaged and discontinued items and provides allowances to reduce such items identified to their recoverable amounts.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inventory consisted of the following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222885</wp:posOffset>
            </wp:positionV>
            <wp:extent cx="57092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1120" w:type="dxa"/>
            <w:vAlign w:val="bottom"/>
          </w:tcPr>
          <w:p>
            <w:pPr>
              <w:spacing w:after="0"/>
              <w:rPr>
                <w:sz w:val="20"/>
                <w:szCs w:val="20"/>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3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13,474</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obsolescence</w:t>
            </w:r>
          </w:p>
        </w:tc>
        <w:tc>
          <w:tcPr>
            <w:tcW w:w="3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20" w:type="dxa"/>
            <w:vAlign w:val="bottom"/>
          </w:tcPr>
          <w:p>
            <w:pPr>
              <w:spacing w:after="0"/>
              <w:rPr>
                <w:sz w:val="21"/>
                <w:szCs w:val="21"/>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net of allowance</w:t>
            </w:r>
          </w:p>
        </w:tc>
        <w:tc>
          <w:tcPr>
            <w:tcW w:w="3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14,227</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196"/>
        </w:trPr>
        <w:tc>
          <w:tcPr>
            <w:tcW w:w="1120" w:type="dxa"/>
            <w:vAlign w:val="bottom"/>
          </w:tcPr>
          <w:p>
            <w:pPr>
              <w:spacing w:after="0"/>
              <w:rPr>
                <w:sz w:val="17"/>
                <w:szCs w:val="17"/>
                <w:color w:val="auto"/>
              </w:rPr>
            </w:pPr>
          </w:p>
        </w:tc>
        <w:tc>
          <w:tcPr>
            <w:tcW w:w="3220" w:type="dxa"/>
            <w:vAlign w:val="bottom"/>
            <w:tcBorders>
              <w:top w:val="single" w:sz="8" w:color="CCEEFF"/>
              <w:bottom w:val="single" w:sz="8" w:color="auto"/>
            </w:tcBorders>
          </w:tcPr>
          <w:p>
            <w:pPr>
              <w:spacing w:after="0"/>
              <w:rPr>
                <w:sz w:val="17"/>
                <w:szCs w:val="17"/>
                <w:color w:val="auto"/>
              </w:rPr>
            </w:pPr>
          </w:p>
        </w:tc>
        <w:tc>
          <w:tcPr>
            <w:tcW w:w="320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20" w:type="dxa"/>
            <w:vAlign w:val="bottom"/>
          </w:tcPr>
          <w:p>
            <w:pPr>
              <w:spacing w:after="0"/>
              <w:rPr>
                <w:sz w:val="17"/>
                <w:szCs w:val="17"/>
                <w:color w:val="auto"/>
              </w:rPr>
            </w:pPr>
          </w:p>
        </w:tc>
      </w:tr>
      <w:tr>
        <w:trPr>
          <w:trHeight w:val="534"/>
        </w:trPr>
        <w:tc>
          <w:tcPr>
            <w:tcW w:w="1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20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Under the Company’s 2012 Long-Term Incentive Plan, as amended (the 2012 Plan), the Company has the ability to grant stock options, stock appreciation rights (SARs), restricted stock, restricted stock units, other stock-based awards and cash incentive awards. Awards under the 2012 Plan have a maximum term of ten years from the date of grant. The compensation committee may provide that the vesting or payment of any award will be subject to the attainment of specified performance measures in addition to the satisfaction of any continued service requirements and the compensation committee will determine whether such measures have been achieved. The per-share exercise price of stock options and SARs granted under the 2012 Plan generally may not be less than the fair market value of a share of our common stock on the date of the grant.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2012 Employee Stock Purchase Plan (ESPP) allows eligible employees to purchase a variable number of shares of the Company’s common stock each offering period at a discount through payroll deductions of up to 15 percent of their eligible compensation, subject to plan limitations. The ESPP provides for six-month offering periods with a single purchase period ending May 15 and November 15, respectively. At the end of each offering period, employees are able to purchase shares at 85 percent of the lower of the fair market value of the Company’s common stock on the first trading day of the offering period or on the last trading day of the offering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$4.4 million and $5.6 million for the three months ended March 31, 2022 and 2021,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154305</wp:posOffset>
            </wp:positionV>
            <wp:extent cx="67722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8"/>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2021</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233,384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97.78</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52,992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59.40</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30.58</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86.55</w:t>
            </w:r>
          </w:p>
        </w:tc>
      </w:tr>
      <w:tr>
        <w:trPr>
          <w:trHeight w:val="250"/>
        </w:trPr>
        <w:tc>
          <w:tcPr>
            <w:tcW w:w="2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March 31, 2022</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264,888</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91.06</w:t>
            </w:r>
          </w:p>
        </w:tc>
      </w:tr>
      <w:tr>
        <w:trPr>
          <w:trHeight w:val="196"/>
        </w:trPr>
        <w:tc>
          <w:tcPr>
            <w:tcW w:w="7380" w:type="dxa"/>
            <w:vAlign w:val="bottom"/>
            <w:gridSpan w:val="2"/>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March 31, 2022</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126,595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87.42</w:t>
            </w:r>
          </w:p>
        </w:tc>
      </w:tr>
      <w:tr>
        <w:trPr>
          <w:trHeight w:val="196"/>
        </w:trPr>
        <w:tc>
          <w:tcPr>
            <w:tcW w:w="20" w:type="dxa"/>
            <w:vAlign w:val="bottom"/>
          </w:tcPr>
          <w:p>
            <w:pPr>
              <w:spacing w:after="0"/>
              <w:rPr>
                <w:sz w:val="17"/>
                <w:szCs w:val="17"/>
                <w:color w:val="auto"/>
              </w:rPr>
            </w:pPr>
          </w:p>
        </w:tc>
        <w:tc>
          <w:tcPr>
            <w:tcW w:w="7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bl>
    <w:p>
      <w:pPr>
        <w:spacing w:after="0" w:line="19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outstanding options generally have a term of ten years. For employees, options granted become exercisable ratably over the vesting period, which is generally a period of four to five years, beginning on the first anniversary of the grant date, subject to the employee’s continuing service to the Company. For the board of directors, options generally become exercisable in full on the first anniversary of the grant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 date fair value of options that were granted during the three months ended March 31, 2022 was $27.84.</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assumptions used in the Black-Scholes pricing model valuation of options during the 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114300</wp:posOffset>
            </wp:positionV>
            <wp:extent cx="64122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367"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312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1.94%</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0.80% - 0.96%</w:t>
            </w: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45.95%</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45.28 - 45.35%</w:t>
            </w:r>
          </w:p>
        </w:tc>
      </w:tr>
      <w:tr>
        <w:trPr>
          <w:trHeight w:val="234"/>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125730</wp:posOffset>
            </wp:positionV>
            <wp:extent cx="64122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3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March 31, 2022, there was $4.9 million of unrecognized compensation expense related to unvested stock options, which is expected to be recognized over a weighted-average period of 2.9 years.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Restricted stock awards are share-settled awards and restrictions lapse ratably over the vesting period, which is generally a period from three to five years, beginning on the first anniversary of the grant date, subject to the employee's continuing service to the Company. For the board of directors, restrictions generally lapse in full on the first anniversary of the grant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activity during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154305</wp:posOffset>
            </wp:positionV>
            <wp:extent cx="67722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Restricted stock at December 31, 2021</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Restrictions lapsed</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Forfeited</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Restricted stock at March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16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191"/>
        </w:trPr>
        <w:tc>
          <w:tcPr>
            <w:tcW w:w="16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343,782</w:t>
            </w:r>
          </w:p>
        </w:tc>
        <w:tc>
          <w:tcPr>
            <w:tcW w:w="120" w:type="dxa"/>
            <w:vAlign w:val="bottom"/>
          </w:tcPr>
          <w:p>
            <w:pPr>
              <w:spacing w:after="0"/>
              <w:rPr>
                <w:sz w:val="16"/>
                <w:szCs w:val="16"/>
                <w:color w:val="auto"/>
              </w:rPr>
            </w:pPr>
          </w:p>
        </w:tc>
        <w:tc>
          <w:tcPr>
            <w:tcW w:w="200" w:type="dxa"/>
            <w:vAlign w:val="bottom"/>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111.79</w:t>
            </w:r>
          </w:p>
        </w:tc>
      </w:tr>
      <w:tr>
        <w:trPr>
          <w:trHeight w:val="216"/>
        </w:trPr>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59.40</w:t>
            </w:r>
          </w:p>
        </w:tc>
      </w:tr>
      <w:tr>
        <w:trPr>
          <w:trHeight w:val="216"/>
        </w:trPr>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123.15</w:t>
            </w:r>
          </w:p>
        </w:tc>
      </w:tr>
      <w:tr>
        <w:trPr>
          <w:trHeight w:val="234"/>
        </w:trPr>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109.73</w:t>
            </w:r>
          </w:p>
        </w:tc>
      </w:tr>
      <w:tr>
        <w:trPr>
          <w:trHeight w:val="209"/>
        </w:trPr>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342,289</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103.84</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-719455</wp:posOffset>
            </wp:positionV>
            <wp:extent cx="677227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-445135</wp:posOffset>
            </wp:positionV>
            <wp:extent cx="677227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-162560</wp:posOffset>
            </wp:positionV>
            <wp:extent cx="6772275"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72275" cy="163195"/>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137160</wp:posOffset>
            </wp:positionV>
            <wp:extent cx="67722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460"/>
          </w:cols>
          <w:pgMar w:left="320" w:top="121" w:right="459" w:bottom="1440" w:gutter="0" w:footer="0" w:header="0"/>
          <w:type w:val="continuous"/>
        </w:sectPr>
      </w:pPr>
    </w:p>
    <w:p>
      <w:pPr>
        <w:spacing w:after="0" w:line="22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March 31, 2022, there was $23.7 million of unrecognized compensation expense related to non-vested restricted stock, which is expected to be recognized over a weighted-average period of 2.5 years.</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Performance stock units (PSUs) are expressed in terms of a target number of PSUs, with anywhere between 0 percent and 200 percent of that target number capable of being earned and vesting at the end of a three-year performance period depending on the Company’s performance in the final year of the performance period and the award recipient’s continued employment. The Company’s PSUs granted from 2017 to 2019 and certain PSUs granted in 2021 are based on performance conditions and the related compensation cost is based on the probability that the performance conditions will be achieved. The Company’s PSUs granted in 2020 and 2022 and certain PSUs granted in 2021 are based on market conditions and the related compensation cost is based on the fair value at grant date calculated using a Monte Carlo pricing model.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performance stock activity during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154305</wp:posOffset>
            </wp:positionV>
            <wp:extent cx="67722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29"/>
        </w:trPr>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stock at December 31, 2021</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16,839</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115.56</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100.33</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Restrictions lapsed</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Performance change</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stock at March 31, 2022</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49,459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105.52</w:t>
            </w: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bl>
    <w:p>
      <w:pPr>
        <w:spacing w:after="0" w:line="198" w:lineRule="exact"/>
        <w:rPr>
          <w:sz w:val="20"/>
          <w:szCs w:val="20"/>
          <w:color w:val="auto"/>
        </w:rPr>
      </w:pPr>
    </w:p>
    <w:p>
      <w:pPr>
        <w:jc w:val="both"/>
        <w:ind w:left="140" w:right="380" w:hanging="161"/>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assumptions used in the Monte Carlo pricing model valuation of PSUs during the 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182880</wp:posOffset>
            </wp:positionV>
            <wp:extent cx="67722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330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1.76%</w:t>
            </w:r>
          </w:p>
        </w:tc>
        <w:tc>
          <w:tcPr>
            <w:tcW w:w="1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0.22%</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2.87</w:t>
            </w:r>
          </w:p>
        </w:tc>
        <w:tc>
          <w:tcPr>
            <w:tcW w:w="1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2.87</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53.50%</w:t>
            </w:r>
          </w:p>
        </w:tc>
        <w:tc>
          <w:tcPr>
            <w:tcW w:w="1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51.40%</w:t>
            </w: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7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125730</wp:posOffset>
            </wp:positionV>
            <wp:extent cx="67722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3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March 31, 2022, there was $3.8 million of unrecognized compensation expense related to non-vested performance stock, which is expected to be recognized over a weighted-average period of 2.7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assumptions used to estimate the fair value of the ESPP during the 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154305</wp:posOffset>
            </wp:positionV>
            <wp:extent cx="67722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30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6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480" w:type="dxa"/>
            <w:vAlign w:val="bottom"/>
            <w:gridSpan w:val="2"/>
            <w:shd w:val="clear" w:color="auto" w:fill="CCEEFF"/>
          </w:tcPr>
          <w:p>
            <w:pPr>
              <w:jc w:val="center"/>
              <w:ind w:left="3810"/>
              <w:spacing w:after="0"/>
              <w:rPr>
                <w:sz w:val="20"/>
                <w:szCs w:val="20"/>
                <w:color w:val="auto"/>
              </w:rPr>
            </w:pPr>
            <w:r>
              <w:rPr>
                <w:rFonts w:ascii="Times New Roman" w:cs="Times New Roman" w:eastAsia="Times New Roman" w:hAnsi="Times New Roman"/>
                <w:sz w:val="18"/>
                <w:szCs w:val="18"/>
                <w:color w:val="auto"/>
                <w:w w:val="98"/>
              </w:rPr>
              <w:t>0.17%</w:t>
            </w:r>
          </w:p>
        </w:tc>
        <w:tc>
          <w:tcPr>
            <w:tcW w:w="1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0.12%</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(months)</w:t>
            </w:r>
          </w:p>
        </w:tc>
        <w:tc>
          <w:tcPr>
            <w:tcW w:w="5480" w:type="dxa"/>
            <w:vAlign w:val="bottom"/>
            <w:gridSpan w:val="2"/>
          </w:tcPr>
          <w:p>
            <w:pPr>
              <w:jc w:val="center"/>
              <w:ind w:left="3790"/>
              <w:spacing w:after="0"/>
              <w:rPr>
                <w:sz w:val="20"/>
                <w:szCs w:val="20"/>
                <w:color w:val="auto"/>
              </w:rPr>
            </w:pPr>
            <w:r>
              <w:rPr>
                <w:rFonts w:ascii="Times New Roman" w:cs="Times New Roman" w:eastAsia="Times New Roman" w:hAnsi="Times New Roman"/>
                <w:sz w:val="18"/>
                <w:szCs w:val="18"/>
                <w:color w:val="auto"/>
              </w:rPr>
              <w:t>6.00</w:t>
            </w:r>
          </w:p>
        </w:tc>
        <w:tc>
          <w:tcPr>
            <w:tcW w:w="1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6.00</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480" w:type="dxa"/>
            <w:vAlign w:val="bottom"/>
            <w:gridSpan w:val="2"/>
            <w:shd w:val="clear" w:color="auto" w:fill="CCEEFF"/>
          </w:tcPr>
          <w:p>
            <w:pPr>
              <w:jc w:val="center"/>
              <w:ind w:left="3790"/>
              <w:spacing w:after="0"/>
              <w:rPr>
                <w:sz w:val="20"/>
                <w:szCs w:val="20"/>
                <w:color w:val="auto"/>
              </w:rPr>
            </w:pPr>
            <w:r>
              <w:rPr>
                <w:rFonts w:ascii="Times New Roman" w:cs="Times New Roman" w:eastAsia="Times New Roman" w:hAnsi="Times New Roman"/>
                <w:sz w:val="18"/>
                <w:szCs w:val="18"/>
                <w:color w:val="auto"/>
              </w:rPr>
              <w:t>53.44%</w:t>
            </w:r>
          </w:p>
        </w:tc>
        <w:tc>
          <w:tcPr>
            <w:tcW w:w="1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50.85%</w:t>
            </w:r>
          </w:p>
        </w:tc>
        <w:tc>
          <w:tcPr>
            <w:tcW w:w="28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480" w:type="dxa"/>
            <w:vAlign w:val="bottom"/>
            <w:gridSpan w:val="2"/>
          </w:tcPr>
          <w:p>
            <w:pPr>
              <w:jc w:val="center"/>
              <w:ind w:left="3790"/>
              <w:spacing w:after="0"/>
              <w:rPr>
                <w:sz w:val="20"/>
                <w:szCs w:val="20"/>
                <w:color w:val="auto"/>
              </w:rPr>
            </w:pPr>
            <w:r>
              <w:rPr>
                <w:rFonts w:ascii="Times New Roman" w:cs="Times New Roman" w:eastAsia="Times New Roman" w:hAnsi="Times New Roman"/>
                <w:sz w:val="18"/>
                <w:szCs w:val="18"/>
                <w:color w:val="auto"/>
                <w:w w:val="99"/>
              </w:rPr>
              <w:t>0%</w:t>
            </w:r>
          </w:p>
        </w:tc>
        <w:tc>
          <w:tcPr>
            <w:tcW w:w="17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w:t>
            </w:r>
          </w:p>
        </w:tc>
        <w:tc>
          <w:tcPr>
            <w:tcW w:w="280" w:type="dxa"/>
            <w:vAlign w:val="bottom"/>
          </w:tcPr>
          <w:p>
            <w:pPr>
              <w:spacing w:after="0"/>
              <w:rPr>
                <w:sz w:val="20"/>
                <w:szCs w:val="20"/>
                <w:color w:val="auto"/>
              </w:rPr>
            </w:pPr>
          </w:p>
        </w:tc>
      </w:tr>
      <w:tr>
        <w:trPr>
          <w:trHeight w:val="198"/>
        </w:trPr>
        <w:tc>
          <w:tcPr>
            <w:tcW w:w="300" w:type="dxa"/>
            <w:vAlign w:val="bottom"/>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425"/>
        </w:trPr>
        <w:tc>
          <w:tcPr>
            <w:tcW w:w="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8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13</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 Accumulated Other Comprehensive Income (Loss)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Other comprehensive income (loss) is comprised of foreign currency translation adjustments and net unrealized gains (losses) on investments in securities. The following table presents the changes in accumulated other comprehensive income (loss) balances during the 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340" w:right="2200"/>
        <w:spacing w:after="0" w:line="281" w:lineRule="auto"/>
        <w:rPr>
          <w:sz w:val="20"/>
          <w:szCs w:val="20"/>
          <w:color w:val="auto"/>
        </w:rPr>
      </w:pPr>
      <w:r>
        <w:rPr>
          <w:rFonts w:ascii="Times New Roman" w:cs="Times New Roman" w:eastAsia="Times New Roman" w:hAnsi="Times New Roman"/>
          <w:sz w:val="17"/>
          <w:szCs w:val="17"/>
          <w:color w:val="auto"/>
        </w:rPr>
        <w:t>Other comprehensive income (loss) before reclassifications Amounts reclassified from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unrealized gains (losses) on investments in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340" w:right="2200"/>
        <w:spacing w:after="0" w:line="281" w:lineRule="auto"/>
        <w:rPr>
          <w:sz w:val="20"/>
          <w:szCs w:val="20"/>
          <w:color w:val="auto"/>
        </w:rPr>
      </w:pPr>
      <w:r>
        <w:rPr>
          <w:rFonts w:ascii="Times New Roman" w:cs="Times New Roman" w:eastAsia="Times New Roman" w:hAnsi="Times New Roman"/>
          <w:sz w:val="17"/>
          <w:szCs w:val="17"/>
          <w:color w:val="auto"/>
        </w:rPr>
        <w:t>Other comprehensive income (loss) before reclassifications Amounts reclassified from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425"/>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(16,817)</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r>
      <w:tr>
        <w:trPr>
          <w:trHeight w:val="427"/>
        </w:trPr>
        <w:tc>
          <w:tcPr>
            <w:tcW w:w="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r>
      <w:tr>
        <w:trPr>
          <w:trHeight w:val="234"/>
        </w:trPr>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(6,842)</w:t>
            </w:r>
          </w:p>
        </w:tc>
      </w:tr>
      <w:tr>
        <w:trPr>
          <w:trHeight w:val="421"/>
        </w:trPr>
        <w:tc>
          <w:tcPr>
            <w:tcW w:w="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r>
      <w:tr>
        <w:trPr>
          <w:trHeight w:val="234"/>
        </w:trPr>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r>
      <w:tr>
        <w:trPr>
          <w:trHeight w:val="209"/>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(10,096)</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 in multiple jurisdictions and the use of estimates is required to determine the provision for income taxes. For the three months ended March 31, 2022 and 2021, the Company recorded an income tax provision of $2.5 million and $0.2 million, respectively. The income tax provision is based on the estimated annual effective tax rate for the year applied to pre-tax income. The effective income tax rate for the three months ended March 31, 2022 was 32.9 percent compared to 6.0 percent in the same period of the prior year. The effective tax rate increased by 26.9 percent for the three months ended March 31, 2022 when compared to the same period in 2021, primarily due to a decrease in tax benefits from the vesting of restricted stock and the exercise of stock options.</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the three months ended March 31, 2022 differs from the U.S. federal statutory rate of 21.0 percent due to various factors, including operating in multiple state and foreign jurisdictions and tax credits for which the Company qualifies.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had unrecognized tax benefits totaling $4.6 million as of March 31, 2022 and $4.4 million as of December 31, 2021, respectively, that if recognized would result in a reduction of the Company’s effective tax rate. The liabilities are classified as other long-term liabilities in the accompanying consolidated balance sheets. The Company recognizes interest and penalties related to income tax matters in income tax expense and reports the liability in current or long-term income taxes payable as appropriate.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 Reporting</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Company’s reportable segments are based on the internal reporting used by the Company’s Chief Executive Officer, who is the chief operating decision maker (CODM), to assess operating performance and make decisions about the allocation of resources. The Corporate Unallocated and Japan category includes non-reportable segments, as well as research and development and general and administrative costs that the Company does not allocate directly to its operating segments.</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Intercompany transactions primarily relate to intercontinental activity and have been eliminated and are excluded from the reported amounts. The difference between income from operations and pre-tax income relates to foreign currency-related gains and losses and interest income on cash balances and investments, which are not allocated to business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Revenue and income from operations by reportable segment for the three months ended March 31, 2022 and 2021 were as follows: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auto"/>
            </w:tcBorders>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95,496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91,053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21,449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4,086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3,624</w:t>
            </w:r>
          </w:p>
        </w:tc>
      </w:tr>
      <w:tr>
        <w:trPr>
          <w:trHeight w:val="249"/>
        </w:trPr>
        <w:tc>
          <w:tcPr>
            <w:tcW w:w="300" w:type="dxa"/>
            <w:vAlign w:val="bottom"/>
            <w:shd w:val="clear" w:color="auto" w:fill="CCEEFF"/>
          </w:tcPr>
          <w:p>
            <w:pPr>
              <w:spacing w:after="0"/>
              <w:rPr>
                <w:sz w:val="21"/>
                <w:szCs w:val="21"/>
                <w:color w:val="auto"/>
              </w:rPr>
            </w:pPr>
          </w:p>
        </w:tc>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124,168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116,126</w:t>
            </w:r>
          </w:p>
        </w:tc>
      </w:tr>
      <w:tr>
        <w:trPr>
          <w:trHeight w:val="251"/>
        </w:trPr>
        <w:tc>
          <w:tcPr>
            <w:tcW w:w="300" w:type="dxa"/>
            <w:vAlign w:val="bottom"/>
            <w:tcBorders>
              <w:top w:val="single" w:sz="8" w:color="CCEEFF"/>
              <w:bottom w:val="single" w:sz="8" w:color="auto"/>
            </w:tcBorders>
          </w:tcPr>
          <w:p>
            <w:pPr>
              <w:spacing w:after="0"/>
              <w:rPr>
                <w:sz w:val="21"/>
                <w:szCs w:val="21"/>
                <w:color w:val="auto"/>
              </w:rPr>
            </w:pPr>
          </w:p>
        </w:tc>
        <w:tc>
          <w:tcPr>
            <w:tcW w:w="7700" w:type="dxa"/>
            <w:vAlign w:val="bottom"/>
            <w:tcBorders>
              <w:top w:val="single" w:sz="8" w:color="CCEEFF"/>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r>
      <w:tr>
        <w:trPr>
          <w:trHeight w:val="263"/>
        </w:trPr>
        <w:tc>
          <w:tcPr>
            <w:tcW w:w="300" w:type="dxa"/>
            <w:vAlign w:val="bottom"/>
          </w:tcPr>
          <w:p>
            <w:pPr>
              <w:spacing w:after="0"/>
              <w:rPr>
                <w:sz w:val="22"/>
                <w:szCs w:val="22"/>
                <w:color w:val="auto"/>
              </w:rPr>
            </w:pPr>
          </w:p>
        </w:tc>
        <w:tc>
          <w:tcPr>
            <w:tcW w:w="77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68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 thousands)</w:t>
            </w:r>
          </w:p>
        </w:tc>
        <w:tc>
          <w:tcPr>
            <w:tcW w:w="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30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22,524</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22,503</w:t>
            </w:r>
          </w:p>
        </w:tc>
      </w:tr>
      <w:tr>
        <w:trPr>
          <w:trHeight w:val="216"/>
        </w:trPr>
        <w:tc>
          <w:tcPr>
            <w:tcW w:w="30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r>
      <w:tr>
        <w:trPr>
          <w:trHeight w:val="216"/>
        </w:trPr>
        <w:tc>
          <w:tcPr>
            <w:tcW w:w="30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Corporate Unallocated and Japan</w:t>
            </w:r>
          </w:p>
        </w:tc>
        <w:tc>
          <w:tcPr>
            <w:tcW w:w="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(16,871)</w:t>
            </w:r>
          </w:p>
        </w:tc>
      </w:tr>
      <w:tr>
        <w:trPr>
          <w:trHeight w:val="250"/>
        </w:trPr>
        <w:tc>
          <w:tcPr>
            <w:tcW w:w="300" w:type="dxa"/>
            <w:vAlign w:val="bottom"/>
          </w:tcPr>
          <w:p>
            <w:pPr>
              <w:spacing w:after="0"/>
              <w:rPr>
                <w:sz w:val="21"/>
                <w:szCs w:val="21"/>
                <w:color w:val="auto"/>
              </w:rPr>
            </w:pPr>
          </w:p>
        </w:tc>
        <w:tc>
          <w:tcPr>
            <w:tcW w:w="6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Income from Operations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7,890</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4,261</w:t>
            </w:r>
          </w:p>
        </w:tc>
      </w:tr>
      <w:tr>
        <w:trPr>
          <w:trHeight w:val="197"/>
        </w:trPr>
        <w:tc>
          <w:tcPr>
            <w:tcW w:w="300" w:type="dxa"/>
            <w:vAlign w:val="bottom"/>
          </w:tcPr>
          <w:p>
            <w:pPr>
              <w:spacing w:after="0"/>
              <w:rPr>
                <w:sz w:val="17"/>
                <w:szCs w:val="17"/>
                <w:color w:val="auto"/>
              </w:rPr>
            </w:pPr>
          </w:p>
        </w:tc>
        <w:tc>
          <w:tcPr>
            <w:tcW w:w="6540" w:type="dxa"/>
            <w:vAlign w:val="bottom"/>
            <w:tcBorders>
              <w:top w:val="single" w:sz="8" w:color="CCEEFF"/>
              <w:bottom w:val="single" w:sz="8" w:color="auto"/>
            </w:tcBorders>
          </w:tcPr>
          <w:p>
            <w:pPr>
              <w:spacing w:after="0"/>
              <w:rPr>
                <w:sz w:val="17"/>
                <w:szCs w:val="17"/>
                <w:color w:val="auto"/>
              </w:rPr>
            </w:pPr>
          </w:p>
        </w:tc>
        <w:tc>
          <w:tcPr>
            <w:tcW w:w="82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r>
      <w:tr>
        <w:trPr>
          <w:trHeight w:val="425"/>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long-lived assets at March 31, 2022 and December 31, 2021 were as follows: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137160</wp:posOffset>
            </wp:positionV>
            <wp:extent cx="57092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092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r>
      <w:tr>
        <w:trPr>
          <w:trHeight w:val="238"/>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r>
      <w:tr>
        <w:trPr>
          <w:trHeight w:val="20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209,416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215,701</w:t>
            </w:r>
          </w:p>
        </w:tc>
        <w:tc>
          <w:tcPr>
            <w:tcW w:w="20" w:type="dxa"/>
            <w:vAlign w:val="bottom"/>
          </w:tcPr>
          <w:p>
            <w:pPr>
              <w:spacing w:after="0"/>
              <w:rPr>
                <w:sz w:val="18"/>
                <w:szCs w:val="18"/>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59,388</w:t>
            </w:r>
          </w:p>
        </w:tc>
        <w:tc>
          <w:tcPr>
            <w:tcW w:w="20" w:type="dxa"/>
            <w:vAlign w:val="bottom"/>
          </w:tcPr>
          <w:p>
            <w:pPr>
              <w:spacing w:after="0"/>
              <w:rPr>
                <w:sz w:val="18"/>
                <w:szCs w:val="18"/>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20" w:type="dxa"/>
            <w:vAlign w:val="bottom"/>
          </w:tcPr>
          <w:p>
            <w:pPr>
              <w:spacing w:after="0"/>
              <w:rPr>
                <w:sz w:val="18"/>
                <w:szCs w:val="18"/>
                <w:color w:val="auto"/>
              </w:rPr>
            </w:pPr>
          </w:p>
        </w:tc>
      </w:tr>
      <w:tr>
        <w:trPr>
          <w:trHeight w:val="250"/>
        </w:trPr>
        <w:tc>
          <w:tcPr>
            <w:tcW w:w="5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Long-lived Assets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270,946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280,346</w:t>
            </w:r>
          </w:p>
        </w:tc>
        <w:tc>
          <w:tcPr>
            <w:tcW w:w="20" w:type="dxa"/>
            <w:vAlign w:val="bottom"/>
          </w:tcPr>
          <w:p>
            <w:pPr>
              <w:spacing w:after="0"/>
              <w:rPr>
                <w:sz w:val="21"/>
                <w:szCs w:val="21"/>
                <w:color w:val="auto"/>
              </w:rPr>
            </w:pPr>
          </w:p>
        </w:tc>
      </w:tr>
      <w:tr>
        <w:trPr>
          <w:trHeight w:val="197"/>
        </w:trPr>
        <w:tc>
          <w:tcPr>
            <w:tcW w:w="570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product line for the three months ended March 31, 2022 and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Injection Molding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53,398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56,359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CNC Machining</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36,703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3D Printing</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17,235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Sheet Metal</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610</w:t>
            </w:r>
          </w:p>
        </w:tc>
      </w:tr>
      <w:tr>
        <w:trPr>
          <w:trHeight w:val="2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124,168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116,126</w:t>
            </w:r>
          </w:p>
        </w:tc>
      </w:tr>
      <w:tr>
        <w:trPr>
          <w:trHeight w:val="250"/>
        </w:trPr>
        <w:tc>
          <w:tcPr>
            <w:tcW w:w="8000" w:type="dxa"/>
            <w:vAlign w:val="bottom"/>
            <w:tcBorders>
              <w:top w:val="single" w:sz="8" w:color="CCEEFF"/>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our Annual Report on Form 10-K for the year ended December 31,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Statements contained in this report regarding matters that are not historical or current facts are “forward-looking statements” within the meaning of The Private Securities Litigation Reform Act of 1995.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known and unknown risks, uncertainties and other factors that may cause our results to be materially different than those expressed or implied in such statements. Certain of these risk factors and others are described in Item 1A. “Risk Factors” of this Form 10-Q, as well as our most recent Annual Report on Form 10-K as filed with the Securities and Exchange Commission (SEC). Other unknown or unpredictable factors also could have material adverse effects on our future results. We cannot guarantee future results, levels of activity, performance or achievements. Accordingly, you should not place undue reliance on these forward-looking statements. Finally, we expressly disclaim any intent or obligation to update any forward-looking statements to reflect subsequent events or circumstances.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one of the world’s largest and fastest digital manufacturer of custom prototypes and on-demand production parts. Our mission is to empower companies to bring new ideas to market by offering the fastest and most comprehensive digital manufacturing service in the world. Our automated quoting and manufacturing systems allow us to produce commercial-grade plastic, metal, and liquid silicone rubber parts in as fast as one day. We manufacture prototype and low volume production parts for companies worldwide, who are under increasing pressure to bring their finished products to market faster than their competition. We utilize injection molding, computer numerical control (CNC) machining, 3D printing and sheet metal fabrication to manufacture custom parts for our customers. For most of our offerings, our proprietary technology eliminates most of the time-consuming and expensive skilled labor conventionally required to quote and manufacture parts. Our customers conduct nearly all of their business with us over the Internet. We target our products to the millions of product developers and engineers who use three-dimensional computer-aided design (3D CAD) software to design products across a diverse range of end-markets. In addition, we serve procurement and supply chain professionals seeking to manufacture custom parts on-demand. Through the acquisition of Hubs (formerly 3D Hubs, Inc.) (Hubs) in 2021, we are able to provide our customers access to a global network of premium manufacturing partners who reside across North America, Europe and Asia, complementing our in-house manufacturing. We believe our use of advanced technology enables us to offer significant advantages at competitive prices to many customers and is the primary reason we have become a leading supplier of custom parts.</w:t>
      </w:r>
    </w:p>
    <w:p>
      <w:pPr>
        <w:spacing w:after="0" w:line="18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primary manufacturing product lines currently include Injection Molding, CNC Machining, 3D Printing and Sheet Metal. We continually seek to expand the range of sizes and geometric complexity of the parts we can make with these processes, to extend the variety of materials we are able to support, and to identify additional manufacturing processes to which we can apply our technology in order to better serve the evolving preferences and needs of product developers and engineers. In 2021, we augmented our internal manufacturing operations through our acquisition of Hubs to expand the envelope of custom parts we can provide to our customers through a network of premium manufacturing partners in each of our product lines.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Injection Molding</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Injection Molding product line uses our 3D CAD-to-CNC machining technology for the automated design and manufacture of molds, which are then used to produce custom plastic and liquid silicone rubber injection-molded parts and over-molded and insert-molded injection-molded parts on commercially available equipment. Our Injection Molding product line works best for on-demand production, bridge tooling, pilot runs and functional prototyping. Our affordable molds and quick turnaround times help reduce design risk and limit overall production costs for product developers and engineers. Because we retain possession of the molds, customers who need short-run production often come back to Proto Labs’ Injection Molding product line for additional quantities. They do so to support pilot production for product testing, while their tooling for high-volume production is being prepared, because they need on-demand manufacturing due to disruptions in their manufacturing process, because their product requires limited annual quantity or because they need end-of-life production support. In 2017, we launched an on-demand manufacturing injection molding service. This service utilizes our existing processes, but is designed to fulfill the needs of customers with on-going production needs.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CNC Machining</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CNC Machining product line uses commercially available CNC machines to offer milling and turning. CNC milling is a manufacturing process that cuts plastic and metal blocks into one or more custom parts based on the 3D CAD model uploaded by the customer. CNC turning is a subtractive manufacturing process that rotates a metal rod while a cutting tool is used to remove material and create final parts. Quick-turn CNC machining works best for prototyping, form and fit testing, jigs and fixtures and functional components for end-use applications.</w:t>
      </w:r>
    </w:p>
    <w:p>
      <w:pPr>
        <w:sectPr>
          <w:pgSz w:w="11900" w:h="16838" w:orient="portrait"/>
          <w:cols w:equalWidth="0" w:num="1">
            <w:col w:w="11220"/>
          </w:cols>
          <w:pgMar w:left="320" w:top="121" w:right="359" w:bottom="1440"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3D Printing</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Industrial 3D Printing product line includes SL, SLS, DMLS, MJF, PolyJet, Carbon DLS and fused deposition modeling (FDM) processes, which offers customers a wide-variety of high-quality, precision rapid prototyping and low volume production. These processes create parts with a high level of accuracy, detail, strength and durability. Industrial 3D Printing is best suited for functional prototypes, complex designs and end-use applications.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Sheet Metal</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Sheet Metal product line includes quick-turn and e-commerce-enabled custom sheet metal parts, providing customers with prototype and low-volume production parts. The rapid prototype sheet metal process is most often used when form, fit and function are all a priority. Our manufacturing process uses customer 3D CAD models uploaded by the customer to fabricate rapid prototyping sheet metal or end-use production parts and assemblies.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 and Trends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operations are comprised of three geographic operating segments in the United States, Europe and Japan. Revenue is derived from our Injection Molding, CNC Machining, 3D Printing and Sheet Metal product lines. Injection Molding revenue consists of sales of custom injection molds and injection-molded parts. CNC Machining revenue consists of sales of CNC-machined custom parts. 3D Printing revenue consists of sales of 3D-printed parts. Sheet Metal revenue consists of sales of fabricated sheet metal custom parts. Our historical and current efforts to increase revenue have been directed at gaining new customers and selling to our existing customer base by increasing marketing and selling activities, including:</w:t>
      </w:r>
    </w:p>
    <w:p>
      <w:pPr>
        <w:spacing w:after="0" w:line="183" w:lineRule="exact"/>
        <w:rPr>
          <w:sz w:val="20"/>
          <w:szCs w:val="20"/>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breadth and scope of our products by adding more sizes and materials to our offerings;</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our 3D Printing product line through our acquisition of FineLine in 2014;</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3D Printing to Europe through our acquisition of Alphaform in 2015;</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our Sheet Metal product line through our acquisition of Rapid Manufacturing Group, LLC in 2017;</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improving the usability of our product lines such as our web-centric applications; and</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customers with on-demand access to a global network of premium manufacturing partners through our acquisition of Hubs in 2021.</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we served 23,492 unique product developers and engineers who purchased our products through our web-based customer interface, an increase of 3.9% over the same period in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Gross Profit and Gross Margin</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raw materials, equipment depreciation, employee compensation, benefits, stock-based compensation, facilities costs and overhead allocations associated with the manufacturing process for molds and customer parts. We expect our personnel-related costs to increase in order to retain and attract top talent and remain competitive in the market. Overall, we expect cost of revenue to increase in absolute dollars.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define gross profit as our revenue less our cost of revenue, and we define gross margin as gross profit expressed as a percentage of revenue. Our gross profit and gross margin are affected by many factors, including our mix of revenue by product line, pricing, sales volume, manufacturing costs, the costs associated with increasing production capacity, the mix between domestic and foreign revenue sources, the mix between revenue produced in our internal manufacturing operations and outsourced to our external manufacturing partners, and foreign exchange rates.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expenses consist of marketing and sales, research and development and general and administrative expenses. Personnel-related costs are the most significant component in each of these categories.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launch of our Protolabs 2.0 project, an internal business systems initiative impacting both external customer-facing and internal back-end systems, in the United States in the first quarter of 2021, and our acquisition of Hubs in January 2021, led to higher operating expenses in the first quarter of 2021. Our business strategy is to continue to be a leading online and technology-enabled manufacturer of quick-turn, on-demand injection-molded, CNC-machined, 3D-printed and sheet metal custom parts for prototyping and low-volume production. In order to achieve our goals, we anticipate continued substantial investments in technology and personnel, resulting in increased operating expenses in the future.</w:t>
      </w:r>
    </w:p>
    <w:p>
      <w:pPr>
        <w:spacing w:after="0" w:line="1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Marketing and sales. </w:t>
      </w:r>
      <w:r>
        <w:rPr>
          <w:rFonts w:ascii="Times New Roman" w:cs="Times New Roman" w:eastAsia="Times New Roman" w:hAnsi="Times New Roman"/>
          <w:sz w:val="18"/>
          <w:szCs w:val="18"/>
          <w:color w:val="auto"/>
        </w:rPr>
        <w:t>Marketing and sales expense consists primarily of employee compensation, benefits, commissions,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programs such as electronic, print and pay-per-click advertising, trade shows and other related overhead, which includes an allocation of information technology expense including amortization of Protolabs 2.0 software assets. We expect sales and marketing expense to increase in the future as we increase the number of marketing and sales professionals and marketing programs targeted to increase our customer base and grow revenue.</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 consists primarily of personnel and outside service costs related to the development of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processes and product lines, enhancement of existing product lines, development of software for internal use, maintenance of internally developed software, quality assurance and testing. Costs for internal use software are evaluated by project and capitalized where appropriate under ASC 350-40, </w:t>
      </w:r>
      <w:r>
        <w:rPr>
          <w:rFonts w:ascii="Times New Roman" w:cs="Times New Roman" w:eastAsia="Times New Roman" w:hAnsi="Times New Roman"/>
          <w:sz w:val="18"/>
          <w:szCs w:val="18"/>
          <w:i w:val="1"/>
          <w:iCs w:val="1"/>
          <w:color w:val="auto"/>
        </w:rPr>
        <w:t>Intangibles — Goodwill and Other, Internal-Use Software</w:t>
      </w:r>
      <w:r>
        <w:rPr>
          <w:rFonts w:ascii="Times New Roman" w:cs="Times New Roman" w:eastAsia="Times New Roman" w:hAnsi="Times New Roman"/>
          <w:sz w:val="18"/>
          <w:szCs w:val="18"/>
          <w:color w:val="auto"/>
        </w:rPr>
        <w:t>. We expect research and development expense to increase in the future as we seek to enhance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e-commerce interface technology, internal software and supporting business systems, and continue to expand our product lines.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consists primarily of employee compensation, benefits,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service fees related to accounting, tax and legal, and other related overhead, which includes an allocation of information technology expense including amortization of Protolabs 2.0 software assets. We expect general and administrative expense to increase in the future as we continue to grow and expand as a global organization.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Loss, net</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Other loss, net primarily consists of foreign currency-related gains and losses and interest income on cash balances and investments. Our foreign currency-related gains and losses will vary depending upon movements in underlying exchange rates. Our interest income will vary each reporting period depending on our average cash balances during the period, composition of our marketable security portfolio and the current level of interest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Provision for income taxes is comprised of federal, state, local and foreign taxes based on pre-tax income. Overall, our effective tax rate for 2022 and beyond may differ from historical effective tax rates due to increases in losses in foreign operations that are not eligible for tax benefits on account of valuation allowances, as well as any future tax law changes that may impact our effective tax rate.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the related changes for the periods indicated. The results below are not necessarily indicative of the results for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7"/>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40" w:type="dxa"/>
            <w:vAlign w:val="bottom"/>
            <w:tcBorders>
              <w:bottom w:val="single" w:sz="8" w:color="auto"/>
            </w:tcBorders>
          </w:tcPr>
          <w:p>
            <w:pPr>
              <w:spacing w:after="0"/>
              <w:rPr>
                <w:sz w:val="20"/>
                <w:szCs w:val="20"/>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124,168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116,126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8,042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68,364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60,796</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7,568</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12.4</w:t>
            </w: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55,804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55,330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Marketing and sales</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20,586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19,480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10,557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12,181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3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16,771</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19,408</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r>
      <w:tr>
        <w:trPr>
          <w:trHeight w:val="209"/>
        </w:trPr>
        <w:tc>
          <w:tcPr>
            <w:tcW w:w="3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47,914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51,069</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7,890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85.2</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7,590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92.2</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2,495</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957.2</w:t>
            </w:r>
          </w:p>
        </w:tc>
      </w:tr>
      <w:tr>
        <w:trPr>
          <w:trHeight w:val="249"/>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bl>
    <w:p>
      <w:pPr>
        <w:spacing w:after="0" w:line="19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included in the statements of operations data above for the three months ended March 31, 2022 and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114300</wp:posOffset>
            </wp:positionV>
            <wp:extent cx="67722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(dollars in thousands)</w:t>
            </w:r>
          </w:p>
        </w:tc>
        <w:tc>
          <w:tcPr>
            <w:tcW w:w="2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restricted stock and performance stock</w:t>
            </w:r>
          </w:p>
        </w:tc>
        <w:tc>
          <w:tcPr>
            <w:tcW w:w="3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4,006</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00" w:type="dxa"/>
            <w:vAlign w:val="bottom"/>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4,397</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5,620</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00" w:type="dxa"/>
            <w:vAlign w:val="bottom"/>
            <w:vMerge w:val="restart"/>
          </w:tcPr>
          <w:p>
            <w:pPr>
              <w:spacing w:after="0"/>
              <w:rPr>
                <w:sz w:val="17"/>
                <w:szCs w:val="17"/>
                <w:color w:val="auto"/>
              </w:rPr>
            </w:pPr>
          </w:p>
        </w:tc>
        <w:tc>
          <w:tcPr>
            <w:tcW w:w="4540" w:type="dxa"/>
            <w:vAlign w:val="bottom"/>
            <w:tcBorders>
              <w:top w:val="single" w:sz="8" w:color="CCEEFF"/>
            </w:tcBorders>
          </w:tcPr>
          <w:p>
            <w:pPr>
              <w:spacing w:after="0"/>
              <w:rPr>
                <w:sz w:val="17"/>
                <w:szCs w:val="17"/>
                <w:color w:val="auto"/>
              </w:rPr>
            </w:pPr>
          </w:p>
        </w:tc>
        <w:tc>
          <w:tcPr>
            <w:tcW w:w="28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4,397</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 w:type="dxa"/>
            <w:vAlign w:val="bottom"/>
          </w:tcPr>
          <w:p>
            <w:pPr>
              <w:spacing w:after="0"/>
              <w:rPr>
                <w:sz w:val="17"/>
                <w:szCs w:val="17"/>
                <w:color w:val="auto"/>
              </w:rPr>
            </w:pPr>
          </w:p>
        </w:tc>
        <w:tc>
          <w:tcPr>
            <w:tcW w:w="45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3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82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454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2022 and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reportable segment and the related changes for the three months ended March 31, 2022 and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154305</wp:posOffset>
            </wp:positionV>
            <wp:extent cx="67722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3"/>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95,496</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91,053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Europe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24,586</w:t>
            </w:r>
          </w:p>
        </w:tc>
        <w:tc>
          <w:tcPr>
            <w:tcW w:w="12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21,449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Japan</w:t>
            </w:r>
          </w:p>
        </w:tc>
        <w:tc>
          <w:tcPr>
            <w:tcW w:w="1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3,624</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124,168</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116,126</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8,042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4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revenue increased $8.0 million, or 6.9%, for the three months ended March 31, 2022 compared to the same period in 2021. By reportable segment, revenue in the United States increased $4.4 million, or 4.9%, for the three months ended March 31, 2022 compared to the same period in 2021. Revenue in Europe increased $3.1 million, or 14.6%, and revenue in Japan increased $0.5 million, or 12.7%, in each case for the three months ended March 31, 2022 compared to the same period in 2021. Our acquisition of Hubs provided revenue of $4.8 million and $3.2 million in the United States and $5.5 million and $2.6 million in Europe for each of the three months ended March 31, 2022 and 2021, respectively. Hubs revenue in 2021 represents the period from January 22, 2021, the date of acquisition, through March 31, 2021. International revenue was negatively impacted by $1.5 million during the three months ended March 31, 2022 compared to the same period in 2021 as a result of foreign currency movements, primarily the weakening of the British Pound and Euro relative to the United States Dollar.</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we served 23,492 unique product developers and engineers, an increase of 3.9% over the same period in 2021. Our growth in product developers and engineers served increased at a lower rate than our revenue growth, resulting in an increase in the average spend per product developer and engineer. The increase in average spend per product developer and engineer was driven by price increases and a change in the mix of products with a higher average order size purchased during the quarter by product developers and engineers we serve.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product line and the related changes for the three months ended March 31, 2022 and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154305</wp:posOffset>
            </wp:positionV>
            <wp:extent cx="67722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Borders>
              <w:bottom w:val="single" w:sz="8" w:color="auto"/>
            </w:tcBorders>
          </w:tcPr>
          <w:p>
            <w:pPr>
              <w:spacing w:after="0"/>
              <w:rPr>
                <w:sz w:val="19"/>
                <w:szCs w:val="19"/>
                <w:color w:val="auto"/>
              </w:rPr>
            </w:pPr>
          </w:p>
        </w:tc>
      </w:tr>
      <w:tr>
        <w:trPr>
          <w:trHeight w:val="187"/>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8"/>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Injection Molding</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53,398</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56,359</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CNC Machining</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46,098</w:t>
            </w:r>
          </w:p>
        </w:tc>
        <w:tc>
          <w:tcPr>
            <w:tcW w:w="13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36,703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3D Printing</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19,672</w:t>
            </w:r>
          </w:p>
        </w:tc>
        <w:tc>
          <w:tcPr>
            <w:tcW w:w="13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17,235</w:t>
            </w:r>
          </w:p>
        </w:tc>
        <w:tc>
          <w:tcPr>
            <w:tcW w:w="10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Sheet Metal</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3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Revenue</w:t>
            </w:r>
          </w:p>
        </w:tc>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(48.7)</w:t>
            </w:r>
          </w:p>
        </w:tc>
      </w:tr>
      <w:tr>
        <w:trPr>
          <w:trHeight w:val="249"/>
        </w:trPr>
        <w:tc>
          <w:tcPr>
            <w:tcW w:w="20" w:type="dxa"/>
            <w:vAlign w:val="bottom"/>
          </w:tcPr>
          <w:p>
            <w:pPr>
              <w:spacing w:after="0"/>
              <w:rPr>
                <w:sz w:val="21"/>
                <w:szCs w:val="21"/>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124,168</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116,126</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8,042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197"/>
        </w:trPr>
        <w:tc>
          <w:tcPr>
            <w:tcW w:w="20" w:type="dxa"/>
            <w:vAlign w:val="bottom"/>
          </w:tcPr>
          <w:p>
            <w:pPr>
              <w:spacing w:after="0"/>
              <w:rPr>
                <w:sz w:val="17"/>
                <w:szCs w:val="17"/>
                <w:color w:val="auto"/>
              </w:rPr>
            </w:pPr>
          </w:p>
        </w:tc>
        <w:tc>
          <w:tcPr>
            <w:tcW w:w="2620" w:type="dxa"/>
            <w:vAlign w:val="bottom"/>
            <w:tcBorders>
              <w:top w:val="single" w:sz="8" w:color="CCEEFF"/>
              <w:bottom w:val="single" w:sz="8" w:color="auto"/>
            </w:tcBorders>
          </w:tcPr>
          <w:p>
            <w:pPr>
              <w:spacing w:after="0"/>
              <w:rPr>
                <w:sz w:val="17"/>
                <w:szCs w:val="17"/>
                <w:color w:val="auto"/>
              </w:rPr>
            </w:pPr>
          </w:p>
        </w:tc>
        <w:tc>
          <w:tcPr>
            <w:tcW w:w="108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product line, our revenue increase was driven by a 25.6% increase in CNC Machining revenue and a 14.1% increase in 3D Printing revenue, which was partially offset by a 5.3% decrease in Injection Molding revenue, a 10.2% decrease in Sheet Metal revenue and a 48.7% decrease in Other Revenue, in each case for the three months ended March 31, 2022 compared to the same period in 2021.</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Gross Profit and Gross Margin</w:t>
      </w:r>
    </w:p>
    <w:p>
      <w:pPr>
        <w:spacing w:after="0" w:line="225"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increased $7.6 million, or 12.4%, for the three months ended March 31, 2022 compared to the same period in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was greater than the rate of revenue increase of 6.9% for the three months ended March 31, 2022 compared to the same period in 2021. The $4.9 million increase in cost of revenue in our legacy business was driven by increased volumes and a labor shortage resulting in wage inflation driving personnel and related cost increases of $2.5 million, an increase in raw material and product costs of $2.1 million driven by materials cost inflation and higher logistics costs, and an increase in equipment and facility related costs of $0.3 million. Our acquisition of Hubs provided a $2.7 million increase in cost of revenue for the three months ended March 31, 2022 when compared to the same period in 2021.</w:t>
      </w:r>
    </w:p>
    <w:p>
      <w:pPr>
        <w:spacing w:after="0" w:line="182"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and Gross Margin. </w:t>
      </w:r>
      <w:r>
        <w:rPr>
          <w:rFonts w:ascii="Times New Roman" w:cs="Times New Roman" w:eastAsia="Times New Roman" w:hAnsi="Times New Roman"/>
          <w:sz w:val="18"/>
          <w:szCs w:val="18"/>
          <w:color w:val="auto"/>
        </w:rPr>
        <w:t>Gross profit increased from $55.3 million in the three months ended March 31, 2021 to $55.8 million in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2022. Gross margin decreased from 47.6% in the three months ended March 31, 2021 to 44.9% in the three months ended March 31, 2022, primarily due to labor and materials cost inflation and the mix of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 Other Income, net and Provision for Income Taxes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Marketing and Sales. </w:t>
      </w:r>
      <w:r>
        <w:rPr>
          <w:rFonts w:ascii="Times New Roman" w:cs="Times New Roman" w:eastAsia="Times New Roman" w:hAnsi="Times New Roman"/>
          <w:sz w:val="18"/>
          <w:szCs w:val="18"/>
          <w:color w:val="auto"/>
        </w:rPr>
        <w:t>Marketing and sales expenses increased $1.1 million, or 5.7%, during the three months ended March 31, 2022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2021. The increase is primarily driven by information technology allocation cost increases, including amortization of Protolabs 2.0 software assets, of $0.3 million and marketing program cost increases of $0.3 million, which were partially offset by personnel and related cost decreases in our legacy business of $0.2 million. In addition, our acquisition of Hubs provided a $0.7 million increase in marketing and sales expenses during the three months ended March 31, 2022 when compared to the same period in 2021.</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Our research and development expenses decreased $1.6 million, or 13.3%, during the three months ended March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2021 primarily due to personnel and related cost decreases of $2.2 million driven by personnel and contractor resources dedicated to the launch of our Protolabs 2.0 system in the first quarter of 2021. Other legacy operating costs increased $0.1 million during the three months ended March 31, 2022. In addition, our acquisition of Hubs provided a $0.5 million increase in research and development expenses during the three months ended March 31, 2022 when compared to the same period in 2021.</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Our general and administrative expenses decreased $2.6 million, or 13.6%, during the three months ended March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2021 primarily due to a decrease of $2.4 million in professional service costs primarily driven by increased transaction costs in 2021 related to our acquisition of Hubs and a decrease of $1.3 million in stock-based compensation expense primarily driven by increased stock-based compensation expense in 2021 related to the retirement of our CEO. In addition, our acquisition of Hubs provided an increase of $1.1 million in general and administrative expense during the three months ended March 31, 2022 when compared to the same period in 2021.</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Loss, net. </w:t>
      </w:r>
      <w:r>
        <w:rPr>
          <w:rFonts w:ascii="Times New Roman" w:cs="Times New Roman" w:eastAsia="Times New Roman" w:hAnsi="Times New Roman"/>
          <w:sz w:val="18"/>
          <w:szCs w:val="18"/>
          <w:color w:val="auto"/>
        </w:rPr>
        <w:t>We recognized other loss, net of $0.3 million for the three months ended March 31, 2022, consistent with other loss, net of $0.3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2021. Other loss, net for the three months ended March 31, 2022 primarily consisted of a $0.3 million loss on foreign currency. Other loss, net for the three months ended March 31, 2021 primarily consisted of a $0.5 million loss on foreign currency, which was partially offset by $0.1 million in interest income on investments and $0.1 million in other income.</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Our effective tax rate of 32.9% for the three months ended March 31, 2022 increased 26.9% compared to 6.0% for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2021. The increase in the effective tax rate is primarily due to a decrease in tax benefits from the vesting of restricted stock and the exercise of stock options. Our income tax provision of $2.5 million for the three months ended March 31, 2022 increased $2.3 million compared to our income tax provision of $0.2 million for the three months ended March 31, 2021.</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during the 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154305</wp:posOffset>
            </wp:positionV>
            <wp:extent cx="64122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17,783</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6,425</w:t>
            </w: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(90,133)</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29"/>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r>
      <w:tr>
        <w:trPr>
          <w:trHeight w:val="250"/>
        </w:trPr>
        <w:tc>
          <w:tcPr>
            <w:tcW w:w="20" w:type="dxa"/>
            <w:vAlign w:val="bottom"/>
          </w:tcPr>
          <w:p>
            <w:pPr>
              <w:spacing w:after="0"/>
              <w:rPr>
                <w:sz w:val="21"/>
                <w:szCs w:val="21"/>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(83,829)</w:t>
            </w:r>
          </w:p>
        </w:tc>
      </w:tr>
      <w:tr>
        <w:trPr>
          <w:trHeight w:val="197"/>
        </w:trPr>
        <w:tc>
          <w:tcPr>
            <w:tcW w:w="20" w:type="dxa"/>
            <w:vAlign w:val="bottom"/>
          </w:tcPr>
          <w:p>
            <w:pPr>
              <w:spacing w:after="0"/>
              <w:rPr>
                <w:sz w:val="17"/>
                <w:szCs w:val="17"/>
                <w:color w:val="auto"/>
              </w:rPr>
            </w:pPr>
          </w:p>
        </w:tc>
        <w:tc>
          <w:tcPr>
            <w:tcW w:w="5520" w:type="dxa"/>
            <w:vAlign w:val="bottom"/>
            <w:tcBorders>
              <w:top w:val="single" w:sz="8" w:color="CCEEFF"/>
              <w:bottom w:val="single" w:sz="8" w:color="auto"/>
            </w:tcBorders>
          </w:tcPr>
          <w:p>
            <w:pPr>
              <w:spacing w:after="0"/>
              <w:rPr>
                <w:sz w:val="17"/>
                <w:szCs w:val="17"/>
                <w:color w:val="auto"/>
              </w:rPr>
            </w:pPr>
          </w:p>
        </w:tc>
        <w:tc>
          <w:tcPr>
            <w:tcW w:w="166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Historically, we have primarily financed our operations and capital expenditures through cash flow from operations. We had cash and cash equivalents of $57.2 million as of March 31, 2022, a decrease of $8.7 million from December 31, 2021. The decrease in our cash was primarily due to cash used in investing activity for purchases of marketable securities, net of $22.8 million, purchases of property, equipment and other capital assets of $3.1 million, and cash used in financing activities of $0.6 million, which were partially offset by cash generated through operations of $17.8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Cash flows from operating activities were $17.8 million during the three months ended March 31, 2022 and primarily consisted of net income of $5.1 million, adjusted for certain non-cash items, including depreciation and amortization of $10.2 million and stock-based compensation expense of $4.4 million, which were partially offset by changes in operating assets and liabilities and other items totaling $1.9 million. Cash flows from operating activities were $6.4 million during the three months ended March 31, 2021 and primarily consisted of net income of $3.7 million, adjusted for certain non-cash items, including depreciation and amortization of $10.1 million, stock-based compensation expense of $5.6 million, which were partially offset by changes in operating assets and liabilities and other items totaling $13.0 million.</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Cash flows from operating activities increased $11.4 million during the three months ended March 31, 2022 compared to the same period in 2021, primarily due to increases in net income of $1.4 million and changes in operating assets and liabilities totaling $14.3 million, which were partially offset by decreases in stock-based compensation of $1.2 million and decreases in deferred taxes of $3.1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$25.8 million during the three months ended March 31, 2022, consisting of $22.7 million for net purchases of marketable securities and $3.1 million for the purchases of property, equipment and other capital assets.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$90.1 million during the three months ended March 31, 2021, consisting of $127.7 million in cash used for acquisitions, net of cash acquired and $6.5 million for the purchases of property, equipment and other capital assets, which were partially offset by $44.1 million for net proceeds from investments in marketable securities.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$0.6 million during the three months ended March 31, 2022, consisting of $0.5 million in shares withheld for tax obligations associated with equity transactions, and $0.1 million for repayments of finance lease obligations.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$0.4 million during the three months ended March 31, 2021, consisting of $2.0 million in purchases of shares withheld for tax obligations associated with equity transactions and $0.1 million for repayments of finance lease obligations, which were partially offset by $1.7 million in proceeds from the exercise of stock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Since our inception, we have not engaged in any off-balance sheet arrangements, including the use of structured finance, special purpose entities or variable interest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adopted various accounting policies to prepare the Consolidated Financial Statements in accordance with accounting principles generally accepted in the United States of America (U.S. GAAP). Our significant accounting policies are disclosed in Note 2 to the Consolidated Financial Statements included in our Annual Report on Form 10-K for the year ended December 31, 2021. There were no material changes to our critical accounting policies during the three months ended March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information on recent accounting pronouncements, see Note 2 to the Consolidated Financial Statements appearing in Part I, Item 1 in this Quarterly Report on Form 10-Q.</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 result of our foreign operations, we have revenue, expenses, assets and liabilities that are denominated in foreign currencies. We generate revenue and incur production costs and operating expenses in British Pounds, Euros and Japanese Yen.</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operating results and cash flows are adversely impacted when the United States Dollar appreciates relative to foreign currencies. Additionally, our operating results and cash flows are adversely impacted when the British Pound appreciates relative to the Euro. As we expand internationally, our results of operations and cash flows will become increasingly subject to changes in foreign currency exchange rates.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not used forward contracts or currency borrowings to hedge our exposure to foreign currency risk. Foreign currency risk can be assessed by estimating the change in results of operations or financial position resulting from a hypothetical 10% adverse change in foreign exchange rates. We believe such a change would generally not have a material impact on our financial position, but could have a material impact on our results of operations. We recognized foreign currency losses of $0.3 million and $0.5 million during the three months ended March 31, 2022 and 2021, respectively. The changes in foreign exchange rates had a negative impact on consolidated revenue of $1.5 million for the three months ended March 31, 2022 as compared to the same periods in 2021.</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the design and operation of our disclosure controls and procedures (as defined in Rule 13a-15(e) under the Securities Exchange Act of 1934 (Exchange Act)) as of the end of the period covered by this report. Based upon that evaluation, the Chief Executive Officer and Chief Financial Officer have concluded that, as of the end of the period covered by this quarterly report, our disclosure controls and procedures are effective and provide reasonable assurance that information required to be disclosed by us in the reports that we file or submit under the Exchange Act is recorded, processed, summarized and reported accurately and within the time frames specified in the SEC’s rules and forms and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 13a-15(f) under the Exchange Act)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these financial statements, we do not believe we are party to any litigation the outcome of which, if determined adversely to us, would individually or in the aggregate be reasonably expected to have a material adverse effect on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Part I, Item 1A. “Risk Factors” in our Annual Report on Form 10-K for the year ended December 31, 2021 includes a discussion of our risk factors. There have been no material changes from the risk factors described in our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February 9, 2017, our board of directors authorized the repurchase of shares of our common stock from time to time on the open market or in privately negotiated purchases, at an aggregate purchase price of up to $50 million. On May 16, 2019, we announced that our board of directors approved a $50 million increase in its authorized stock repurchase program and extended the term of the program through December 31, 2023, which increased the stock repurchase program to $100 million. On December 8, 2021, our board of directors approved a $50 million increase in its authorized stock repurchase program, which increased the total expenditure authorized to $150 million. We have $61.9 million remaining under this authorization. The timing and amount of any share repurchases will be determined by our management based on market conditions and other factors.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repurchases in the first quarter of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matters to disclose.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matters to disclose.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matters to disclose.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8"/>
                <w:szCs w:val="18"/>
                <w:color w:val="auto"/>
              </w:rPr>
            </w:pPr>
          </w:p>
        </w:tc>
        <w:tc>
          <w:tcPr>
            <w:tcW w:w="10420" w:type="dxa"/>
            <w:vAlign w:val="bottom"/>
            <w:gridSpan w:val="7"/>
          </w:tcPr>
          <w:p>
            <w:pPr>
              <w:ind w:left="43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38"/>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169"/>
        </w:trPr>
        <w:tc>
          <w:tcPr>
            <w:tcW w:w="6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5"/>
                <w:szCs w:val="15"/>
                <w:color w:val="auto"/>
              </w:rPr>
              <w:t>3.1</w:t>
            </w:r>
            <w:r>
              <w:rPr>
                <w:rFonts w:ascii="Times New Roman" w:cs="Times New Roman" w:eastAsia="Times New Roman" w:hAnsi="Times New Roman"/>
                <w:sz w:val="19"/>
                <w:szCs w:val="19"/>
                <w:color w:val="auto"/>
                <w:vertAlign w:val="superscript"/>
              </w:rPr>
              <w:t>(1)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20" w:type="dxa"/>
            <w:vAlign w:val="bottom"/>
            <w:tcBorders>
              <w:top w:val="single" w:sz="8" w:color="auto"/>
            </w:tcBorders>
            <w:gridSpan w:val="7"/>
          </w:tcPr>
          <w:p>
            <w:pPr>
              <w:spacing w:after="0" w:line="169"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Third Amended and Restated Articles of Incorporation of Proto Labs, Inc.</w:t>
              </w:r>
            </w:hyperlink>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40" w:type="dxa"/>
            <w:vAlign w:val="bottom"/>
            <w:gridSpan w:val="2"/>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color w:val="auto"/>
                <w:vertAlign w:val="subscript"/>
              </w:rPr>
              <w:t>3.2</w:t>
            </w:r>
            <w:r>
              <w:rPr>
                <w:rFonts w:ascii="Times New Roman" w:cs="Times New Roman" w:eastAsia="Times New Roman" w:hAnsi="Times New Roman"/>
                <w:sz w:val="10"/>
                <w:szCs w:val="10"/>
                <w:color w:val="auto"/>
              </w:rPr>
              <w:t>(2)</w:t>
            </w:r>
          </w:p>
        </w:tc>
        <w:tc>
          <w:tcPr>
            <w:tcW w:w="120" w:type="dxa"/>
            <w:vAlign w:val="bottom"/>
          </w:tcPr>
          <w:p>
            <w:pPr>
              <w:spacing w:after="0"/>
              <w:rPr>
                <w:sz w:val="17"/>
                <w:szCs w:val="17"/>
                <w:color w:val="auto"/>
              </w:rPr>
            </w:pPr>
          </w:p>
        </w:tc>
        <w:tc>
          <w:tcPr>
            <w:tcW w:w="87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Articles of Amendment to Third Amended and Restated Articles of Incorporation of Proto Labs, Inc. dated May 20, 2015</w:t>
              </w:r>
            </w:hyperlink>
          </w:p>
        </w:tc>
        <w:tc>
          <w:tcPr>
            <w:tcW w:w="1680" w:type="dxa"/>
            <w:vAlign w:val="bottom"/>
            <w:gridSpan w:val="2"/>
          </w:tcPr>
          <w:p>
            <w:pPr>
              <w:spacing w:after="0"/>
              <w:rPr>
                <w:sz w:val="17"/>
                <w:szCs w:val="17"/>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7"/>
                <w:szCs w:val="17"/>
                <w:color w:val="auto"/>
                <w:w w:val="93"/>
              </w:rPr>
              <w:t>3.3</w:t>
            </w:r>
            <w:r>
              <w:rPr>
                <w:rFonts w:ascii="Times New Roman" w:cs="Times New Roman" w:eastAsia="Times New Roman" w:hAnsi="Times New Roman"/>
                <w:sz w:val="22"/>
                <w:szCs w:val="22"/>
                <w:color w:val="auto"/>
                <w:w w:val="93"/>
                <w:vertAlign w:val="superscript"/>
              </w:rPr>
              <w:t>(3)</w:t>
            </w:r>
          </w:p>
        </w:tc>
        <w:tc>
          <w:tcPr>
            <w:tcW w:w="120" w:type="dxa"/>
            <w:vAlign w:val="bottom"/>
          </w:tcPr>
          <w:p>
            <w:pPr>
              <w:spacing w:after="0"/>
              <w:rPr>
                <w:sz w:val="17"/>
                <w:szCs w:val="17"/>
                <w:color w:val="auto"/>
              </w:rPr>
            </w:pPr>
          </w:p>
        </w:tc>
        <w:tc>
          <w:tcPr>
            <w:tcW w:w="10440" w:type="dxa"/>
            <w:vAlign w:val="bottom"/>
            <w:gridSpan w:val="8"/>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Second Amended and Restated By-Laws of Proto Labs, Inc., as amended through November 8, 2016</w:t>
              </w:r>
            </w:hyperlink>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72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Chief Executive Officer pursuant to Section 302 of the Sarbanes-Oxley Act*</w:t>
            </w:r>
          </w:p>
        </w:tc>
        <w:tc>
          <w:tcPr>
            <w:tcW w:w="3180" w:type="dxa"/>
            <w:vAlign w:val="bottom"/>
            <w:gridSpan w:val="3"/>
          </w:tcPr>
          <w:p>
            <w:pPr>
              <w:spacing w:after="0"/>
              <w:rPr>
                <w:sz w:val="17"/>
                <w:szCs w:val="17"/>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69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the Chief Financial Officer pursuant to Section 302 of the Sarbanes-Oxley Act*</w:t>
            </w:r>
          </w:p>
        </w:tc>
        <w:tc>
          <w:tcPr>
            <w:tcW w:w="40" w:type="dxa"/>
            <w:vAlign w:val="bottom"/>
            <w:tcBorders>
              <w:top w:val="single" w:sz="8" w:color="0000EE"/>
            </w:tcBorders>
          </w:tcPr>
          <w:p>
            <w:pPr>
              <w:spacing w:after="0"/>
              <w:rPr>
                <w:sz w:val="17"/>
                <w:szCs w:val="17"/>
                <w:color w:val="auto"/>
              </w:rPr>
            </w:pPr>
          </w:p>
        </w:tc>
        <w:tc>
          <w:tcPr>
            <w:tcW w:w="3500" w:type="dxa"/>
            <w:vAlign w:val="bottom"/>
            <w:gridSpan w:val="4"/>
          </w:tcPr>
          <w:p>
            <w:pPr>
              <w:spacing w:after="0"/>
              <w:rPr>
                <w:sz w:val="17"/>
                <w:szCs w:val="17"/>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92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the Chief Executive Officer and the Chief Financial Officer pursuant to Section 906 of the Sarbanes-Oxley Act*</w:t>
            </w:r>
          </w:p>
        </w:tc>
        <w:tc>
          <w:tcPr>
            <w:tcW w:w="1200" w:type="dxa"/>
            <w:vAlign w:val="bottom"/>
          </w:tcPr>
          <w:p>
            <w:pPr>
              <w:spacing w:after="0"/>
              <w:rPr>
                <w:sz w:val="17"/>
                <w:szCs w:val="17"/>
                <w:color w:val="auto"/>
              </w:rPr>
            </w:pPr>
          </w:p>
        </w:tc>
      </w:tr>
      <w:tr>
        <w:trPr>
          <w:trHeight w:val="218"/>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101.INS</w:t>
            </w:r>
          </w:p>
        </w:tc>
        <w:tc>
          <w:tcPr>
            <w:tcW w:w="10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10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101.CAL</w:t>
            </w:r>
          </w:p>
        </w:tc>
        <w:tc>
          <w:tcPr>
            <w:tcW w:w="10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10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101.LAB</w:t>
            </w:r>
          </w:p>
        </w:tc>
        <w:tc>
          <w:tcPr>
            <w:tcW w:w="10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101.PRE</w:t>
            </w:r>
          </w:p>
        </w:tc>
        <w:tc>
          <w:tcPr>
            <w:tcW w:w="10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800" w:hanging="590"/>
        <w:spacing w:after="0"/>
        <w:tabs>
          <w:tab w:leader="none" w:pos="8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6" w:lineRule="exact"/>
        <w:rPr>
          <w:rFonts w:ascii="Times New Roman" w:cs="Times New Roman" w:eastAsia="Times New Roman" w:hAnsi="Times New Roman"/>
          <w:sz w:val="18"/>
          <w:szCs w:val="18"/>
          <w:color w:val="auto"/>
        </w:rPr>
      </w:pPr>
    </w:p>
    <w:p>
      <w:pPr>
        <w:ind w:left="380" w:right="600" w:hanging="372"/>
        <w:spacing w:after="0" w:line="223" w:lineRule="auto"/>
        <w:tabs>
          <w:tab w:leader="none" w:pos="38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Previously filed as Exhibit 3.2 to the Company’s Registration Statement on Form S-1/A, filed with the Commission on February 13, 2012, and incorporated by reference herein.</w:t>
      </w:r>
    </w:p>
    <w:p>
      <w:pPr>
        <w:spacing w:after="0" w:line="1" w:lineRule="exact"/>
        <w:rPr>
          <w:rFonts w:ascii="Times New Roman" w:cs="Times New Roman" w:eastAsia="Times New Roman" w:hAnsi="Times New Roman"/>
          <w:sz w:val="24"/>
          <w:szCs w:val="24"/>
          <w:color w:val="auto"/>
          <w:vertAlign w:val="superscript"/>
        </w:rPr>
      </w:pPr>
    </w:p>
    <w:p>
      <w:pPr>
        <w:ind w:left="380" w:hanging="372"/>
        <w:spacing w:after="0" w:line="187" w:lineRule="auto"/>
        <w:tabs>
          <w:tab w:leader="none" w:pos="38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Previously filed as Exhibit 3.1 to the Company's Form 8-K, filed with the Commission on May 21, 2015 and incorporated by reference herein.</w:t>
      </w:r>
    </w:p>
    <w:p>
      <w:pPr>
        <w:spacing w:after="0" w:line="2" w:lineRule="exact"/>
        <w:rPr>
          <w:rFonts w:ascii="Times New Roman" w:cs="Times New Roman" w:eastAsia="Times New Roman" w:hAnsi="Times New Roman"/>
          <w:sz w:val="24"/>
          <w:szCs w:val="24"/>
          <w:color w:val="auto"/>
          <w:vertAlign w:val="superscript"/>
        </w:rPr>
      </w:pPr>
    </w:p>
    <w:p>
      <w:pPr>
        <w:ind w:right="280" w:firstLine="8"/>
        <w:spacing w:after="0" w:line="213" w:lineRule="auto"/>
        <w:tabs>
          <w:tab w:leader="none" w:pos="364"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Previously filed as Exhibit 3.1 to the Company's Form 8-K, filed with the Commission on November 8, 2016 and incorporated by reference herein. * Filed herewith.</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Proto Labs,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220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Bodor</w:t>
            </w:r>
          </w:p>
        </w:tc>
      </w:tr>
      <w:tr>
        <w:trPr>
          <w:trHeight w:val="191"/>
        </w:trPr>
        <w:tc>
          <w:tcPr>
            <w:tcW w:w="3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Bodor</w:t>
            </w:r>
          </w:p>
        </w:tc>
      </w:tr>
      <w:tr>
        <w:trPr>
          <w:trHeight w:val="216"/>
        </w:trPr>
        <w:tc>
          <w:tcPr>
            <w:tcW w:w="34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4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220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Schumacher</w:t>
            </w:r>
          </w:p>
        </w:tc>
      </w:tr>
      <w:tr>
        <w:trPr>
          <w:trHeight w:val="191"/>
        </w:trPr>
        <w:tc>
          <w:tcPr>
            <w:tcW w:w="3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Daniel Schumacher</w:t>
            </w:r>
          </w:p>
        </w:tc>
      </w:tr>
      <w:tr>
        <w:trPr>
          <w:trHeight w:val="216"/>
        </w:trPr>
        <w:tc>
          <w:tcPr>
            <w:tcW w:w="34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34"/>
        </w:trPr>
        <w:tc>
          <w:tcPr>
            <w:tcW w:w="34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48"/>
        </w:trPr>
        <w:tc>
          <w:tcPr>
            <w:tcW w:w="3440" w:type="dxa"/>
            <w:vAlign w:val="bottom"/>
          </w:tcPr>
          <w:p>
            <w:pPr>
              <w:spacing w:after="0"/>
              <w:rPr>
                <w:sz w:val="24"/>
                <w:szCs w:val="24"/>
                <w:color w:val="auto"/>
              </w:rPr>
            </w:pPr>
          </w:p>
        </w:tc>
        <w:tc>
          <w:tcPr>
            <w:tcW w:w="6680" w:type="dxa"/>
            <w:vAlign w:val="bottom"/>
            <w:gridSpan w:val="2"/>
          </w:tcPr>
          <w:p>
            <w:pPr>
              <w:jc w:val="right"/>
              <w:ind w:right="4310"/>
              <w:spacing w:after="0"/>
              <w:rPr>
                <w:sz w:val="20"/>
                <w:szCs w:val="20"/>
                <w:color w:val="auto"/>
              </w:rPr>
            </w:pPr>
            <w:r>
              <w:rPr>
                <w:rFonts w:ascii="Times New Roman" w:cs="Times New Roman" w:eastAsia="Times New Roman" w:hAnsi="Times New Roman"/>
                <w:sz w:val="18"/>
                <w:szCs w:val="18"/>
                <w:color w:val="auto"/>
              </w:rPr>
              <w:t>28</w:t>
            </w:r>
          </w:p>
        </w:tc>
      </w:tr>
    </w:tbl>
    <w:p>
      <w:pPr>
        <w:sectPr>
          <w:pgSz w:w="11900" w:h="16838" w:orient="portrait"/>
          <w:cols w:equalWidth="0" w:num="1">
            <w:col w:w="11200"/>
          </w:cols>
          <w:pgMar w:left="320" w:top="121" w:right="379" w:bottom="1440" w:gutter="0" w:footer="0" w:header="0"/>
        </w:sectPr>
      </w:pPr>
    </w:p>
    <w:bookmarkStart w:id="29" w:name="page30"/>
    <w:bookmarkEnd w:id="29"/>
    <w:p>
      <w:pPr>
        <w:ind w:left="101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Bodor, certify that:</w:t>
      </w:r>
    </w:p>
    <w:p>
      <w:pPr>
        <w:spacing w:after="0" w:line="225" w:lineRule="exact"/>
        <w:rPr>
          <w:sz w:val="20"/>
          <w:szCs w:val="20"/>
          <w:color w:val="auto"/>
        </w:rPr>
      </w:pPr>
    </w:p>
    <w:p>
      <w:pPr>
        <w:ind w:left="680" w:hanging="186"/>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Proto Labs, Inc.;</w:t>
      </w:r>
    </w:p>
    <w:p>
      <w:pPr>
        <w:spacing w:after="0" w:line="225"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60" w:right="60" w:hanging="340"/>
        <w:spacing w:after="0" w:line="266" w:lineRule="auto"/>
        <w:tabs>
          <w:tab w:leader="none" w:pos="13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60" w:right="60" w:hanging="340"/>
        <w:spacing w:after="0" w:line="266" w:lineRule="auto"/>
        <w:tabs>
          <w:tab w:leader="none" w:pos="13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60" w:right="160" w:hanging="340"/>
        <w:spacing w:after="0" w:line="312" w:lineRule="auto"/>
        <w:tabs>
          <w:tab w:leader="none" w:pos="136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60" w:right="160" w:hanging="340"/>
        <w:spacing w:after="0" w:line="266" w:lineRule="auto"/>
        <w:tabs>
          <w:tab w:leader="none" w:pos="13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right="260" w:firstLine="494"/>
        <w:spacing w:after="0" w:line="282" w:lineRule="auto"/>
        <w:tabs>
          <w:tab w:leader="none" w:pos="6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60" w:right="400" w:hanging="340"/>
        <w:spacing w:after="0" w:line="282" w:lineRule="auto"/>
        <w:tabs>
          <w:tab w:leader="none" w:pos="13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60" w:right="80" w:hanging="340"/>
        <w:spacing w:after="0" w:line="282" w:lineRule="auto"/>
        <w:tabs>
          <w:tab w:leader="none" w:pos="13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758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By: /s/ Robert Bodor</w:t>
            </w:r>
          </w:p>
        </w:tc>
      </w:tr>
      <w:tr>
        <w:trPr>
          <w:trHeight w:val="191"/>
        </w:trPr>
        <w:tc>
          <w:tcPr>
            <w:tcW w:w="36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49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Robert Bodor</w:t>
            </w:r>
          </w:p>
        </w:tc>
      </w:tr>
      <w:tr>
        <w:trPr>
          <w:trHeight w:val="216"/>
        </w:trPr>
        <w:tc>
          <w:tcPr>
            <w:tcW w:w="3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333"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Schumacher, certify that:</w:t>
      </w:r>
    </w:p>
    <w:p>
      <w:pPr>
        <w:spacing w:after="0" w:line="225" w:lineRule="exact"/>
        <w:rPr>
          <w:sz w:val="20"/>
          <w:szCs w:val="20"/>
          <w:color w:val="auto"/>
        </w:rPr>
      </w:pPr>
    </w:p>
    <w:p>
      <w:pPr>
        <w:ind w:left="680" w:hanging="186"/>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Proto Labs, Inc.;</w:t>
      </w:r>
    </w:p>
    <w:p>
      <w:pPr>
        <w:spacing w:after="0" w:line="225"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60" w:right="60" w:hanging="340"/>
        <w:spacing w:after="0" w:line="266" w:lineRule="auto"/>
        <w:tabs>
          <w:tab w:leader="none" w:pos="13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60" w:right="60" w:hanging="340"/>
        <w:spacing w:after="0" w:line="266" w:lineRule="auto"/>
        <w:tabs>
          <w:tab w:leader="none" w:pos="13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60" w:right="160" w:hanging="340"/>
        <w:spacing w:after="0" w:line="312" w:lineRule="auto"/>
        <w:tabs>
          <w:tab w:leader="none" w:pos="136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60" w:right="160" w:hanging="340"/>
        <w:spacing w:after="0" w:line="266" w:lineRule="auto"/>
        <w:tabs>
          <w:tab w:leader="none" w:pos="13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right="260" w:firstLine="494"/>
        <w:spacing w:after="0" w:line="282" w:lineRule="auto"/>
        <w:tabs>
          <w:tab w:leader="none" w:pos="6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60" w:right="400" w:hanging="340"/>
        <w:spacing w:after="0" w:line="282" w:lineRule="auto"/>
        <w:tabs>
          <w:tab w:leader="none" w:pos="13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60" w:right="80" w:hanging="340"/>
        <w:spacing w:after="0" w:line="282" w:lineRule="auto"/>
        <w:tabs>
          <w:tab w:leader="none" w:pos="13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758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By: /s/ Daniel Schumacher</w:t>
            </w:r>
          </w:p>
        </w:tc>
      </w:tr>
      <w:tr>
        <w:trPr>
          <w:trHeight w:val="191"/>
        </w:trPr>
        <w:tc>
          <w:tcPr>
            <w:tcW w:w="36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49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Daniel Schumacher</w:t>
            </w:r>
          </w:p>
        </w:tc>
      </w:tr>
      <w:tr>
        <w:trPr>
          <w:trHeight w:val="216"/>
        </w:trPr>
        <w:tc>
          <w:tcPr>
            <w:tcW w:w="3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34"/>
        </w:trPr>
        <w:tc>
          <w:tcPr>
            <w:tcW w:w="3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33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Robert Bodor, certify, pursuant to 18 U.S.C. Section 1350, as adopted pursuant to Section 906 of the Sarbanes-Oxley Act of 2002, that the Quarterly Report of Proto Labs, Inc. on Form 10-Q for the fiscal quarter ended March 31, 2022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2022</w:t>
      </w:r>
    </w:p>
    <w:p>
      <w:pPr>
        <w:spacing w:after="0" w:line="225" w:lineRule="exact"/>
        <w:rPr>
          <w:sz w:val="20"/>
          <w:szCs w:val="20"/>
          <w:color w:val="auto"/>
        </w:rPr>
      </w:pPr>
    </w:p>
    <w:tbl>
      <w:tblPr>
        <w:tblLayout w:type="fixed"/>
        <w:tblInd w:w="6440" w:type="dxa"/>
        <w:tblCellMar>
          <w:top w:w="0" w:type="dxa"/>
          <w:left w:w="0" w:type="dxa"/>
          <w:bottom w:w="0" w:type="dxa"/>
          <w:right w:w="0" w:type="dxa"/>
        </w:tblCellMar>
      </w:tblPr>
      <w:tr>
        <w:trPr>
          <w:trHeight w:val="23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Robert Bodor</w:t>
            </w:r>
          </w:p>
        </w:tc>
      </w:tr>
      <w:tr>
        <w:trPr>
          <w:trHeight w:val="191"/>
        </w:trPr>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5"/>
              </w:rPr>
              <w:t>Name:</w:t>
            </w:r>
          </w:p>
        </w:tc>
        <w:tc>
          <w:tcPr>
            <w:tcW w:w="60" w:type="dxa"/>
            <w:vAlign w:val="bottom"/>
            <w:tcBorders>
              <w:top w:val="single" w:sz="8" w:color="auto"/>
            </w:tcBorders>
          </w:tcPr>
          <w:p>
            <w:pPr>
              <w:spacing w:after="0"/>
              <w:rPr>
                <w:sz w:val="16"/>
                <w:szCs w:val="16"/>
                <w:color w:val="auto"/>
              </w:rPr>
            </w:pPr>
          </w:p>
        </w:tc>
        <w:tc>
          <w:tcPr>
            <w:tcW w:w="426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Robert Bodor</w:t>
            </w:r>
          </w:p>
        </w:tc>
      </w:tr>
      <w:tr>
        <w:trPr>
          <w:trHeight w:val="23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 Daniel Schumacher, certify, pursuant to 18 U.S.C. Section 1350, as adopted pursuant to Section 906 of the Sarbanes-Oxley Act of 2002, that the Quarterly Report of Proto Labs, Inc. on Form 10-Q for the fiscal quarter ended March 31, 2022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2022</w:t>
      </w:r>
    </w:p>
    <w:p>
      <w:pPr>
        <w:spacing w:after="0" w:line="225" w:lineRule="exact"/>
        <w:rPr>
          <w:sz w:val="20"/>
          <w:szCs w:val="20"/>
          <w:color w:val="auto"/>
        </w:rPr>
      </w:pPr>
    </w:p>
    <w:tbl>
      <w:tblPr>
        <w:tblLayout w:type="fixed"/>
        <w:tblInd w:w="6440" w:type="dxa"/>
        <w:tblCellMar>
          <w:top w:w="0" w:type="dxa"/>
          <w:left w:w="0" w:type="dxa"/>
          <w:bottom w:w="0" w:type="dxa"/>
          <w:right w:w="0" w:type="dxa"/>
        </w:tblCellMar>
      </w:tblPr>
      <w:tr>
        <w:trPr>
          <w:trHeight w:val="23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Daniel Schumacher</w:t>
            </w:r>
          </w:p>
        </w:tc>
      </w:tr>
      <w:tr>
        <w:trPr>
          <w:trHeight w:val="191"/>
        </w:trPr>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5"/>
              </w:rPr>
              <w:t>Name:</w:t>
            </w:r>
          </w:p>
        </w:tc>
        <w:tc>
          <w:tcPr>
            <w:tcW w:w="60" w:type="dxa"/>
            <w:vAlign w:val="bottom"/>
            <w:tcBorders>
              <w:top w:val="single" w:sz="8" w:color="auto"/>
            </w:tcBorders>
          </w:tcPr>
          <w:p>
            <w:pPr>
              <w:spacing w:after="0"/>
              <w:rPr>
                <w:sz w:val="16"/>
                <w:szCs w:val="16"/>
                <w:color w:val="auto"/>
              </w:rPr>
            </w:pPr>
          </w:p>
        </w:tc>
        <w:tc>
          <w:tcPr>
            <w:tcW w:w="426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Daniel Schumacher</w:t>
            </w:r>
          </w:p>
        </w:tc>
      </w:tr>
      <w:tr>
        <w:trPr>
          <w:trHeight w:val="23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Interim Chief Financial Officer</w:t>
            </w: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decimal"/>
      <w:start w:val="104"/>
    </w:lvl>
  </w:abstractNum>
  <w:abstractNum w:abstractNumId="4">
    <w:nsid w:val="507ED7AB"/>
    <w:multiLevelType w:val="hybridMultilevel"/>
    <w:lvl w:ilvl="0">
      <w:lvlJc w:val="left"/>
      <w:lvlText w:val="(%1)"/>
      <w:numFmt w:val="decimal"/>
      <w:start w:val="1"/>
    </w:lvl>
    <w:lvl w:ilvl="1">
      <w:lvlJc w:val="left"/>
      <w:lvlText w:val="%2"/>
      <w:numFmt w:val="decimal"/>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7" Type="http://schemas.openxmlformats.org/officeDocument/2006/relationships/image" Target="media/image67.png"/><Relationship Id="rId74" Type="http://schemas.openxmlformats.org/officeDocument/2006/relationships/hyperlink" Target="http://www.sec.gov/Archives/edgar/data/1443669/000119312512054357/d199869dex32.htm" TargetMode="External"/><Relationship Id="rId75" Type="http://schemas.openxmlformats.org/officeDocument/2006/relationships/hyperlink" Target="http://www.sec.gov/Archives/edgar/data/1443669/000143774915010824/ex3-1.htm" TargetMode="External"/><Relationship Id="rId76" Type="http://schemas.openxmlformats.org/officeDocument/2006/relationships/hyperlink" Target="http://www.sec.gov/Archives/edgar/data/1443669/000143774916041414/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2022-05-06T11:13:06Z</dcterms:created>
  <dcterms:modified xsi:type="dcterms:W3CDTF">2022-05-06T11:13:06Z</dcterms:modified>
</cp:coreProperties>
</file>