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31, 2026</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40" w:before="0" w:after="0"/>
        <w:jc w:val="center"/>
        <w:rPr/>
      </w:pPr>
      <w:r>
        <w:rPr>
          <w:rFonts w:ascii="Times New Roman;serif" w:hAnsi="Times New Roman;serif"/>
          <w:b/>
          <w:color w:val="000000"/>
          <w:sz w:val="24"/>
        </w:rPr>
        <w:t>REGISTRATION STATEMENT</w:t>
        <w:br/>
      </w:r>
      <w:r>
        <w:rPr>
          <w:rFonts w:ascii="Times New Roman;serif" w:hAnsi="Times New Roman;serif"/>
          <w:b/>
          <w:i/>
          <w:color w:val="000000"/>
          <w:sz w:val="24"/>
        </w:rPr>
        <w:t>UNDER</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PROTO LABS, INC.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left"/>
        <w:rPr>
          <w:color w:val="000000"/>
        </w:rPr>
      </w:pPr>
      <w:r>
        <w:rPr>
          <w:color w:val="000000"/>
        </w:rPr>
        <w:t> </w:t>
      </w:r>
    </w:p>
    <w:tbl>
      <w:tblPr>
        <w:tblW w:w="4556" w:type="dxa"/>
        <w:jc w:val="left"/>
        <w:tblInd w:w="0" w:type="dxa"/>
        <w:tblLayout w:type="fixed"/>
        <w:tblCellMar>
          <w:top w:w="28" w:type="dxa"/>
          <w:left w:w="28" w:type="dxa"/>
          <w:bottom w:w="28" w:type="dxa"/>
          <w:right w:w="28" w:type="dxa"/>
        </w:tblCellMar>
      </w:tblPr>
      <w:tblGrid>
        <w:gridCol w:w="932"/>
        <w:gridCol w:w="820"/>
        <w:gridCol w:w="828"/>
        <w:gridCol w:w="109"/>
        <w:gridCol w:w="109"/>
        <w:gridCol w:w="109"/>
        <w:gridCol w:w="481"/>
        <w:gridCol w:w="481"/>
        <w:gridCol w:w="687"/>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41-1939628</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5540 Pioneer Creek Drive</w:t>
      </w:r>
    </w:p>
    <w:p>
      <w:pPr>
        <w:pStyle w:val="TextBody"/>
        <w:bidi w:val="0"/>
        <w:spacing w:lineRule="auto" w:line="240" w:before="0" w:after="0"/>
        <w:jc w:val="center"/>
        <w:rPr/>
      </w:pPr>
      <w:r>
        <w:rPr>
          <w:rFonts w:ascii="Times New Roman;serif" w:hAnsi="Times New Roman;serif"/>
          <w:b/>
          <w:color w:val="000000"/>
          <w:sz w:val="20"/>
        </w:rPr>
        <w:t>Maple Plain, Minnesota</w:t>
      </w:r>
      <w:r>
        <w:rPr>
          <w:color w:val="000000"/>
        </w:rPr>
        <w:t xml:space="preserve"> </w:t>
      </w:r>
      <w:r>
        <w:rPr>
          <w:rFonts w:ascii="Times New Roman;serif" w:hAnsi="Times New Roman;serif"/>
          <w:b/>
          <w:color w:val="000000"/>
          <w:sz w:val="20"/>
        </w:rPr>
        <w:t>55359</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Amended and Restated Proto Labs, Inc. 2022 Long-Term Incentive Plan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(Full Title of the Plan) </w:t>
      </w:r>
    </w:p>
    <w:p>
      <w:pPr>
        <w:pStyle w:val="TextBody"/>
        <w:bidi w:val="0"/>
        <w:spacing w:lineRule="auto" w:line="240" w:before="0" w:after="0"/>
        <w:jc w:val="left"/>
        <w:rPr>
          <w:color w:val="000000"/>
        </w:rPr>
      </w:pPr>
      <w:r>
        <w:rPr>
          <w:color w:val="000000"/>
        </w:rPr>
        <w:t> </w:t>
      </w:r>
    </w:p>
    <w:tbl>
      <w:tblPr>
        <w:tblW w:w="5907" w:type="dxa"/>
        <w:jc w:val="left"/>
        <w:tblInd w:w="0" w:type="dxa"/>
        <w:tblLayout w:type="fixed"/>
        <w:tblCellMar>
          <w:top w:w="28" w:type="dxa"/>
          <w:left w:w="28" w:type="dxa"/>
          <w:bottom w:w="28" w:type="dxa"/>
          <w:right w:w="28" w:type="dxa"/>
        </w:tblCellMar>
      </w:tblPr>
      <w:tblGrid>
        <w:gridCol w:w="842"/>
        <w:gridCol w:w="739"/>
        <w:gridCol w:w="744"/>
        <w:gridCol w:w="109"/>
        <w:gridCol w:w="109"/>
        <w:gridCol w:w="109"/>
        <w:gridCol w:w="954"/>
        <w:gridCol w:w="954"/>
        <w:gridCol w:w="1347"/>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Copy to:</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Jacob Heilman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 Morgan Burns</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D. Pihlstrom</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Proto Labs,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Faegre Drinker Biddle &amp; Reath LLP</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5540 Pioneer Creek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2200 Wells Fargo Center</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Maple Plain, MN 55359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South Seventh Street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(763) 479-3680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Minneapolis, MN 55402-3901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(612) 766-7000</w:t>
            </w:r>
          </w:p>
        </w:tc>
      </w:tr>
    </w:tbl>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and telephone number, including area code, of agent for service)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40" w:before="0" w:after="0"/>
        <w:jc w:val="left"/>
        <w:rPr>
          <w:color w:val="000000"/>
        </w:rPr>
      </w:pPr>
      <w:r>
        <w:rPr>
          <w:color w:val="000000"/>
        </w:rPr>
        <w:t> </w: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Large 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Smaller reporting company </w:t>
            </w:r>
            <w:r>
              <w:rPr>
                <w:color w:val="000000"/>
              </w:rPr>
              <w:t>☐</w:t>
            </w:r>
          </w:p>
          <w:p>
            <w:pPr>
              <w:pStyle w:val="TableContents"/>
              <w:bidi w:val="0"/>
              <w:spacing w:lineRule="auto" w:line="240" w:before="0" w:after="0"/>
              <w:jc w:val="both"/>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40" w:before="0" w:after="0"/>
        <w:jc w:val="left"/>
        <w:rPr>
          <w:color w:val="000000"/>
        </w:rPr>
      </w:pPr>
      <w:r>
        <w:rPr>
          <w:color w:val="000000"/>
        </w:rPr>
        <w:t> </w:t>
      </w:r>
    </w:p>
    <w:p>
      <w:pPr>
        <w:pStyle w:val="TextBody"/>
        <w:bidi w:val="0"/>
        <w:spacing w:lineRule="auto" w:line="288" w:before="0" w:after="0"/>
        <w:ind w:left="0" w:right="0" w:firstLine="576"/>
        <w:jc w:val="left"/>
        <w:rPr/>
      </w:pPr>
      <w:r>
        <w:rPr>
          <w:rFonts w:ascii="Times New Roman;serif" w:hAnsi="Times New Roman;serif"/>
          <w:b w:val="false"/>
          <w:color w:val="000000"/>
          <w:sz w:val="20"/>
        </w:rPr>
        <w:t>Pursuant to General Instruction E of Form S-8, this Registration Statement is filed to register an additional 395,000 shares of the common stock, $0.001 par value (“Common Stock”), of Proto Labs, Inc. (the “Company”) reserved for issuance under the Amended and Restated Proto Labs, Inc. 2022 Long-Term Incentive Plan (the “Plan”). Shares of the Company’s Common Stock issuable under the Plan were initially registered pursuant to a Registration Statement on Form S-8 filed with the Securities and Exchange Commission (the “Commission”) on August 30, 2022 (No.</w:t>
      </w:r>
      <w:hyperlink r:id="rId2">
        <w:r>
          <w:rPr>
            <w:rStyle w:val="InternetLink"/>
            <w:color w:val="0000FF"/>
            <w:u w:val="single"/>
          </w:rPr>
          <w:t xml:space="preserve"> </w:t>
        </w:r>
      </w:hyperlink>
      <w:hyperlink r:id="rId3">
        <w:r>
          <w:rPr>
            <w:rStyle w:val="InternetLink"/>
            <w:rFonts w:ascii="Times New Roman;serif" w:hAnsi="Times New Roman;serif"/>
            <w:b w:val="false"/>
            <w:color w:val="0000FF"/>
            <w:sz w:val="20"/>
            <w:u w:val="single"/>
          </w:rPr>
          <w:t>333-267156)</w:t>
        </w:r>
      </w:hyperlink>
      <w:r>
        <w:rPr>
          <w:rFonts w:ascii="Times New Roman;serif" w:hAnsi="Times New Roman;serif"/>
          <w:b w:val="false"/>
          <w:color w:val="000000"/>
          <w:sz w:val="20"/>
        </w:rPr>
        <w:t>. Such Registration Statement is currently effective, and the contents thereof are incorporated herein by reference except to the extent that such content is superseded by the items appearing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40"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specified in Part I of Form S-8 is not required to be filed with the Commission either as part of this Registration Statement on Form S-8 (this “Registration Statement”) or as prospectuses or prospectus supplements pursuant to Rule 424 under the Securities Act of 1933, as amended (the “Securities Act”). The information required in the Section 10(a) prospectus is included in the documents being maintained and delivered by the Company as required by Rule 428 under the Securities Act. Such documents and the documents incorporated by reference in this Registration Statement pursuant to Item 3 of Part II hereof, taken together, constitute a prospectus that meets the requirements of Section 10(a)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40" w:before="0" w:after="0"/>
        <w:jc w:val="left"/>
        <w:rPr>
          <w:color w:val="000000"/>
        </w:rPr>
      </w:pPr>
      <w:r>
        <w:rPr>
          <w:color w:val="000000"/>
        </w:rPr>
        <w:t> </w:t>
      </w:r>
    </w:p>
    <w:p>
      <w:pPr>
        <w:pStyle w:val="TextBody"/>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23" w:type="dxa"/>
        <w:jc w:val="left"/>
        <w:tblInd w:w="0" w:type="dxa"/>
        <w:tblLayout w:type="fixed"/>
        <w:tblCellMar>
          <w:top w:w="28" w:type="dxa"/>
          <w:left w:w="28" w:type="dxa"/>
          <w:bottom w:w="28" w:type="dxa"/>
          <w:right w:w="28" w:type="dxa"/>
        </w:tblCellMar>
      </w:tblPr>
      <w:tblGrid>
        <w:gridCol w:w="255"/>
        <w:gridCol w:w="223"/>
        <w:gridCol w:w="226"/>
        <w:gridCol w:w="1087"/>
        <w:gridCol w:w="1087"/>
        <w:gridCol w:w="154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Incorporation of Documents by Reference.</w:t>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by the Company with the Commission are hereby incorporated by reference into this Registration Statement: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 the Company’s </w:t>
      </w:r>
      <w:hyperlink r:id="rId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 filed on February 20,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(b) those portions of the Company’s </w:t>
      </w:r>
      <w:hyperlink r:id="rId5">
        <w:r>
          <w:rPr>
            <w:rStyle w:val="InternetLink"/>
            <w:rFonts w:ascii="Times New Roman;serif" w:hAnsi="Times New Roman;serif"/>
            <w:b w:val="false"/>
            <w:color w:val="0000FF"/>
            <w:sz w:val="20"/>
            <w:u w:val="single"/>
          </w:rPr>
          <w:t>Definitive Proxy Statement on Schedule 14A</w:t>
        </w:r>
      </w:hyperlink>
      <w:r>
        <w:rPr>
          <w:color w:val="000000"/>
        </w:rPr>
        <w:t xml:space="preserve"> </w:t>
      </w:r>
      <w:r>
        <w:rPr>
          <w:rFonts w:ascii="Times New Roman;serif" w:hAnsi="Times New Roman;serif"/>
          <w:b w:val="false"/>
          <w:color w:val="000000"/>
          <w:sz w:val="20"/>
        </w:rPr>
        <w:t>for its 2026 Annual Meeting of Shareholders, filed with the Commission on April 8, 2026, that were specifically incorporated by reference into the Company’s Annual Report on Form 10-K for the year ended December 31, 2025;</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 the Company’s Quarterly Reports on Form 10-Q, filed on </w:t>
      </w:r>
      <w:hyperlink r:id="rId6">
        <w:r>
          <w:rPr>
            <w:rStyle w:val="InternetLink"/>
            <w:rFonts w:ascii="Times New Roman;serif" w:hAnsi="Times New Roman;serif"/>
            <w:b w:val="false"/>
            <w:color w:val="0000FF"/>
            <w:sz w:val="20"/>
            <w:u w:val="single"/>
          </w:rPr>
          <w:t>May 1, 2026</w:t>
        </w:r>
      </w:hyperlink>
      <w:r>
        <w:rPr>
          <w:color w:val="000000"/>
        </w:rPr>
        <w:t xml:space="preserve"> </w:t>
      </w:r>
      <w:r>
        <w:rPr>
          <w:rFonts w:ascii="Times New Roman;serif" w:hAnsi="Times New Roman;serif"/>
          <w:b w:val="false"/>
          <w:color w:val="000000"/>
          <w:sz w:val="20"/>
        </w:rPr>
        <w:t xml:space="preserve">and </w:t>
      </w:r>
      <w:hyperlink r:id="rId7">
        <w:r>
          <w:rPr>
            <w:rStyle w:val="InternetLink"/>
          </w:rPr>
          <w:t xml:space="preserve">July </w:t>
        </w:r>
      </w:hyperlink>
      <w:hyperlink r:id="rId8">
        <w:r>
          <w:rPr>
            <w:rStyle w:val="InternetLink"/>
          </w:rPr>
          <w:t>31</w:t>
        </w:r>
      </w:hyperlink>
      <w:hyperlink r:id="rId9">
        <w:r>
          <w:rPr>
            <w:rStyle w:val="InternetLink"/>
          </w:rPr>
          <w:t>, 2026</w:t>
        </w:r>
      </w:hyperlink>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 the Company’s Current Reports on Form 8-K filed on </w:t>
      </w:r>
      <w:hyperlink r:id="rId10">
        <w:r>
          <w:rPr>
            <w:rStyle w:val="InternetLink"/>
            <w:rFonts w:ascii="Times New Roman;serif" w:hAnsi="Times New Roman;serif"/>
            <w:b w:val="false"/>
            <w:color w:val="0000FF"/>
            <w:sz w:val="20"/>
            <w:u w:val="single"/>
          </w:rPr>
          <w:t>May 7, 2026</w:t>
        </w:r>
      </w:hyperlink>
      <w:r>
        <w:rPr>
          <w:color w:val="000000"/>
        </w:rPr>
        <w:t xml:space="preserve"> </w:t>
      </w:r>
      <w:r>
        <w:rPr>
          <w:rFonts w:ascii="Times New Roman;serif" w:hAnsi="Times New Roman;serif"/>
          <w:b w:val="false"/>
          <w:color w:val="000000"/>
          <w:sz w:val="20"/>
        </w:rPr>
        <w:t xml:space="preserve">and </w:t>
      </w:r>
      <w:hyperlink r:id="rId11">
        <w:r>
          <w:rPr>
            <w:rStyle w:val="InternetLink"/>
            <w:rFonts w:ascii="Times New Roman;serif" w:hAnsi="Times New Roman;serif"/>
            <w:b w:val="false"/>
            <w:color w:val="0000FF"/>
            <w:sz w:val="20"/>
            <w:u w:val="single"/>
          </w:rPr>
          <w:t>May 20, 2026</w:t>
        </w:r>
      </w:hyperlink>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all other reports filed pursuant to Section 13(a) or 15(d) of the Securities Exchange Act of 1934, as amended (the “Exchange Act”), since the end of the fiscal year covered by the Company's Annual Report referred to in (a) above (other than information deemed to have been “furnished” rather than “filed” in accordance with the Commission’s rules);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 the description of the Company’s Common Stock contained in the Company’s Registration Statement on Form 8-A filed on </w:t>
      </w:r>
      <w:hyperlink r:id="rId12">
        <w:r>
          <w:rPr>
            <w:rStyle w:val="InternetLink"/>
            <w:rFonts w:ascii="Times New Roman;serif" w:hAnsi="Times New Roman;serif"/>
            <w:b w:val="false"/>
            <w:color w:val="0000FF"/>
            <w:sz w:val="20"/>
            <w:u w:val="single"/>
          </w:rPr>
          <w:t>February 21, 2012</w:t>
        </w:r>
      </w:hyperlink>
      <w:r>
        <w:rPr>
          <w:rFonts w:ascii="Times New Roman;serif" w:hAnsi="Times New Roman;serif"/>
          <w:b w:val="false"/>
          <w:color w:val="000000"/>
          <w:sz w:val="20"/>
        </w:rPr>
        <w:t xml:space="preserve">, as updated by </w:t>
      </w:r>
      <w:hyperlink r:id="rId13">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the Company's Annual Report referred to in (a) above, including any amendment or report filed with the Commission for the purpose of updating such description.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all reports and other documents subsequently filed (but not furnished) by the Company pursuant to Sections 13(a), 13(c), 14 and 15(d) of the Exchange Act, prior to the filing of a post-effective amendment to this Registration Statement that indicates that all of the shares of Common Stock offered hereby have been sold or that deregisters all shares of the Common Stock then remaining unsold, shall be deemed to be incorporated by reference in and a part of this Registration Statement from the date of filing of such reports and documents; except as to any document, or portion of or exhibit to a document, that is “furnished” to (rather than “filed” with) the Commission.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supersedes such statement. Any such statement so modified or superseded shall not be deemed, except as so modified or superseded, to constitute a part of this Registration Statement.</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60" w:after="283"/>
        <w:jc w:val="left"/>
        <w:rPr>
          <w:color w:val="000000"/>
        </w:rPr>
      </w:pPr>
      <w:r>
        <w:rPr>
          <w:color w:val="000000"/>
        </w:rPr>
        <w:t> </w:t>
      </w:r>
    </w:p>
    <w:tbl>
      <w:tblPr>
        <w:tblW w:w="2953" w:type="dxa"/>
        <w:jc w:val="left"/>
        <w:tblInd w:w="0" w:type="dxa"/>
        <w:tblLayout w:type="fixed"/>
        <w:tblCellMar>
          <w:top w:w="28" w:type="dxa"/>
          <w:left w:w="28" w:type="dxa"/>
          <w:bottom w:w="28" w:type="dxa"/>
          <w:right w:w="28" w:type="dxa"/>
        </w:tblCellMar>
      </w:tblPr>
      <w:tblGrid>
        <w:gridCol w:w="255"/>
        <w:gridCol w:w="223"/>
        <w:gridCol w:w="226"/>
        <w:gridCol w:w="657"/>
        <w:gridCol w:w="657"/>
        <w:gridCol w:w="93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Securities.</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59" w:type="dxa"/>
        <w:jc w:val="left"/>
        <w:tblInd w:w="0" w:type="dxa"/>
        <w:tblLayout w:type="fixed"/>
        <w:tblCellMar>
          <w:top w:w="28" w:type="dxa"/>
          <w:left w:w="28" w:type="dxa"/>
          <w:bottom w:w="28" w:type="dxa"/>
          <w:right w:w="28" w:type="dxa"/>
        </w:tblCellMar>
      </w:tblPr>
      <w:tblGrid>
        <w:gridCol w:w="255"/>
        <w:gridCol w:w="223"/>
        <w:gridCol w:w="226"/>
        <w:gridCol w:w="1041"/>
        <w:gridCol w:w="1041"/>
        <w:gridCol w:w="147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Interests of Named Experts and Counsel.</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79" w:type="dxa"/>
        <w:jc w:val="left"/>
        <w:tblInd w:w="0" w:type="dxa"/>
        <w:tblLayout w:type="fixed"/>
        <w:tblCellMar>
          <w:top w:w="28" w:type="dxa"/>
          <w:left w:w="28" w:type="dxa"/>
          <w:bottom w:w="28" w:type="dxa"/>
          <w:right w:w="28" w:type="dxa"/>
        </w:tblCellMar>
      </w:tblPr>
      <w:tblGrid>
        <w:gridCol w:w="255"/>
        <w:gridCol w:w="223"/>
        <w:gridCol w:w="226"/>
        <w:gridCol w:w="1075"/>
        <w:gridCol w:w="1075"/>
        <w:gridCol w:w="152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Indemnification of Directors and Officers.</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Minnesota Statutes Chapter 302A, the Minnesota Business Corporation Act (the “MBCA”). Section 302A.521 of the MBCA provides in substance that, unless prohibited by its articles of incorporation or bylaws, a corporation must indemnify a person, including an officer or director, who is made or threatened to be made a party to a proceeding by reason of the former or present official capacity of the person against judgments, penalties, fines, including, without limitation, excise taxes assessed against the person with respect to an employee benefit plan, settlements, and reasonable expenses, including attorneys’ fees and disbursements, incurred by such person in connection with the proceeding, if certain criteria are met. These criteria, all of which must be met by the person seeking indemnification, are (a) that such person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(b) that such person must have acted in good faith; (c) that no improper personal benefit was obtained by such person and such person satisfied certain statutory conflicts of interest provisions, if applicable; (d) that in the case of a criminal proceeding, such person had no reasonable cause to believe that the conduct was unlawful; and (e) that, in the case of acts or omissions occurring in such person’s performance in an official capacity, such person must have acted in a manner such person reasonably believed was in the best interests of the corporation or, in certain limited circumstances, not opposed to the best interests of the corporation. In addition, Section 302A.521, subd. 3 of the MBCA requires payment by the Company, upon written request, of reasonable expenses in advance of final disposition in certain instances. A decision as to required indemnification is made by a majority of the disinterested board of directors present at a meeting at which a disinterested quorum is present, or by a designated committee of disinterested directors, by special legal counsel, by the disinterested shareholders, or by a court.</w:t>
      </w:r>
    </w:p>
    <w:p>
      <w:pPr>
        <w:pStyle w:val="TextBody"/>
        <w:bidi w:val="0"/>
        <w:spacing w:before="0" w:after="0"/>
        <w:ind w:left="0" w:right="0" w:firstLine="720"/>
        <w:jc w:val="both"/>
        <w:rPr/>
      </w:pPr>
      <w:r>
        <w:rPr/>
      </w:r>
    </w:p>
    <w:p>
      <w:pPr>
        <w:pStyle w:val="TextBody"/>
        <w:bidi w:val="0"/>
        <w:spacing w:lineRule="auto" w:line="240" w:before="0" w:after="0"/>
        <w:jc w:val="left"/>
        <w:rPr>
          <w:color w:val="000000"/>
        </w:rPr>
      </w:pPr>
      <w:r>
        <w:rPr>
          <w:color w:val="000000"/>
        </w:rPr>
        <w:t>     </w:t>
      </w:r>
      <w:r>
        <w:rPr>
          <w:rFonts w:ascii="Times New Roman;serif" w:hAnsi="Times New Roman;serif"/>
          <w:b w:val="false"/>
          <w:color w:val="000000"/>
          <w:sz w:val="20"/>
        </w:rPr>
        <w:t>The Company also maintains a director and officer insurance policy to cover the Company, its directors and its officers against certain liabilities.</w:t>
      </w:r>
    </w:p>
    <w:p>
      <w:pPr>
        <w:pStyle w:val="TextBody"/>
        <w:bidi w:val="0"/>
        <w:spacing w:lineRule="auto" w:line="240" w:before="1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53" w:type="dxa"/>
        <w:jc w:val="left"/>
        <w:tblInd w:w="0" w:type="dxa"/>
        <w:tblLayout w:type="fixed"/>
        <w:tblCellMar>
          <w:top w:w="28" w:type="dxa"/>
          <w:left w:w="28" w:type="dxa"/>
          <w:bottom w:w="28" w:type="dxa"/>
          <w:right w:w="28" w:type="dxa"/>
        </w:tblCellMar>
      </w:tblPr>
      <w:tblGrid>
        <w:gridCol w:w="255"/>
        <w:gridCol w:w="223"/>
        <w:gridCol w:w="226"/>
        <w:gridCol w:w="1008"/>
        <w:gridCol w:w="1008"/>
        <w:gridCol w:w="143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Exemption from Registration Claimed.</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605" w:type="dxa"/>
        <w:jc w:val="left"/>
        <w:tblInd w:w="0" w:type="dxa"/>
        <w:tblLayout w:type="fixed"/>
        <w:tblCellMar>
          <w:top w:w="28" w:type="dxa"/>
          <w:left w:w="28" w:type="dxa"/>
          <w:bottom w:w="28" w:type="dxa"/>
          <w:right w:w="28" w:type="dxa"/>
        </w:tblCellMar>
      </w:tblPr>
      <w:tblGrid>
        <w:gridCol w:w="255"/>
        <w:gridCol w:w="223"/>
        <w:gridCol w:w="226"/>
        <w:gridCol w:w="264"/>
        <w:gridCol w:w="264"/>
        <w:gridCol w:w="37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75"/>
        <w:gridCol w:w="2675"/>
        <w:gridCol w:w="379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Third Amended and Restated Articles of Incorporation of Proto Labs, Inc. (incorporated by reference to Exhibit 3.2 to the Company’s Registration Statement on Form S-1/A, filed with the Commission on February 13, 2012)</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Articles of Amendment to Third Amended and Restated Articles of Incorporation of Proto Labs, Inc. dated May 20, 2015 (incorporated by reference to Exhibit 3.1 to the Company’s Form 8-K, filed with the Commission on May 21, 2015)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Third Amended and Restated By-Laws of Proto Labs, Inc, as amended through November 15, 2022 (incorporated by reference to Exhibit 3.2 to the Company’s Form 8-K, filed with the Commission on November 15, 2022)</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lb-formsx8filingsxex51ju.htm">
              <w:r>
                <w:rPr>
                  <w:rStyle w:val="InternetLink"/>
                  <w:rFonts w:ascii="Times New Roman;serif" w:hAnsi="Times New Roman;serif"/>
                  <w:b w:val="false"/>
                  <w:color w:val="0000FF"/>
                  <w:sz w:val="20"/>
                  <w:u w:val="single"/>
                </w:rPr>
                <w:t>Opinion of Faegre Drinker Biddle &amp; Reath LLP</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lb-formsx8filingsxex51ju.htm">
              <w:r>
                <w:rPr>
                  <w:rStyle w:val="InternetLink"/>
                  <w:rFonts w:ascii="Times New Roman;serif" w:hAnsi="Times New Roman;serif"/>
                  <w:b w:val="false"/>
                  <w:color w:val="0E32E1"/>
                  <w:sz w:val="20"/>
                  <w:u w:val="single"/>
                </w:rPr>
                <w:t>Consent of Faegre Drinker Biddle &amp; Reath LLP (included in Exhibit 5.1)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nsentofindependentaudito.htm">
              <w:r>
                <w:rPr>
                  <w:rStyle w:val="InternetLink"/>
                  <w:rFonts w:ascii="Times New Roman;serif" w:hAnsi="Times New Roman;serif"/>
                  <w:b w:val="false"/>
                  <w:color w:val="0000FF"/>
                  <w:sz w:val="20"/>
                  <w:u w:val="single"/>
                </w:rPr>
                <w:t>Consent of Ernst &amp; Young LLP</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cfbb40d549f89cd4d68e4febd01c_37">
              <w:r>
                <w:rPr>
                  <w:rStyle w:val="InternetLink"/>
                  <w:rFonts w:ascii="Times New Roman;serif" w:hAnsi="Times New Roman;serif"/>
                  <w:b w:val="false"/>
                  <w:color w:val="0000FF"/>
                  <w:sz w:val="20"/>
                  <w:u w:val="single"/>
                </w:rPr>
                <w:t>Power of Attorney (included on signature page hereto)</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Amended and Restated Proto Labs, Inc. 2022 Long-Term Incentive Plan, as amended May 19, 2026 (incorporated by reference to Exhibit 10.1 to the Company’s Form 8-K filed on May 20, 2026)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40" w:type="dxa"/>
        <w:jc w:val="left"/>
        <w:tblInd w:w="0" w:type="dxa"/>
        <w:tblLayout w:type="fixed"/>
        <w:tblCellMar>
          <w:top w:w="28" w:type="dxa"/>
          <w:left w:w="28" w:type="dxa"/>
          <w:bottom w:w="28" w:type="dxa"/>
          <w:right w:w="28" w:type="dxa"/>
        </w:tblCellMar>
      </w:tblPr>
      <w:tblGrid>
        <w:gridCol w:w="255"/>
        <w:gridCol w:w="223"/>
        <w:gridCol w:w="226"/>
        <w:gridCol w:w="391"/>
        <w:gridCol w:w="391"/>
        <w:gridCol w:w="55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Undertakings.</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 The Company hereby undertakes: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and (a)(1)(ii) above do not apply if the Registration Statement is on Form S-8, and the information required to be included in a post-effective amendment by those paragraphs is contained in reports filed with or furnished to the Commission by the Company pursuant to Section 13 or Section 15(d) of the Exchange Act that are incorporated by reference in this Registration Statement; and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 The Company hereby undertakes that, for purposes of determining any liability under the Securities Act, each filing of the Company’s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Maple Plain, State of Minnesota, on July 31, 2026.</w:t>
      </w:r>
    </w:p>
    <w:p>
      <w:pPr>
        <w:pStyle w:val="TextBody"/>
        <w:bidi w:val="0"/>
        <w:spacing w:lineRule="auto" w:line="240" w:before="0" w:after="0"/>
        <w:jc w:val="left"/>
        <w:rPr>
          <w:color w:val="000000"/>
        </w:rPr>
      </w:pPr>
      <w:r>
        <w:rPr>
          <w:color w:val="000000"/>
        </w:rPr>
        <w:t> </w:t>
      </w:r>
    </w:p>
    <w:tbl>
      <w:tblPr>
        <w:tblW w:w="5685" w:type="dxa"/>
        <w:jc w:val="left"/>
        <w:tblInd w:w="0" w:type="dxa"/>
        <w:tblLayout w:type="fixed"/>
        <w:tblCellMar>
          <w:top w:w="28" w:type="dxa"/>
          <w:left w:w="28" w:type="dxa"/>
          <w:bottom w:w="28" w:type="dxa"/>
          <w:right w:w="28" w:type="dxa"/>
        </w:tblCellMar>
      </w:tblPr>
      <w:tblGrid>
        <w:gridCol w:w="124"/>
        <w:gridCol w:w="109"/>
        <w:gridCol w:w="109"/>
        <w:gridCol w:w="276"/>
        <w:gridCol w:w="276"/>
        <w:gridCol w:w="276"/>
        <w:gridCol w:w="1306"/>
        <w:gridCol w:w="1306"/>
        <w:gridCol w:w="19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PROTO LABS,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Suresh Krishna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Suresh Krishna, 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6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to this Registration Statement appears below hereby constitutes and appoints Suresh Krishna and Daniel Schumacher, and each of them,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on July 31, 2026 by the following persons in the capacities indicated.</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701"/>
        <w:gridCol w:w="616"/>
        <w:gridCol w:w="618"/>
        <w:gridCol w:w="109"/>
        <w:gridCol w:w="109"/>
        <w:gridCol w:w="109"/>
        <w:gridCol w:w="1502"/>
        <w:gridCol w:w="1502"/>
        <w:gridCol w:w="2140"/>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Suresh Krishna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Suresh Krishna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Schumacher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Schumacher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Rainer Gawlick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Rainer Gawlick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Archie C.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Archie C.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Sujeet Chand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Sujeet Chand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Moonhie 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Moonhie 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Donald G. Krantz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Sven A. Wehrwein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Sven A. Wehrwein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59" w:type="dxa"/>
        <w:jc w:val="left"/>
        <w:tblInd w:w="0" w:type="dxa"/>
        <w:tblLayout w:type="fixed"/>
        <w:tblCellMar>
          <w:top w:w="28" w:type="dxa"/>
          <w:left w:w="28" w:type="dxa"/>
          <w:bottom w:w="28" w:type="dxa"/>
          <w:right w:w="28" w:type="dxa"/>
        </w:tblCellMar>
      </w:tblPr>
      <w:tblGrid>
        <w:gridCol w:w="3405"/>
        <w:gridCol w:w="154"/>
      </w:tblGrid>
      <w:tr>
        <w:trPr/>
        <w:tc>
          <w:tcPr>
            <w:tcW w:w="355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5" w:type="dxa"/>
            <w:tcBorders/>
            <w:vAlign w:val="center"/>
          </w:tcPr>
          <w:p>
            <w:pPr>
              <w:pStyle w:val="TableContents"/>
              <w:bidi w:val="0"/>
              <w:spacing w:before="0" w:after="283"/>
              <w:jc w:val="left"/>
              <w:rPr>
                <w:b/>
              </w:rPr>
            </w:pPr>
            <w:r>
              <w:rPr>
                <w:b/>
              </w:rPr>
              <w:t xml:space="preserve">Proto Labs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5"/>
        <w:gridCol w:w="1292"/>
        <w:gridCol w:w="1201"/>
        <w:gridCol w:w="1214"/>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5" w:type="dxa"/>
            <w:tcBorders/>
            <w:shd w:fill="E7E7E2" w:val="clear"/>
            <w:vAlign w:val="center"/>
          </w:tcPr>
          <w:p>
            <w:pPr>
              <w:pStyle w:val="TableContents"/>
              <w:bidi w:val="0"/>
              <w:spacing w:before="0" w:after="283"/>
              <w:jc w:val="left"/>
              <w:rPr/>
            </w:pPr>
            <w:r>
              <w:rPr/>
              <w:t xml:space="preserve">Common Stock, par value $0.001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395,000 </w:t>
            </w:r>
          </w:p>
        </w:tc>
        <w:tc>
          <w:tcPr>
            <w:tcW w:w="1214" w:type="dxa"/>
            <w:tcBorders/>
            <w:shd w:fill="E7E7E2" w:val="clear"/>
            <w:vAlign w:val="center"/>
          </w:tcPr>
          <w:p>
            <w:pPr>
              <w:pStyle w:val="TableContents"/>
              <w:bidi w:val="0"/>
              <w:spacing w:before="0" w:after="283"/>
              <w:jc w:val="right"/>
              <w:rPr/>
            </w:pPr>
            <w:r>
              <w:rPr/>
              <w:t xml:space="preserve">$ 78.13 </w:t>
            </w:r>
          </w:p>
        </w:tc>
        <w:tc>
          <w:tcPr>
            <w:tcW w:w="1701" w:type="dxa"/>
            <w:tcBorders/>
            <w:shd w:fill="E7E7E2" w:val="clear"/>
            <w:vAlign w:val="center"/>
          </w:tcPr>
          <w:p>
            <w:pPr>
              <w:pStyle w:val="TableContents"/>
              <w:bidi w:val="0"/>
              <w:spacing w:before="0" w:after="283"/>
              <w:jc w:val="right"/>
              <w:rPr/>
            </w:pPr>
            <w:r>
              <w:rPr/>
              <w:t xml:space="preserve">$ 30,861,350.00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$ 4,261.95 </w:t>
            </w:r>
          </w:p>
        </w:tc>
      </w:tr>
      <w:tr>
        <w:trPr/>
        <w:tc>
          <w:tcPr>
            <w:tcW w:w="4735"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4" w:name="MaxAggtOfferingPrice"/>
            <w:bookmarkEnd w:id="4"/>
            <w:r>
              <w:rPr/>
              <w:t xml:space="preserve">$ 30,861,350.00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$ 4,261.95 </w:t>
            </w:r>
          </w:p>
        </w:tc>
      </w:tr>
      <w:tr>
        <w:trPr/>
        <w:tc>
          <w:tcPr>
            <w:tcW w:w="4735"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5"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7" w:name="NetFeeAmt"/>
            <w:bookmarkEnd w:id="7"/>
            <w:r>
              <w:rPr/>
              <w:t xml:space="preserve">$ 4,261.95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on Form S-8 shall also cover any additional shares of the common stock of Proto Labs, Inc. (the "Registrant") that become issuable in respect of the securities identified in the above table under the Amended and Restated Proto Labs, Inc. 2022 Long-Term Incentive Plan (the "Plan") by reason of any stock dividend, stock split, recapitalization or other similar transaction effected without the Registrant's receipt of consideration that results in an increase in the number of the outstanding shares of the Registrant's common stock. The Amount Registered represents an additional 395,000 shares of the Registrant's common stock, par value $0.001 per share, that are authorized for issuance under the Plan. The Proposed Maximum Offering Price Per Unit is estimated solely for the purpose of calculating the registration fee in accordance with Rule 457(c) and Rule 457(h) under the Securities Act using the average of the high and low sale prices of the common stock on July 27, 2026, as reported on The New York Stock Exchange, which is within five business days prior to filing this Registration Statement on Form S-8.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left"/>
        <w:rPr/>
      </w:pPr>
      <w:r>
        <w:rPr/>
        <w:drawing>
          <wp:inline distT="0" distB="0" distL="0" distR="0">
            <wp:extent cx="5943600" cy="10287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18"/>
                    <a:stretch>
                      <a:fillRect/>
                    </a:stretch>
                  </pic:blipFill>
                  <pic:spPr bwMode="auto">
                    <a:xfrm>
                      <a:off x="0" y="0"/>
                      <a:ext cx="5943600" cy="1028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right"/>
        <w:rPr/>
      </w:pPr>
      <w:r>
        <w:rPr>
          <w:rFonts w:ascii="Arial;sans-serif" w:hAnsi="Arial;sans-serif"/>
          <w:b/>
          <w:color w:val="000000"/>
          <w:sz w:val="14"/>
        </w:rPr>
        <w:t xml:space="preserve">Faegre Drinker Biddle &amp; Reath </w:t>
      </w:r>
      <w:r>
        <w:rPr>
          <w:rFonts w:ascii="Arial;sans-serif" w:hAnsi="Arial;sans-serif"/>
          <w:b/>
          <w:color w:val="000000"/>
          <w:sz w:val="11"/>
        </w:rPr>
        <w:t>LLP</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2200 Wells Fargo Center</w:t>
        <w:br/>
        <w:t>90 South Seventh Street</w:t>
        <w:br/>
        <w:t>Minneapolis, Minnesota 55402</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+1 612 766 7000 main</w:t>
      </w:r>
    </w:p>
    <w:p>
      <w:pPr>
        <w:pStyle w:val="TextBody"/>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+1 612 766 1600 fax</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July 31, 2026</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Board of Directors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Proto Labs, Inc.</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5540 Pioneer Creek Drive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Maple Plain, MN 55359</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have acted as counsel to Proto Labs, Inc., a Minnesota corporation (the “Company”), in connection with the preparation and filing with the Securities and Exchange Commission (the “Commission”) of the Company’s Registration Statement on Form S-8 (the “Registration Statement”) under the Securities Act of 1933, as amended (the “Act”), registering the offer and sale of up to an additional 395,000 shares of the Company’s common stock, par value $0.001 per share (the “Shares”), issuable by the Company pursuant to the Amended and Restated Proto Labs, Inc. 2022 Long-Term Incentive Plan (the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For purposes of this opinion letter, we have examined the Plan, the Registration Statement, the Third Amended and Restated Articles of Incorporation of the Company, as amended and currently in effect, the Third Amended and Restated By-laws of the Company, as currently in effect, and the resolutions of the Company’s board of directors authorizing the issuance of the Shares. We have also examined a certificate of the Secretary of the Company dated the date hereof (the “Certificate”)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facts material to this opinion letter, we have relied upon certificates, statements or representations of public officials, of officers and representatives of the Company (including the Certificate) and of others, without any independent verification thereof.</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our examination, we have assumed: (i) the legal capacity of all natural persons; (ii) the genuineness of all signatures, including electronic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Based upon and subject to the foregoing and the other qualifications, assumptions and limitations set forth herein, it is our opinion that all necessary corporate action on the part of the Company has been taken to authorize the issuance and sale of the Shares to be issued in accordance with the Plan and that, when such Shares are issued and sold as contemplated in the Registration Statement and in accordance with the Plan and any applicable award agreement and, where applicable, the consideration for the Shares specified in the Plan and any applicable award agreement has been received by the Company, the Shares will be legally and validly issued, fully paid and nonassessable.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do not express any opinion herein with respect to the laws of any jurisdiction other than, subject to the limitations and assumptions contained herein, the laws of the State of Minnesota.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opinion letter speaks only as of the date the Registration Statement becomes effective under the Act, and we assume no obligation to revise or supplement this opinion letter thereafter. This opinion letter is limited to the specific issues addressed herein, and no opinion may be inferred or implied beyond that expressly stated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hereby consent to the filing of this opinion letter as an exhibit to the Registration Statement. In giving such consent, we do not thereby admit that we are within the category of persons whose consent is required under Section 7 of the Act or the rules and regulations of the Commission promulgated thereunder.</w:t>
      </w:r>
    </w:p>
    <w:p>
      <w:pPr>
        <w:pStyle w:val="TextBody"/>
        <w:bidi w:val="0"/>
        <w:spacing w:before="0" w:after="0"/>
        <w:jc w:val="both"/>
        <w:rPr/>
      </w:pPr>
      <w:r>
        <w:rPr/>
      </w:r>
    </w:p>
    <w:tbl>
      <w:tblPr>
        <w:tblW w:w="4479" w:type="dxa"/>
        <w:jc w:val="left"/>
        <w:tblInd w:w="0" w:type="dxa"/>
        <w:tblLayout w:type="fixed"/>
        <w:tblCellMar>
          <w:top w:w="28" w:type="dxa"/>
          <w:left w:w="28" w:type="dxa"/>
          <w:bottom w:w="28" w:type="dxa"/>
          <w:right w:w="28" w:type="dxa"/>
        </w:tblCellMar>
      </w:tblPr>
      <w:tblGrid>
        <w:gridCol w:w="533"/>
        <w:gridCol w:w="469"/>
        <w:gridCol w:w="469"/>
        <w:gridCol w:w="469"/>
        <w:gridCol w:w="469"/>
        <w:gridCol w:w="469"/>
        <w:gridCol w:w="469"/>
        <w:gridCol w:w="469"/>
        <w:gridCol w:w="663"/>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44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44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Faegre Drinker Biddle &amp; Reath LLP</w:t>
            </w:r>
          </w:p>
        </w:tc>
      </w:tr>
      <w:tr>
        <w:trPr/>
        <w:tc>
          <w:tcPr>
            <w:tcW w:w="4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FAEGRE DRINKER BIDDLE &amp; REATH LLP</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right"/>
        <w:rPr>
          <w:rFonts w:ascii="Times New Roman;serif" w:hAnsi="Times New Roman;serif"/>
          <w:b/>
          <w:color w:val="333333"/>
          <w:sz w:val="22"/>
          <w:shd w:fill="FFFFFF" w:val="clear"/>
        </w:rPr>
      </w:pPr>
      <w:r>
        <w:rPr>
          <w:rFonts w:ascii="Times New Roman;serif" w:hAnsi="Times New Roman;serif"/>
          <w:b/>
          <w:color w:val="333333"/>
          <w:sz w:val="22"/>
          <w:shd w:fill="FFFFFF" w:val="clear"/>
        </w:rPr>
        <w:t>Exhibit 23.2</w:t>
      </w:r>
    </w:p>
    <w:p>
      <w:pPr>
        <w:pStyle w:val="TextBody"/>
        <w:bidi w:val="0"/>
        <w:spacing w:lineRule="auto" w:line="456" w:before="120" w:after="360"/>
        <w:jc w:val="center"/>
        <w:rPr>
          <w:rFonts w:ascii="Times New Roman;serif" w:hAnsi="Times New Roman;serif"/>
          <w:b/>
          <w:color w:val="333333"/>
          <w:sz w:val="22"/>
          <w:shd w:fill="FFFFFF" w:val="clear"/>
        </w:rPr>
      </w:pPr>
      <w:r>
        <w:rPr>
          <w:rFonts w:ascii="Times New Roman;serif" w:hAnsi="Times New Roman;serif"/>
          <w:b/>
          <w:color w:val="333333"/>
          <w:sz w:val="22"/>
          <w:shd w:fill="FFFFFF" w:val="clear"/>
        </w:rPr>
        <w:t>Consent of Independent Registered Public Accounting Firm</w:t>
      </w:r>
    </w:p>
    <w:p>
      <w:pPr>
        <w:pStyle w:val="TextBody"/>
        <w:bidi w:val="0"/>
        <w:spacing w:lineRule="auto" w:line="240" w:before="0" w:after="0"/>
        <w:jc w:val="both"/>
        <w:rPr>
          <w:rFonts w:ascii="Times New Roman;serif" w:hAnsi="Times New Roman;serif"/>
          <w:b w:val="false"/>
          <w:color w:val="333333"/>
          <w:sz w:val="22"/>
          <w:shd w:fill="FFFFFF" w:val="clear"/>
        </w:rPr>
      </w:pPr>
      <w:r>
        <w:rPr>
          <w:rFonts w:ascii="Times New Roman;serif" w:hAnsi="Times New Roman;serif"/>
          <w:b w:val="false"/>
          <w:color w:val="333333"/>
          <w:sz w:val="22"/>
          <w:shd w:fill="FFFFFF" w:val="clear"/>
        </w:rPr>
        <w:t>We consent to the incorporation by reference in the Registration Statement on Form S-8 pertaining to the Amended and Restated Proto Labs, Inc. 2022 Long-Term Incentive Plan of our reports dated February 20, 2026, with respect to the consolidated financial statements of Proto Labs, Inc. and the effectiveness of internal control over financial reporting of Proto Labs, Inc. included in its Annual Report (Form 10-K) for the year ended December 31, 2025 filed with the Securities and Exchange Commission.</w:t>
      </w:r>
    </w:p>
    <w:p>
      <w:pPr>
        <w:pStyle w:val="TextBody"/>
        <w:bidi w:val="0"/>
        <w:spacing w:before="240" w:after="283"/>
        <w:jc w:val="both"/>
        <w:rPr/>
      </w:pPr>
      <w:r>
        <w:rPr/>
      </w:r>
    </w:p>
    <w:tbl>
      <w:tblPr>
        <w:tblW w:w="2410" w:type="dxa"/>
        <w:jc w:val="left"/>
        <w:tblInd w:w="0" w:type="dxa"/>
        <w:tblLayout w:type="fixed"/>
        <w:tblCellMar>
          <w:top w:w="28" w:type="dxa"/>
          <w:left w:w="28" w:type="dxa"/>
          <w:bottom w:w="28" w:type="dxa"/>
          <w:right w:w="28" w:type="dxa"/>
        </w:tblCellMar>
      </w:tblPr>
      <w:tblGrid>
        <w:gridCol w:w="287"/>
        <w:gridCol w:w="252"/>
        <w:gridCol w:w="252"/>
        <w:gridCol w:w="252"/>
        <w:gridCol w:w="252"/>
        <w:gridCol w:w="252"/>
        <w:gridCol w:w="252"/>
        <w:gridCol w:w="252"/>
        <w:gridCol w:w="359"/>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41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tc>
      </w:tr>
      <w:tr>
        <w:trPr/>
        <w:tc>
          <w:tcPr>
            <w:tcW w:w="24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Minneapolis, Minnesota</w:t>
            </w:r>
          </w:p>
        </w:tc>
      </w:tr>
      <w:tr>
        <w:trPr/>
        <w:tc>
          <w:tcPr>
            <w:tcW w:w="241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July 31, 2026</w:t>
            </w:r>
          </w:p>
        </w:tc>
      </w:tr>
    </w:tbl>
    <w:p>
      <w:pPr>
        <w:pStyle w:val="TextBody"/>
        <w:bidi w:val="0"/>
        <w:spacing w:before="1" w:after="1"/>
        <w:jc w:val="both"/>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3669/000143774922021472/prlb20220824_s8.htm" TargetMode="External"/><Relationship Id="rId3" Type="http://schemas.openxmlformats.org/officeDocument/2006/relationships/hyperlink" Target="https://www.sec.gov/Archives/edgar/data/1443669/000143774922021472/prlb20220824_s8.htm" TargetMode="External"/><Relationship Id="rId4" Type="http://schemas.openxmlformats.org/officeDocument/2006/relationships/hyperlink" Target="https://www.sec.gov/ix?doc=/Archives/edgar/data/1443669/000144366926000010/prlb-20251231.htm" TargetMode="External"/><Relationship Id="rId5" Type="http://schemas.openxmlformats.org/officeDocument/2006/relationships/hyperlink" Target="https://www.sec.gov/ix?doc=/Archives/edgar/data/1443669/000144366926000017/prlb-20260407.htm" TargetMode="External"/><Relationship Id="rId6" Type="http://schemas.openxmlformats.org/officeDocument/2006/relationships/hyperlink" Target="https://www.sec.gov/ix?doc=/Archives/edgar/data/1443669/000144366926000025/prlb-20260331.htm" TargetMode="External"/><Relationship Id="rId7" Type="http://schemas.openxmlformats.org/officeDocument/2006/relationships/hyperlink" Target="https://www.sec.gov/ix?doc=/Archives/edgar/data/1443669/000144366926000035/prlb-20260630.htm" TargetMode="External"/><Relationship Id="rId8" Type="http://schemas.openxmlformats.org/officeDocument/2006/relationships/hyperlink" Target="https://www.sec.gov/ix?doc=/Archives/edgar/data/1443669/000144366926000035/prlb-20260630.htm" TargetMode="External"/><Relationship Id="rId9" Type="http://schemas.openxmlformats.org/officeDocument/2006/relationships/hyperlink" Target="https://www.sec.gov/ix?doc=/Archives/edgar/data/1443669/000144366926000035/prlb-20260630.htm" TargetMode="External"/><Relationship Id="rId10" Type="http://schemas.openxmlformats.org/officeDocument/2006/relationships/hyperlink" Target="https://www.sec.gov/ix?doc=/Archives/edgar/data/1443669/000110465926056700/tm2613853d1_8k.htm" TargetMode="External"/><Relationship Id="rId11" Type="http://schemas.openxmlformats.org/officeDocument/2006/relationships/hyperlink" Target="https://www.sec.gov/ix?doc=/Archives/edgar/data/1443669/000144366926000028/prlb-20260519.htm" TargetMode="External"/><Relationship Id="rId12" Type="http://schemas.openxmlformats.org/officeDocument/2006/relationships/hyperlink" Target="https://www.sec.gov/Archives/edgar/data/1443669/000119312512070263/d305274d8a12b.htm" TargetMode="External"/><Relationship Id="rId13" Type="http://schemas.openxmlformats.org/officeDocument/2006/relationships/hyperlink" Target="https://www.sec.gov/Archives/edgar/data/1443669/000143774923003930/ex_472326.htm" TargetMode="External"/><Relationship Id="rId14" Type="http://schemas.openxmlformats.org/officeDocument/2006/relationships/hyperlink" Target="https://www.sec.gov/Archives/edgar/data/1443669/000119312512054357/d199869dex32.htm" TargetMode="External"/><Relationship Id="rId15" Type="http://schemas.openxmlformats.org/officeDocument/2006/relationships/hyperlink" Target="https://www.sec.gov/Archives/edgar/data/1443669/000143774915010824/ex3-1.htm" TargetMode="External"/><Relationship Id="rId16" Type="http://schemas.openxmlformats.org/officeDocument/2006/relationships/hyperlink" Target="https://www.sec.gov/Archives/edgar/data/1443669/000143774922027471/ex_445136.htm" TargetMode="External"/><Relationship Id="rId17" Type="http://schemas.openxmlformats.org/officeDocument/2006/relationships/hyperlink" Target="https://www.sec.gov/Archives/edgar/data/1443669/000144366926000028/prlb-2026519xexx101.htm" TargetMode="External"/><Relationship Id="rId18" Type="http://schemas.openxmlformats.org/officeDocument/2006/relationships/image" Target="media/image1.pn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3678</Words>
  <Characters>19754</Characters>
  <CharactersWithSpaces>23309</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