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414655</wp:posOffset>
            </wp:positionV>
            <wp:extent cx="71367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76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440055</wp:posOffset>
            </wp:positionV>
            <wp:extent cx="71367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UNITED STATES</w:t>
      </w:r>
    </w:p>
    <w:p>
      <w:pPr>
        <w:spacing w:after="0" w:line="45"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SECURITIES AND EXCHANGE COMMISSION</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Washington, D.C. 20549</w:t>
      </w:r>
    </w:p>
    <w:p>
      <w:pPr>
        <w:spacing w:after="0" w:line="12" w:lineRule="exact"/>
        <w:rPr>
          <w:sz w:val="24"/>
          <w:szCs w:val="24"/>
          <w:color w:val="auto"/>
        </w:rPr>
      </w:pPr>
    </w:p>
    <w:p>
      <w:pPr>
        <w:ind w:left="4440"/>
        <w:spacing w:after="0"/>
        <w:rPr>
          <w:sz w:val="20"/>
          <w:szCs w:val="20"/>
          <w:color w:val="auto"/>
        </w:rPr>
      </w:pPr>
      <w:r>
        <w:rPr>
          <w:rFonts w:ascii="Arial" w:cs="Arial" w:eastAsia="Arial" w:hAnsi="Arial"/>
          <w:sz w:val="17"/>
          <w:szCs w:val="17"/>
          <w:color w:val="auto"/>
        </w:rPr>
        <w:t>___________________________</w:t>
      </w:r>
    </w:p>
    <w:p>
      <w:pPr>
        <w:spacing w:after="0" w:line="90"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FORM 10-Q</w:t>
      </w:r>
    </w:p>
    <w:p>
      <w:pPr>
        <w:spacing w:after="0" w:line="195" w:lineRule="exact"/>
        <w:rPr>
          <w:sz w:val="24"/>
          <w:szCs w:val="24"/>
          <w:color w:val="auto"/>
        </w:rPr>
      </w:pPr>
    </w:p>
    <w:p>
      <w:pPr>
        <w:ind w:left="480"/>
        <w:spacing w:after="0"/>
        <w:rPr>
          <w:sz w:val="20"/>
          <w:szCs w:val="20"/>
          <w:color w:val="auto"/>
        </w:rPr>
      </w:pPr>
      <w:r>
        <w:rPr>
          <w:rFonts w:ascii="Arial" w:cs="Arial" w:eastAsia="Arial" w:hAnsi="Arial"/>
          <w:sz w:val="17"/>
          <w:szCs w:val="17"/>
          <w:color w:val="auto"/>
        </w:rPr>
        <w:t>(Mark One)</w:t>
      </w:r>
    </w:p>
    <w:p>
      <w:pPr>
        <w:spacing w:after="0" w:line="151" w:lineRule="exact"/>
        <w:rPr>
          <w:sz w:val="24"/>
          <w:szCs w:val="24"/>
          <w:color w:val="auto"/>
        </w:rPr>
      </w:pPr>
    </w:p>
    <w:p>
      <w:pPr>
        <w:ind w:left="480" w:right="1920" w:hanging="458"/>
        <w:spacing w:after="0" w:line="343" w:lineRule="auto"/>
        <w:tabs>
          <w:tab w:leader="none" w:pos="48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 For the quarterly period ended September 30, 2023</w:t>
      </w:r>
    </w:p>
    <w:p>
      <w:pPr>
        <w:spacing w:after="0" w:line="108" w:lineRule="exact"/>
        <w:rPr>
          <w:sz w:val="24"/>
          <w:szCs w:val="24"/>
          <w:color w:val="auto"/>
        </w:rPr>
      </w:pPr>
    </w:p>
    <w:p>
      <w:pPr>
        <w:ind w:left="1960"/>
        <w:spacing w:after="0"/>
        <w:rPr>
          <w:sz w:val="20"/>
          <w:szCs w:val="20"/>
          <w:color w:val="auto"/>
        </w:rPr>
      </w:pPr>
      <w:r>
        <w:rPr>
          <w:rFonts w:ascii="Arial" w:cs="Arial" w:eastAsia="Arial" w:hAnsi="Arial"/>
          <w:sz w:val="17"/>
          <w:szCs w:val="17"/>
          <w:b w:val="1"/>
          <w:bCs w:val="1"/>
          <w:color w:val="auto"/>
        </w:rPr>
        <w:t>or</w:t>
      </w:r>
    </w:p>
    <w:p>
      <w:pPr>
        <w:spacing w:after="0" w:line="170" w:lineRule="exact"/>
        <w:rPr>
          <w:sz w:val="24"/>
          <w:szCs w:val="24"/>
          <w:color w:val="auto"/>
        </w:rPr>
      </w:pPr>
    </w:p>
    <w:p>
      <w:pPr>
        <w:ind w:left="480" w:right="1920" w:hanging="458"/>
        <w:spacing w:after="0" w:line="336" w:lineRule="auto"/>
        <w:tabs>
          <w:tab w:leader="none" w:pos="48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TRANSITION REPORT PURSUANT TO SECTION 13 OR 15(d) OF THE SECURITIES EXCHANGE ACT OF 1934 For the transition period from ___________ to ___________</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Commission File Number: 001-35435</w:t>
      </w:r>
    </w:p>
    <w:p>
      <w:pPr>
        <w:spacing w:after="0" w:line="109"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Proto Labs, Inc.</w:t>
      </w:r>
    </w:p>
    <w:p>
      <w:pPr>
        <w:spacing w:after="0" w:line="52" w:lineRule="exact"/>
        <w:rPr>
          <w:sz w:val="24"/>
          <w:szCs w:val="24"/>
          <w:color w:val="auto"/>
        </w:rPr>
      </w:pPr>
    </w:p>
    <w:p>
      <w:pPr>
        <w:jc w:val="center"/>
        <w:ind w:right="20"/>
        <w:spacing w:after="0"/>
        <w:rPr>
          <w:sz w:val="20"/>
          <w:szCs w:val="20"/>
          <w:color w:val="auto"/>
        </w:rPr>
      </w:pPr>
      <w:r>
        <w:rPr>
          <w:rFonts w:ascii="Arial" w:cs="Arial" w:eastAsia="Arial" w:hAnsi="Arial"/>
          <w:sz w:val="17"/>
          <w:szCs w:val="17"/>
          <w:color w:val="auto"/>
        </w:rPr>
        <w:t>(Exact name of registrant as specified in its charter)</w:t>
      </w:r>
    </w:p>
    <w:p>
      <w:pPr>
        <w:spacing w:after="0" w:line="150" w:lineRule="exact"/>
        <w:rPr>
          <w:sz w:val="24"/>
          <w:szCs w:val="24"/>
          <w:color w:val="auto"/>
        </w:rPr>
      </w:pPr>
    </w:p>
    <w:tbl>
      <w:tblPr>
        <w:tblLayout w:type="fixed"/>
        <w:tblInd w:w="740" w:type="dxa"/>
        <w:tblCellMar>
          <w:top w:w="0" w:type="dxa"/>
          <w:left w:w="0" w:type="dxa"/>
          <w:bottom w:w="0" w:type="dxa"/>
          <w:right w:w="0" w:type="dxa"/>
        </w:tblCellMar>
      </w:tblPr>
      <w:tr>
        <w:trPr>
          <w:trHeight w:val="227"/>
        </w:trPr>
        <w:tc>
          <w:tcPr>
            <w:tcW w:w="5300" w:type="dxa"/>
            <w:vAlign w:val="bottom"/>
          </w:tcPr>
          <w:p>
            <w:pPr>
              <w:jc w:val="center"/>
              <w:ind w:right="1073"/>
              <w:spacing w:after="0"/>
              <w:rPr>
                <w:sz w:val="20"/>
                <w:szCs w:val="20"/>
                <w:color w:val="auto"/>
              </w:rPr>
            </w:pPr>
            <w:r>
              <w:rPr>
                <w:rFonts w:ascii="Arial" w:cs="Arial" w:eastAsia="Arial" w:hAnsi="Arial"/>
                <w:sz w:val="17"/>
                <w:szCs w:val="17"/>
                <w:b w:val="1"/>
                <w:bCs w:val="1"/>
                <w:color w:val="auto"/>
                <w:w w:val="92"/>
              </w:rPr>
              <w:t>Minnesota</w:t>
            </w:r>
          </w:p>
        </w:tc>
        <w:tc>
          <w:tcPr>
            <w:tcW w:w="3660" w:type="dxa"/>
            <w:vAlign w:val="bottom"/>
          </w:tcPr>
          <w:p>
            <w:pPr>
              <w:jc w:val="right"/>
              <w:ind w:right="753"/>
              <w:spacing w:after="0"/>
              <w:rPr>
                <w:sz w:val="20"/>
                <w:szCs w:val="20"/>
                <w:color w:val="auto"/>
              </w:rPr>
            </w:pPr>
            <w:r>
              <w:rPr>
                <w:rFonts w:ascii="Arial" w:cs="Arial" w:eastAsia="Arial" w:hAnsi="Arial"/>
                <w:sz w:val="17"/>
                <w:szCs w:val="17"/>
                <w:b w:val="1"/>
                <w:bCs w:val="1"/>
                <w:color w:val="auto"/>
              </w:rPr>
              <w:t>41-1939628</w:t>
            </w:r>
          </w:p>
        </w:tc>
      </w:tr>
      <w:tr>
        <w:trPr>
          <w:trHeight w:val="248"/>
        </w:trPr>
        <w:tc>
          <w:tcPr>
            <w:tcW w:w="5300" w:type="dxa"/>
            <w:vAlign w:val="bottom"/>
          </w:tcPr>
          <w:p>
            <w:pPr>
              <w:jc w:val="center"/>
              <w:ind w:right="1053"/>
              <w:spacing w:after="0"/>
              <w:rPr>
                <w:sz w:val="20"/>
                <w:szCs w:val="20"/>
                <w:color w:val="auto"/>
              </w:rPr>
            </w:pPr>
            <w:r>
              <w:rPr>
                <w:rFonts w:ascii="Arial" w:cs="Arial" w:eastAsia="Arial" w:hAnsi="Arial"/>
                <w:sz w:val="17"/>
                <w:szCs w:val="17"/>
                <w:color w:val="auto"/>
                <w:w w:val="94"/>
              </w:rPr>
              <w:t>(State or other jurisdiction of incorporation or organization)</w:t>
            </w:r>
          </w:p>
        </w:tc>
        <w:tc>
          <w:tcPr>
            <w:tcW w:w="3660" w:type="dxa"/>
            <w:vAlign w:val="bottom"/>
          </w:tcPr>
          <w:p>
            <w:pPr>
              <w:jc w:val="center"/>
              <w:ind w:left="1033"/>
              <w:spacing w:after="0"/>
              <w:rPr>
                <w:sz w:val="20"/>
                <w:szCs w:val="20"/>
                <w:color w:val="auto"/>
              </w:rPr>
            </w:pPr>
            <w:r>
              <w:rPr>
                <w:rFonts w:ascii="Arial" w:cs="Arial" w:eastAsia="Arial" w:hAnsi="Arial"/>
                <w:sz w:val="17"/>
                <w:szCs w:val="17"/>
                <w:color w:val="auto"/>
                <w:w w:val="97"/>
              </w:rPr>
              <w:t>(I.R.S. Employer Identification No.)</w:t>
            </w:r>
          </w:p>
        </w:tc>
      </w:tr>
      <w:tr>
        <w:trPr>
          <w:trHeight w:val="457"/>
        </w:trPr>
        <w:tc>
          <w:tcPr>
            <w:tcW w:w="5300" w:type="dxa"/>
            <w:vAlign w:val="bottom"/>
          </w:tcPr>
          <w:p>
            <w:pPr>
              <w:jc w:val="center"/>
              <w:ind w:right="1053"/>
              <w:spacing w:after="0"/>
              <w:rPr>
                <w:sz w:val="20"/>
                <w:szCs w:val="20"/>
                <w:color w:val="auto"/>
              </w:rPr>
            </w:pPr>
            <w:r>
              <w:rPr>
                <w:rFonts w:ascii="Arial" w:cs="Arial" w:eastAsia="Arial" w:hAnsi="Arial"/>
                <w:sz w:val="17"/>
                <w:szCs w:val="17"/>
                <w:b w:val="1"/>
                <w:bCs w:val="1"/>
                <w:color w:val="auto"/>
                <w:w w:val="94"/>
              </w:rPr>
              <w:t>5540 Pioneer Creek Drive</w:t>
            </w:r>
          </w:p>
        </w:tc>
        <w:tc>
          <w:tcPr>
            <w:tcW w:w="3660" w:type="dxa"/>
            <w:vAlign w:val="bottom"/>
          </w:tcPr>
          <w:p>
            <w:pPr>
              <w:spacing w:after="0"/>
              <w:rPr>
                <w:sz w:val="24"/>
                <w:szCs w:val="24"/>
                <w:color w:val="auto"/>
              </w:rPr>
            </w:pPr>
          </w:p>
        </w:tc>
      </w:tr>
      <w:tr>
        <w:trPr>
          <w:trHeight w:val="248"/>
        </w:trPr>
        <w:tc>
          <w:tcPr>
            <w:tcW w:w="5300" w:type="dxa"/>
            <w:vAlign w:val="bottom"/>
          </w:tcPr>
          <w:p>
            <w:pPr>
              <w:jc w:val="center"/>
              <w:ind w:right="1073"/>
              <w:spacing w:after="0"/>
              <w:rPr>
                <w:sz w:val="20"/>
                <w:szCs w:val="20"/>
                <w:color w:val="auto"/>
              </w:rPr>
            </w:pPr>
            <w:r>
              <w:rPr>
                <w:rFonts w:ascii="Arial" w:cs="Arial" w:eastAsia="Arial" w:hAnsi="Arial"/>
                <w:sz w:val="17"/>
                <w:szCs w:val="17"/>
                <w:b w:val="1"/>
                <w:bCs w:val="1"/>
                <w:color w:val="auto"/>
                <w:w w:val="95"/>
              </w:rPr>
              <w:t>Maple Plain, Minnesota</w:t>
            </w:r>
          </w:p>
        </w:tc>
        <w:tc>
          <w:tcPr>
            <w:tcW w:w="3660" w:type="dxa"/>
            <w:vAlign w:val="bottom"/>
          </w:tcPr>
          <w:p>
            <w:pPr>
              <w:jc w:val="right"/>
              <w:ind w:right="953"/>
              <w:spacing w:after="0"/>
              <w:rPr>
                <w:sz w:val="20"/>
                <w:szCs w:val="20"/>
                <w:color w:val="auto"/>
              </w:rPr>
            </w:pPr>
            <w:r>
              <w:rPr>
                <w:rFonts w:ascii="Arial" w:cs="Arial" w:eastAsia="Arial" w:hAnsi="Arial"/>
                <w:sz w:val="17"/>
                <w:szCs w:val="17"/>
                <w:b w:val="1"/>
                <w:bCs w:val="1"/>
                <w:color w:val="auto"/>
              </w:rPr>
              <w:t>55359</w:t>
            </w:r>
          </w:p>
        </w:tc>
      </w:tr>
      <w:tr>
        <w:trPr>
          <w:trHeight w:val="248"/>
        </w:trPr>
        <w:tc>
          <w:tcPr>
            <w:tcW w:w="5300" w:type="dxa"/>
            <w:vAlign w:val="bottom"/>
          </w:tcPr>
          <w:p>
            <w:pPr>
              <w:jc w:val="center"/>
              <w:ind w:right="1053"/>
              <w:spacing w:after="0"/>
              <w:rPr>
                <w:sz w:val="20"/>
                <w:szCs w:val="20"/>
                <w:color w:val="auto"/>
              </w:rPr>
            </w:pPr>
            <w:r>
              <w:rPr>
                <w:rFonts w:ascii="Arial" w:cs="Arial" w:eastAsia="Arial" w:hAnsi="Arial"/>
                <w:sz w:val="17"/>
                <w:szCs w:val="17"/>
                <w:color w:val="auto"/>
                <w:w w:val="94"/>
              </w:rPr>
              <w:t>(Address of principal executive offices)</w:t>
            </w:r>
          </w:p>
        </w:tc>
        <w:tc>
          <w:tcPr>
            <w:tcW w:w="3660" w:type="dxa"/>
            <w:vAlign w:val="bottom"/>
          </w:tcPr>
          <w:p>
            <w:pPr>
              <w:jc w:val="center"/>
              <w:ind w:left="1033"/>
              <w:spacing w:after="0"/>
              <w:rPr>
                <w:sz w:val="20"/>
                <w:szCs w:val="20"/>
                <w:color w:val="auto"/>
              </w:rPr>
            </w:pPr>
            <w:r>
              <w:rPr>
                <w:rFonts w:ascii="Arial" w:cs="Arial" w:eastAsia="Arial" w:hAnsi="Arial"/>
                <w:sz w:val="17"/>
                <w:szCs w:val="17"/>
                <w:color w:val="auto"/>
                <w:w w:val="97"/>
              </w:rPr>
              <w:t>(Zip Code)</w:t>
            </w:r>
          </w:p>
        </w:tc>
      </w:tr>
    </w:tbl>
    <w:p>
      <w:pPr>
        <w:spacing w:after="0" w:line="19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(763) 479-3680</w:t>
      </w:r>
    </w:p>
    <w:p>
      <w:pPr>
        <w:spacing w:after="0" w:line="32" w:lineRule="exact"/>
        <w:rPr>
          <w:sz w:val="24"/>
          <w:szCs w:val="24"/>
          <w:color w:val="auto"/>
        </w:rPr>
      </w:pPr>
    </w:p>
    <w:p>
      <w:pPr>
        <w:jc w:val="center"/>
        <w:ind w:right="20"/>
        <w:spacing w:after="0"/>
        <w:rPr>
          <w:sz w:val="20"/>
          <w:szCs w:val="20"/>
          <w:color w:val="auto"/>
        </w:rPr>
      </w:pPr>
      <w:r>
        <w:rPr>
          <w:rFonts w:ascii="Arial" w:cs="Arial" w:eastAsia="Arial" w:hAnsi="Arial"/>
          <w:sz w:val="17"/>
          <w:szCs w:val="17"/>
          <w:color w:val="auto"/>
        </w:rPr>
        <w:t>(Registrant’s telephone number, including area code)</w:t>
      </w:r>
    </w:p>
    <w:p>
      <w:pPr>
        <w:spacing w:after="0" w:line="10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Not Applicable</w:t>
      </w:r>
    </w:p>
    <w:p>
      <w:pPr>
        <w:spacing w:after="0" w:line="32" w:lineRule="exact"/>
        <w:rPr>
          <w:sz w:val="24"/>
          <w:szCs w:val="24"/>
          <w:color w:val="auto"/>
        </w:rPr>
      </w:pPr>
    </w:p>
    <w:p>
      <w:pPr>
        <w:ind w:left="2760"/>
        <w:spacing w:after="0"/>
        <w:rPr>
          <w:sz w:val="20"/>
          <w:szCs w:val="20"/>
          <w:color w:val="auto"/>
        </w:rPr>
      </w:pPr>
      <w:r>
        <w:rPr>
          <w:rFonts w:ascii="Arial" w:cs="Arial" w:eastAsia="Arial" w:hAnsi="Arial"/>
          <w:sz w:val="17"/>
          <w:szCs w:val="17"/>
          <w:color w:val="auto"/>
        </w:rPr>
        <w:t>(Former name, former address and former fiscal year, if changed since last report)</w:t>
      </w:r>
    </w:p>
    <w:p>
      <w:pPr>
        <w:spacing w:after="0" w:line="106"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Act:</w:t>
      </w:r>
    </w:p>
    <w:p>
      <w:pPr>
        <w:spacing w:after="0" w:line="137" w:lineRule="exact"/>
        <w:rPr>
          <w:sz w:val="24"/>
          <w:szCs w:val="24"/>
          <w:color w:val="auto"/>
        </w:rPr>
      </w:pPr>
    </w:p>
    <w:tbl>
      <w:tblPr>
        <w:tblLayout w:type="fixed"/>
        <w:tblInd w:w="10" w:type="dxa"/>
        <w:tblCellMar>
          <w:top w:w="0" w:type="dxa"/>
          <w:left w:w="0" w:type="dxa"/>
          <w:bottom w:w="0" w:type="dxa"/>
          <w:right w:w="0" w:type="dxa"/>
        </w:tblCellMar>
      </w:tblPr>
      <w:tr>
        <w:trPr>
          <w:trHeight w:val="255"/>
        </w:trPr>
        <w:tc>
          <w:tcPr>
            <w:tcW w:w="42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Title of each class</w:t>
            </w:r>
          </w:p>
        </w:tc>
        <w:tc>
          <w:tcPr>
            <w:tcW w:w="28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3"/>
              </w:rPr>
              <w:t>Trading Symbol(s)</w:t>
            </w:r>
          </w:p>
        </w:tc>
        <w:tc>
          <w:tcPr>
            <w:tcW w:w="42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Name of each exchange on which registered</w:t>
            </w:r>
          </w:p>
        </w:tc>
      </w:tr>
      <w:tr>
        <w:trPr>
          <w:trHeight w:val="241"/>
        </w:trPr>
        <w:tc>
          <w:tcPr>
            <w:tcW w:w="42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Common Stock, Par Value $0.001 Per Share</w:t>
            </w: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PRLB</w:t>
            </w:r>
          </w:p>
        </w:tc>
        <w:tc>
          <w:tcPr>
            <w:tcW w:w="4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3"/>
              </w:rPr>
              <w:t>New York Stock Exchange</w:t>
            </w:r>
          </w:p>
        </w:tc>
      </w:tr>
    </w:tbl>
    <w:p>
      <w:pPr>
        <w:spacing w:after="0" w:line="171" w:lineRule="exact"/>
        <w:rPr>
          <w:sz w:val="24"/>
          <w:szCs w:val="24"/>
          <w:color w:val="auto"/>
        </w:rPr>
      </w:pPr>
    </w:p>
    <w:p>
      <w:pPr>
        <w:ind w:right="200" w:firstLine="470"/>
        <w:spacing w:after="0" w:line="223"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7"/>
          <w:szCs w:val="17"/>
          <w:color w:val="auto"/>
        </w:rPr>
        <w:t>☑</w:t>
      </w:r>
      <w:r>
        <w:rPr>
          <w:rFonts w:ascii="Arial" w:cs="Arial" w:eastAsia="Arial" w:hAnsi="Arial"/>
          <w:sz w:val="17"/>
          <w:szCs w:val="17"/>
          <w:color w:val="auto"/>
        </w:rPr>
        <w:t>Yes oNo</w:t>
      </w:r>
    </w:p>
    <w:p>
      <w:pPr>
        <w:spacing w:after="0" w:line="65" w:lineRule="exact"/>
        <w:rPr>
          <w:sz w:val="24"/>
          <w:szCs w:val="24"/>
          <w:color w:val="auto"/>
        </w:rPr>
      </w:pPr>
    </w:p>
    <w:p>
      <w:pPr>
        <w:ind w:right="260" w:firstLine="470"/>
        <w:spacing w:after="0" w:line="229"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6"/>
          <w:szCs w:val="16"/>
          <w:color w:val="auto"/>
        </w:rPr>
        <w:t>☑</w:t>
      </w:r>
      <w:r>
        <w:rPr>
          <w:rFonts w:ascii="Arial" w:cs="Arial" w:eastAsia="Arial" w:hAnsi="Arial"/>
          <w:sz w:val="16"/>
          <w:szCs w:val="16"/>
          <w:color w:val="auto"/>
        </w:rPr>
        <w:t>Yes oNo</w:t>
      </w:r>
    </w:p>
    <w:p>
      <w:pPr>
        <w:spacing w:after="0" w:line="66" w:lineRule="exact"/>
        <w:rPr>
          <w:sz w:val="24"/>
          <w:szCs w:val="24"/>
          <w:color w:val="auto"/>
        </w:rPr>
      </w:pPr>
    </w:p>
    <w:p>
      <w:pPr>
        <w:ind w:right="120" w:firstLine="470"/>
        <w:spacing w:after="0" w:line="272"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5" w:lineRule="exact"/>
        <w:rPr>
          <w:sz w:val="24"/>
          <w:szCs w:val="24"/>
          <w:color w:val="auto"/>
        </w:rPr>
      </w:pPr>
    </w:p>
    <w:tbl>
      <w:tblPr>
        <w:tblLayout w:type="fixed"/>
        <w:tblInd w:w="20" w:type="dxa"/>
        <w:tblCellMar>
          <w:top w:w="0" w:type="dxa"/>
          <w:left w:w="0" w:type="dxa"/>
          <w:bottom w:w="0" w:type="dxa"/>
          <w:right w:w="0" w:type="dxa"/>
        </w:tblCellMar>
      </w:tblPr>
      <w:tr>
        <w:trPr>
          <w:trHeight w:val="292"/>
        </w:trPr>
        <w:tc>
          <w:tcPr>
            <w:tcW w:w="266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2180" w:type="dxa"/>
            <w:vAlign w:val="bottom"/>
          </w:tcPr>
          <w:p>
            <w:pPr>
              <w:ind w:left="760"/>
              <w:spacing w:after="0" w:line="171" w:lineRule="exact"/>
              <w:rPr>
                <w:sz w:val="20"/>
                <w:szCs w:val="20"/>
                <w:color w:val="auto"/>
              </w:rPr>
            </w:pPr>
            <w:r>
              <w:rPr>
                <w:rFonts w:ascii="MS PGothic" w:cs="MS PGothic" w:eastAsia="MS PGothic" w:hAnsi="MS PGothic"/>
                <w:sz w:val="17"/>
                <w:szCs w:val="17"/>
                <w:color w:val="auto"/>
              </w:rPr>
              <w:t>☑</w:t>
            </w:r>
          </w:p>
        </w:tc>
        <w:tc>
          <w:tcPr>
            <w:tcW w:w="3940" w:type="dxa"/>
            <w:vAlign w:val="bottom"/>
          </w:tcPr>
          <w:p>
            <w:pPr>
              <w:ind w:left="1300"/>
              <w:spacing w:after="0"/>
              <w:rPr>
                <w:sz w:val="20"/>
                <w:szCs w:val="20"/>
                <w:color w:val="auto"/>
              </w:rPr>
            </w:pPr>
            <w:r>
              <w:rPr>
                <w:rFonts w:ascii="Arial" w:cs="Arial" w:eastAsia="Arial" w:hAnsi="Arial"/>
                <w:sz w:val="17"/>
                <w:szCs w:val="17"/>
                <w:color w:val="auto"/>
              </w:rPr>
              <w:t>Accelerated filer</w:t>
            </w:r>
          </w:p>
        </w:tc>
        <w:tc>
          <w:tcPr>
            <w:tcW w:w="860" w:type="dxa"/>
            <w:vAlign w:val="bottom"/>
          </w:tcPr>
          <w:p>
            <w:pPr>
              <w:ind w:left="760"/>
              <w:spacing w:after="0"/>
              <w:rPr>
                <w:sz w:val="20"/>
                <w:szCs w:val="20"/>
                <w:color w:val="auto"/>
              </w:rPr>
            </w:pPr>
            <w:r>
              <w:rPr>
                <w:rFonts w:ascii="Arial" w:cs="Arial" w:eastAsia="Arial" w:hAnsi="Arial"/>
                <w:sz w:val="17"/>
                <w:szCs w:val="17"/>
                <w:color w:val="auto"/>
                <w:w w:val="84"/>
              </w:rPr>
              <w:t>o</w:t>
            </w:r>
          </w:p>
        </w:tc>
      </w:tr>
      <w:tr>
        <w:trPr>
          <w:trHeight w:val="222"/>
        </w:trPr>
        <w:tc>
          <w:tcPr>
            <w:tcW w:w="2660" w:type="dxa"/>
            <w:vAlign w:val="bottom"/>
          </w:tcPr>
          <w:p>
            <w:pPr>
              <w:spacing w:after="0"/>
              <w:rPr>
                <w:sz w:val="20"/>
                <w:szCs w:val="20"/>
                <w:color w:val="auto"/>
              </w:rPr>
            </w:pPr>
            <w:r>
              <w:rPr>
                <w:rFonts w:ascii="Arial" w:cs="Arial" w:eastAsia="Arial" w:hAnsi="Arial"/>
                <w:sz w:val="17"/>
                <w:szCs w:val="17"/>
                <w:color w:val="auto"/>
              </w:rPr>
              <w:t>Non-accelerated filer</w:t>
            </w:r>
          </w:p>
        </w:tc>
        <w:tc>
          <w:tcPr>
            <w:tcW w:w="2180" w:type="dxa"/>
            <w:vAlign w:val="bottom"/>
          </w:tcPr>
          <w:p>
            <w:pPr>
              <w:ind w:left="760"/>
              <w:spacing w:after="0"/>
              <w:rPr>
                <w:sz w:val="20"/>
                <w:szCs w:val="20"/>
                <w:color w:val="auto"/>
              </w:rPr>
            </w:pPr>
            <w:r>
              <w:rPr>
                <w:rFonts w:ascii="Arial" w:cs="Arial" w:eastAsia="Arial" w:hAnsi="Arial"/>
                <w:sz w:val="17"/>
                <w:szCs w:val="17"/>
                <w:color w:val="auto"/>
              </w:rPr>
              <w:t>o</w:t>
            </w:r>
          </w:p>
        </w:tc>
        <w:tc>
          <w:tcPr>
            <w:tcW w:w="39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48"/>
        </w:trPr>
        <w:tc>
          <w:tcPr>
            <w:tcW w:w="2660" w:type="dxa"/>
            <w:vAlign w:val="bottom"/>
          </w:tcPr>
          <w:p>
            <w:pPr>
              <w:spacing w:after="0"/>
              <w:rPr>
                <w:sz w:val="20"/>
                <w:szCs w:val="20"/>
                <w:color w:val="auto"/>
              </w:rPr>
            </w:pPr>
            <w:r>
              <w:rPr>
                <w:rFonts w:ascii="Arial" w:cs="Arial" w:eastAsia="Arial" w:hAnsi="Arial"/>
                <w:sz w:val="17"/>
                <w:szCs w:val="17"/>
                <w:color w:val="auto"/>
              </w:rPr>
              <w:t>Smaller reporting company</w:t>
            </w:r>
          </w:p>
        </w:tc>
        <w:tc>
          <w:tcPr>
            <w:tcW w:w="2180" w:type="dxa"/>
            <w:vAlign w:val="bottom"/>
          </w:tcPr>
          <w:p>
            <w:pPr>
              <w:ind w:left="760"/>
              <w:spacing w:after="0"/>
              <w:rPr>
                <w:sz w:val="20"/>
                <w:szCs w:val="20"/>
                <w:color w:val="auto"/>
              </w:rPr>
            </w:pPr>
            <w:r>
              <w:rPr>
                <w:rFonts w:ascii="Arial" w:cs="Arial" w:eastAsia="Arial" w:hAnsi="Arial"/>
                <w:sz w:val="17"/>
                <w:szCs w:val="17"/>
                <w:color w:val="auto"/>
              </w:rPr>
              <w:t>o</w:t>
            </w:r>
          </w:p>
        </w:tc>
        <w:tc>
          <w:tcPr>
            <w:tcW w:w="3940" w:type="dxa"/>
            <w:vAlign w:val="bottom"/>
          </w:tcPr>
          <w:p>
            <w:pPr>
              <w:ind w:left="1300"/>
              <w:spacing w:after="0"/>
              <w:rPr>
                <w:sz w:val="20"/>
                <w:szCs w:val="20"/>
                <w:color w:val="auto"/>
              </w:rPr>
            </w:pPr>
            <w:r>
              <w:rPr>
                <w:rFonts w:ascii="Arial" w:cs="Arial" w:eastAsia="Arial" w:hAnsi="Arial"/>
                <w:sz w:val="17"/>
                <w:szCs w:val="17"/>
                <w:color w:val="auto"/>
              </w:rPr>
              <w:t>Emerging growth company</w:t>
            </w:r>
          </w:p>
        </w:tc>
        <w:tc>
          <w:tcPr>
            <w:tcW w:w="860" w:type="dxa"/>
            <w:vAlign w:val="bottom"/>
          </w:tcPr>
          <w:p>
            <w:pPr>
              <w:ind w:left="760"/>
              <w:spacing w:after="0"/>
              <w:rPr>
                <w:sz w:val="20"/>
                <w:szCs w:val="20"/>
                <w:color w:val="auto"/>
              </w:rPr>
            </w:pPr>
            <w:r>
              <w:rPr>
                <w:rFonts w:ascii="Arial" w:cs="Arial" w:eastAsia="Arial" w:hAnsi="Arial"/>
                <w:sz w:val="17"/>
                <w:szCs w:val="17"/>
                <w:color w:val="auto"/>
                <w:w w:val="84"/>
              </w:rPr>
              <w:t>o</w:t>
            </w:r>
          </w:p>
        </w:tc>
      </w:tr>
    </w:tbl>
    <w:p>
      <w:pPr>
        <w:spacing w:after="0" w:line="197" w:lineRule="exact"/>
        <w:rPr>
          <w:sz w:val="24"/>
          <w:szCs w:val="24"/>
          <w:color w:val="auto"/>
        </w:rPr>
      </w:pPr>
    </w:p>
    <w:p>
      <w:pPr>
        <w:ind w:right="80" w:firstLine="470"/>
        <w:spacing w:after="0" w:line="288" w:lineRule="auto"/>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9" w:lineRule="exact"/>
        <w:rPr>
          <w:sz w:val="24"/>
          <w:szCs w:val="24"/>
          <w:color w:val="auto"/>
        </w:rPr>
      </w:pPr>
    </w:p>
    <w:p>
      <w:pPr>
        <w:ind w:left="480"/>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oYes </w:t>
      </w:r>
      <w:r>
        <w:rPr>
          <w:rFonts w:ascii="MS PGothic" w:cs="MS PGothic" w:eastAsia="MS PGothic" w:hAnsi="MS PGothic"/>
          <w:sz w:val="17"/>
          <w:szCs w:val="17"/>
          <w:color w:val="auto"/>
        </w:rPr>
        <w:t>☑</w:t>
      </w:r>
      <w:r>
        <w:rPr>
          <w:rFonts w:ascii="Arial" w:cs="Arial" w:eastAsia="Arial" w:hAnsi="Arial"/>
          <w:sz w:val="17"/>
          <w:szCs w:val="17"/>
          <w:color w:val="auto"/>
        </w:rPr>
        <w:t>No</w:t>
      </w:r>
    </w:p>
    <w:p>
      <w:pPr>
        <w:spacing w:after="0" w:line="163" w:lineRule="exact"/>
        <w:rPr>
          <w:sz w:val="24"/>
          <w:szCs w:val="24"/>
          <w:color w:val="auto"/>
        </w:rPr>
      </w:pPr>
    </w:p>
    <w:p>
      <w:pPr>
        <w:ind w:right="60" w:firstLine="470"/>
        <w:spacing w:after="0" w:line="288" w:lineRule="auto"/>
        <w:rPr>
          <w:sz w:val="20"/>
          <w:szCs w:val="20"/>
          <w:color w:val="auto"/>
        </w:rPr>
      </w:pPr>
      <w:r>
        <w:rPr>
          <w:rFonts w:ascii="Arial" w:cs="Arial" w:eastAsia="Arial" w:hAnsi="Arial"/>
          <w:sz w:val="17"/>
          <w:szCs w:val="17"/>
          <w:color w:val="auto"/>
        </w:rPr>
        <w:t>Indicate the number of shares outstanding of each of the issuer’s classes of common stock, as of the latest practicable date: 25,785,903 shares of Common Stock, par value $0.001 per share, were outstanding at October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684530</wp:posOffset>
            </wp:positionV>
            <wp:extent cx="716216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165" cy="41910"/>
                    </a:xfrm>
                    <a:prstGeom prst="rect">
                      <a:avLst/>
                    </a:prstGeom>
                    <a:noFill/>
                  </pic:spPr>
                </pic:pic>
              </a:graphicData>
            </a:graphic>
          </wp:anchor>
        </w:drawing>
        <w:drawing>
          <wp:anchor simplePos="0" relativeHeight="251657728" behindDoc="1" locked="0" layoutInCell="0" allowOverlap="1">
            <wp:simplePos x="0" y="0"/>
            <wp:positionH relativeFrom="column">
              <wp:posOffset>301625</wp:posOffset>
            </wp:positionH>
            <wp:positionV relativeFrom="paragraph">
              <wp:posOffset>41910</wp:posOffset>
            </wp:positionV>
            <wp:extent cx="68992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99275" cy="8255"/>
                    </a:xfrm>
                    <a:prstGeom prst="rect">
                      <a:avLst/>
                    </a:prstGeom>
                    <a:noFill/>
                  </pic:spPr>
                </pic:pic>
              </a:graphicData>
            </a:graphic>
          </wp:anchor>
        </w:drawing>
        <w:drawing>
          <wp:anchor simplePos="0" relativeHeight="251657728" behindDoc="1" locked="0" layoutInCell="0" allowOverlap="1">
            <wp:simplePos x="0" y="0"/>
            <wp:positionH relativeFrom="column">
              <wp:posOffset>301625</wp:posOffset>
            </wp:positionH>
            <wp:positionV relativeFrom="paragraph">
              <wp:posOffset>66675</wp:posOffset>
            </wp:positionV>
            <wp:extent cx="68992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99275" cy="8255"/>
                    </a:xfrm>
                    <a:prstGeom prst="rect">
                      <a:avLst/>
                    </a:prstGeom>
                    <a:noFill/>
                  </pic:spPr>
                </pic:pic>
              </a:graphicData>
            </a:graphic>
          </wp:anchor>
        </w:drawing>
      </w:r>
    </w:p>
    <w:p>
      <w:pPr>
        <w:sectPr>
          <w:pgSz w:w="11900" w:h="16838" w:orient="portrait"/>
          <w:cols w:equalWidth="0" w:num="1">
            <w:col w:w="11260"/>
          </w:cols>
          <w:pgMar w:left="320" w:top="232"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95"/>
        </w:trPr>
        <w:tc>
          <w:tcPr>
            <w:tcW w:w="10100" w:type="dxa"/>
            <w:vAlign w:val="bottom"/>
            <w:gridSpan w:val="18"/>
          </w:tcPr>
          <w:p>
            <w:pPr>
              <w:spacing w:after="0"/>
              <w:rPr>
                <w:sz w:val="20"/>
                <w:szCs w:val="20"/>
                <w:color w:val="auto"/>
              </w:rPr>
            </w:pPr>
            <w:r>
              <w:rPr>
                <w:rFonts w:ascii="Arial" w:cs="Arial" w:eastAsia="Arial" w:hAnsi="Arial"/>
                <w:sz w:val="17"/>
                <w:szCs w:val="17"/>
                <w:color w:val="0000FF"/>
              </w:rPr>
              <w:t>Table of Contents</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955"/>
        </w:trPr>
        <w:tc>
          <w:tcPr>
            <w:tcW w:w="11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80" w:type="dxa"/>
            <w:vAlign w:val="bottom"/>
            <w:gridSpan w:val="9"/>
          </w:tcPr>
          <w:p>
            <w:pPr>
              <w:jc w:val="center"/>
              <w:ind w:right="2880"/>
              <w:spacing w:after="0"/>
              <w:rPr>
                <w:sz w:val="20"/>
                <w:szCs w:val="20"/>
                <w:color w:val="auto"/>
              </w:rPr>
            </w:pPr>
            <w:r>
              <w:rPr>
                <w:rFonts w:ascii="Arial" w:cs="Arial" w:eastAsia="Arial" w:hAnsi="Arial"/>
                <w:sz w:val="17"/>
                <w:szCs w:val="17"/>
                <w:b w:val="1"/>
                <w:bCs w:val="1"/>
                <w:color w:val="auto"/>
                <w:w w:val="94"/>
              </w:rPr>
              <w:t>Proto Labs, Inc.</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27"/>
        </w:trPr>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80" w:type="dxa"/>
            <w:vAlign w:val="bottom"/>
            <w:gridSpan w:val="9"/>
          </w:tcPr>
          <w:p>
            <w:pPr>
              <w:jc w:val="center"/>
              <w:ind w:right="2860"/>
              <w:spacing w:after="0"/>
              <w:rPr>
                <w:sz w:val="20"/>
                <w:szCs w:val="20"/>
                <w:color w:val="auto"/>
              </w:rPr>
            </w:pPr>
            <w:r>
              <w:rPr>
                <w:rFonts w:ascii="Arial" w:cs="Arial" w:eastAsia="Arial" w:hAnsi="Arial"/>
                <w:sz w:val="17"/>
                <w:szCs w:val="17"/>
                <w:b w:val="1"/>
                <w:bCs w:val="1"/>
                <w:color w:val="auto"/>
              </w:rPr>
              <w:t>TABLE OF CONTENTS</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51"/>
        </w:trPr>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Item</w:t>
            </w:r>
          </w:p>
        </w:tc>
        <w:tc>
          <w:tcPr>
            <w:tcW w:w="120" w:type="dxa"/>
            <w:vAlign w:val="bottom"/>
          </w:tcPr>
          <w:p>
            <w:pPr>
              <w:spacing w:after="0"/>
              <w:rPr>
                <w:sz w:val="24"/>
                <w:szCs w:val="24"/>
                <w:color w:val="auto"/>
              </w:rPr>
            </w:pPr>
          </w:p>
        </w:tc>
        <w:tc>
          <w:tcPr>
            <w:tcW w:w="8780" w:type="dxa"/>
            <w:vAlign w:val="bottom"/>
            <w:tcBorders>
              <w:bottom w:val="single" w:sz="8" w:color="auto"/>
            </w:tcBorders>
            <w:gridSpan w:val="15"/>
          </w:tcPr>
          <w:p>
            <w:pPr>
              <w:spacing w:after="0"/>
              <w:rPr>
                <w:sz w:val="20"/>
                <w:szCs w:val="20"/>
                <w:color w:val="auto"/>
              </w:rPr>
            </w:pPr>
            <w:r>
              <w:rPr>
                <w:rFonts w:ascii="Arial" w:cs="Arial" w:eastAsia="Arial" w:hAnsi="Arial"/>
                <w:sz w:val="17"/>
                <w:szCs w:val="17"/>
                <w:b w:val="1"/>
                <w:bCs w:val="1"/>
                <w:color w:val="auto"/>
              </w:rPr>
              <w:t>Description</w:t>
            </w:r>
          </w:p>
        </w:tc>
        <w:tc>
          <w:tcPr>
            <w:tcW w:w="80" w:type="dxa"/>
            <w:vAlign w:val="bottom"/>
          </w:tcPr>
          <w:p>
            <w:pPr>
              <w:spacing w:after="0"/>
              <w:rPr>
                <w:sz w:val="24"/>
                <w:szCs w:val="24"/>
                <w:color w:val="auto"/>
              </w:rPr>
            </w:pPr>
          </w:p>
        </w:tc>
        <w:tc>
          <w:tcPr>
            <w:tcW w:w="1140" w:type="dxa"/>
            <w:vAlign w:val="bottom"/>
            <w:tcBorders>
              <w:bottom w:val="single" w:sz="8" w:color="auto"/>
            </w:tcBorders>
            <w:gridSpan w:val="3"/>
          </w:tcPr>
          <w:p>
            <w:pPr>
              <w:ind w:left="20"/>
              <w:spacing w:after="0"/>
              <w:rPr>
                <w:sz w:val="20"/>
                <w:szCs w:val="20"/>
                <w:color w:val="auto"/>
              </w:rPr>
            </w:pPr>
            <w:r>
              <w:rPr>
                <w:rFonts w:ascii="Arial" w:cs="Arial" w:eastAsia="Arial" w:hAnsi="Arial"/>
                <w:sz w:val="17"/>
                <w:szCs w:val="17"/>
                <w:b w:val="1"/>
                <w:bCs w:val="1"/>
                <w:color w:val="auto"/>
              </w:rPr>
              <w:t>Page</w:t>
            </w:r>
          </w:p>
        </w:tc>
      </w:tr>
      <w:tr>
        <w:trPr>
          <w:trHeight w:val="444"/>
        </w:trPr>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40" w:type="dxa"/>
            <w:vAlign w:val="bottom"/>
            <w:gridSpan w:val="7"/>
          </w:tcPr>
          <w:p>
            <w:pPr>
              <w:jc w:val="center"/>
              <w:ind w:right="4220"/>
              <w:spacing w:after="0"/>
              <w:rPr>
                <w:sz w:val="20"/>
                <w:szCs w:val="20"/>
                <w:color w:val="auto"/>
              </w:rPr>
            </w:pPr>
            <w:r>
              <w:rPr>
                <w:rFonts w:ascii="Arial" w:cs="Arial" w:eastAsia="Arial" w:hAnsi="Arial"/>
                <w:sz w:val="17"/>
                <w:szCs w:val="17"/>
                <w:color w:val="0000EE"/>
                <w:w w:val="94"/>
              </w:rPr>
              <w:t>PART I</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28"/>
        </w:trPr>
        <w:tc>
          <w:tcPr>
            <w:tcW w:w="1120" w:type="dxa"/>
            <w:vAlign w:val="bottom"/>
          </w:tcPr>
          <w:p>
            <w:pPr>
              <w:jc w:val="center"/>
              <w:spacing w:after="0"/>
              <w:rPr>
                <w:sz w:val="20"/>
                <w:szCs w:val="20"/>
                <w:color w:val="auto"/>
              </w:rPr>
            </w:pPr>
            <w:r>
              <w:rPr>
                <w:rFonts w:ascii="Arial" w:cs="Arial" w:eastAsia="Arial" w:hAnsi="Arial"/>
                <w:sz w:val="17"/>
                <w:szCs w:val="17"/>
                <w:color w:val="auto"/>
                <w:w w:val="98"/>
              </w:rPr>
              <w:t>1.</w:t>
            </w:r>
          </w:p>
        </w:tc>
        <w:tc>
          <w:tcPr>
            <w:tcW w:w="120" w:type="dxa"/>
            <w:vAlign w:val="bottom"/>
          </w:tcPr>
          <w:p>
            <w:pPr>
              <w:spacing w:after="0"/>
              <w:rPr>
                <w:sz w:val="19"/>
                <w:szCs w:val="19"/>
                <w:color w:val="auto"/>
              </w:rPr>
            </w:pPr>
          </w:p>
        </w:tc>
        <w:tc>
          <w:tcPr>
            <w:tcW w:w="1460" w:type="dxa"/>
            <w:vAlign w:val="bottom"/>
            <w:gridSpan w:val="4"/>
          </w:tcPr>
          <w:p>
            <w:pPr>
              <w:spacing w:after="0"/>
              <w:rPr>
                <w:sz w:val="20"/>
                <w:szCs w:val="20"/>
                <w:color w:val="auto"/>
              </w:rPr>
            </w:pPr>
            <w:r>
              <w:rPr>
                <w:rFonts w:ascii="Arial" w:cs="Arial" w:eastAsia="Arial" w:hAnsi="Arial"/>
                <w:sz w:val="17"/>
                <w:szCs w:val="17"/>
                <w:color w:val="0000EE"/>
                <w:w w:val="90"/>
              </w:rPr>
              <w:t>Financial Statements</w:t>
            </w:r>
          </w:p>
        </w:tc>
        <w:tc>
          <w:tcPr>
            <w:tcW w:w="2660" w:type="dxa"/>
            <w:vAlign w:val="bottom"/>
            <w:gridSpan w:val="5"/>
          </w:tcPr>
          <w:p>
            <w:pPr>
              <w:spacing w:after="0"/>
              <w:rPr>
                <w:sz w:val="19"/>
                <w:szCs w:val="19"/>
                <w:color w:val="auto"/>
              </w:rPr>
            </w:pPr>
          </w:p>
        </w:tc>
        <w:tc>
          <w:tcPr>
            <w:tcW w:w="520" w:type="dxa"/>
            <w:vAlign w:val="bottom"/>
            <w:tcBorders>
              <w:top w:val="single" w:sz="8" w:color="0000EE"/>
            </w:tcBorders>
            <w:gridSpan w:val="2"/>
          </w:tcPr>
          <w:p>
            <w:pPr>
              <w:spacing w:after="0"/>
              <w:rPr>
                <w:sz w:val="19"/>
                <w:szCs w:val="19"/>
                <w:color w:val="auto"/>
              </w:rPr>
            </w:pPr>
          </w:p>
        </w:tc>
        <w:tc>
          <w:tcPr>
            <w:tcW w:w="4220" w:type="dxa"/>
            <w:vAlign w:val="bottom"/>
            <w:gridSpan w:val="5"/>
          </w:tcPr>
          <w:p>
            <w:pPr>
              <w:spacing w:after="0"/>
              <w:rPr>
                <w:sz w:val="19"/>
                <w:szCs w:val="19"/>
                <w:color w:val="auto"/>
              </w:rPr>
            </w:pPr>
          </w:p>
        </w:tc>
        <w:tc>
          <w:tcPr>
            <w:tcW w:w="620" w:type="dxa"/>
            <w:vAlign w:val="bottom"/>
            <w:gridSpan w:val="2"/>
          </w:tcPr>
          <w:p>
            <w:pPr>
              <w:jc w:val="center"/>
              <w:ind w:left="453"/>
              <w:spacing w:after="0"/>
              <w:rPr>
                <w:sz w:val="20"/>
                <w:szCs w:val="20"/>
                <w:color w:val="auto"/>
              </w:rPr>
            </w:pPr>
            <w:r>
              <w:rPr>
                <w:rFonts w:ascii="Arial" w:cs="Arial" w:eastAsia="Arial" w:hAnsi="Arial"/>
                <w:sz w:val="17"/>
                <w:szCs w:val="17"/>
                <w:color w:val="0000EE"/>
                <w:w w:val="84"/>
              </w:rPr>
              <w:t>2</w:t>
            </w:r>
          </w:p>
        </w:tc>
        <w:tc>
          <w:tcPr>
            <w:tcW w:w="520" w:type="dxa"/>
            <w:vAlign w:val="bottom"/>
          </w:tcPr>
          <w:p>
            <w:pPr>
              <w:spacing w:after="0"/>
              <w:rPr>
                <w:sz w:val="19"/>
                <w:szCs w:val="19"/>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28"/>
        </w:trPr>
        <w:tc>
          <w:tcPr>
            <w:tcW w:w="1120" w:type="dxa"/>
            <w:vAlign w:val="bottom"/>
          </w:tcPr>
          <w:p>
            <w:pPr>
              <w:jc w:val="center"/>
              <w:spacing w:after="0"/>
              <w:rPr>
                <w:sz w:val="20"/>
                <w:szCs w:val="20"/>
                <w:color w:val="auto"/>
              </w:rPr>
            </w:pPr>
            <w:r>
              <w:rPr>
                <w:rFonts w:ascii="Arial" w:cs="Arial" w:eastAsia="Arial" w:hAnsi="Arial"/>
                <w:sz w:val="17"/>
                <w:szCs w:val="17"/>
                <w:color w:val="auto"/>
                <w:w w:val="98"/>
              </w:rPr>
              <w:t>2.</w:t>
            </w:r>
          </w:p>
        </w:tc>
        <w:tc>
          <w:tcPr>
            <w:tcW w:w="120" w:type="dxa"/>
            <w:vAlign w:val="bottom"/>
          </w:tcPr>
          <w:p>
            <w:pPr>
              <w:spacing w:after="0"/>
              <w:rPr>
                <w:sz w:val="19"/>
                <w:szCs w:val="19"/>
                <w:color w:val="auto"/>
              </w:rPr>
            </w:pPr>
          </w:p>
        </w:tc>
        <w:tc>
          <w:tcPr>
            <w:tcW w:w="6240" w:type="dxa"/>
            <w:vAlign w:val="bottom"/>
            <w:gridSpan w:val="13"/>
          </w:tcPr>
          <w:p>
            <w:pPr>
              <w:spacing w:after="0"/>
              <w:rPr>
                <w:sz w:val="20"/>
                <w:szCs w:val="20"/>
                <w:color w:val="auto"/>
              </w:rPr>
            </w:pPr>
            <w:r>
              <w:rPr>
                <w:rFonts w:ascii="Arial" w:cs="Arial" w:eastAsia="Arial" w:hAnsi="Arial"/>
                <w:sz w:val="17"/>
                <w:szCs w:val="17"/>
                <w:color w:val="0000EE"/>
                <w:w w:val="93"/>
              </w:rPr>
              <w:t>Management's Discussion and Analysis of Financial Condition and Results of Operations</w:t>
            </w:r>
          </w:p>
        </w:tc>
        <w:tc>
          <w:tcPr>
            <w:tcW w:w="2620" w:type="dxa"/>
            <w:vAlign w:val="bottom"/>
            <w:gridSpan w:val="3"/>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gridSpan w:val="2"/>
          </w:tcPr>
          <w:p>
            <w:pPr>
              <w:jc w:val="center"/>
              <w:ind w:right="480"/>
              <w:spacing w:after="0"/>
              <w:rPr>
                <w:sz w:val="20"/>
                <w:szCs w:val="20"/>
                <w:color w:val="auto"/>
              </w:rPr>
            </w:pPr>
            <w:r>
              <w:rPr>
                <w:rFonts w:ascii="Arial" w:cs="Arial" w:eastAsia="Arial" w:hAnsi="Arial"/>
                <w:sz w:val="15"/>
                <w:szCs w:val="15"/>
                <w:color w:val="0000EE"/>
                <w:w w:val="71"/>
              </w:rPr>
              <w:t>17</w:t>
            </w:r>
          </w:p>
        </w:tc>
      </w:tr>
      <w:tr>
        <w:trPr>
          <w:trHeight w:val="20"/>
        </w:trPr>
        <w:tc>
          <w:tcPr>
            <w:tcW w:w="11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r>
      <w:tr>
        <w:trPr>
          <w:trHeight w:val="241"/>
        </w:trPr>
        <w:tc>
          <w:tcPr>
            <w:tcW w:w="1120" w:type="dxa"/>
            <w:vAlign w:val="bottom"/>
          </w:tcPr>
          <w:p>
            <w:pPr>
              <w:jc w:val="center"/>
              <w:spacing w:after="0"/>
              <w:rPr>
                <w:sz w:val="20"/>
                <w:szCs w:val="20"/>
                <w:color w:val="auto"/>
              </w:rPr>
            </w:pPr>
            <w:r>
              <w:rPr>
                <w:rFonts w:ascii="Arial" w:cs="Arial" w:eastAsia="Arial" w:hAnsi="Arial"/>
                <w:sz w:val="17"/>
                <w:szCs w:val="17"/>
                <w:color w:val="auto"/>
                <w:w w:val="98"/>
              </w:rPr>
              <w:t>3.</w:t>
            </w:r>
          </w:p>
        </w:tc>
        <w:tc>
          <w:tcPr>
            <w:tcW w:w="120" w:type="dxa"/>
            <w:vAlign w:val="bottom"/>
          </w:tcPr>
          <w:p>
            <w:pPr>
              <w:spacing w:after="0"/>
              <w:rPr>
                <w:sz w:val="20"/>
                <w:szCs w:val="20"/>
                <w:color w:val="auto"/>
              </w:rPr>
            </w:pPr>
          </w:p>
        </w:tc>
        <w:tc>
          <w:tcPr>
            <w:tcW w:w="6240" w:type="dxa"/>
            <w:vAlign w:val="bottom"/>
            <w:gridSpan w:val="13"/>
          </w:tcPr>
          <w:p>
            <w:pPr>
              <w:spacing w:after="0"/>
              <w:rPr>
                <w:sz w:val="20"/>
                <w:szCs w:val="20"/>
                <w:color w:val="auto"/>
              </w:rPr>
            </w:pPr>
            <w:r>
              <w:rPr>
                <w:rFonts w:ascii="Arial" w:cs="Arial" w:eastAsia="Arial" w:hAnsi="Arial"/>
                <w:sz w:val="17"/>
                <w:szCs w:val="17"/>
                <w:color w:val="0000EE"/>
              </w:rPr>
              <w:t>Quantitative and Qualitative Disclosures about Market Risk</w:t>
            </w:r>
          </w:p>
        </w:tc>
        <w:tc>
          <w:tcPr>
            <w:tcW w:w="2620" w:type="dxa"/>
            <w:vAlign w:val="bottom"/>
            <w:gridSpan w:val="3"/>
          </w:tcPr>
          <w:p>
            <w:pPr>
              <w:spacing w:after="0"/>
              <w:rPr>
                <w:sz w:val="20"/>
                <w:szCs w:val="20"/>
                <w:color w:val="auto"/>
              </w:rPr>
            </w:pPr>
          </w:p>
        </w:tc>
        <w:tc>
          <w:tcPr>
            <w:tcW w:w="540" w:type="dxa"/>
            <w:vAlign w:val="bottom"/>
          </w:tcPr>
          <w:p>
            <w:pPr>
              <w:spacing w:after="0"/>
              <w:rPr>
                <w:sz w:val="20"/>
                <w:szCs w:val="20"/>
                <w:color w:val="auto"/>
              </w:rPr>
            </w:pPr>
          </w:p>
        </w:tc>
        <w:tc>
          <w:tcPr>
            <w:tcW w:w="600" w:type="dxa"/>
            <w:vAlign w:val="bottom"/>
            <w:gridSpan w:val="2"/>
          </w:tcPr>
          <w:p>
            <w:pPr>
              <w:jc w:val="center"/>
              <w:ind w:right="480"/>
              <w:spacing w:after="0"/>
              <w:rPr>
                <w:sz w:val="20"/>
                <w:szCs w:val="20"/>
                <w:color w:val="auto"/>
              </w:rPr>
            </w:pPr>
            <w:r>
              <w:rPr>
                <w:rFonts w:ascii="Arial" w:cs="Arial" w:eastAsia="Arial" w:hAnsi="Arial"/>
                <w:sz w:val="15"/>
                <w:szCs w:val="15"/>
                <w:color w:val="0000EE"/>
                <w:w w:val="71"/>
              </w:rPr>
              <w:t>27</w:t>
            </w:r>
          </w:p>
        </w:tc>
      </w:tr>
      <w:tr>
        <w:trPr>
          <w:trHeight w:val="20"/>
        </w:trPr>
        <w:tc>
          <w:tcPr>
            <w:tcW w:w="11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r>
      <w:tr>
        <w:trPr>
          <w:trHeight w:val="228"/>
        </w:trPr>
        <w:tc>
          <w:tcPr>
            <w:tcW w:w="1120" w:type="dxa"/>
            <w:vAlign w:val="bottom"/>
          </w:tcPr>
          <w:p>
            <w:pPr>
              <w:jc w:val="center"/>
              <w:spacing w:after="0"/>
              <w:rPr>
                <w:sz w:val="20"/>
                <w:szCs w:val="20"/>
                <w:color w:val="auto"/>
              </w:rPr>
            </w:pPr>
            <w:r>
              <w:rPr>
                <w:rFonts w:ascii="Arial" w:cs="Arial" w:eastAsia="Arial" w:hAnsi="Arial"/>
                <w:sz w:val="17"/>
                <w:szCs w:val="17"/>
                <w:color w:val="auto"/>
                <w:w w:val="98"/>
              </w:rPr>
              <w:t>4.</w:t>
            </w:r>
          </w:p>
        </w:tc>
        <w:tc>
          <w:tcPr>
            <w:tcW w:w="120" w:type="dxa"/>
            <w:vAlign w:val="bottom"/>
          </w:tcPr>
          <w:p>
            <w:pPr>
              <w:spacing w:after="0"/>
              <w:rPr>
                <w:sz w:val="19"/>
                <w:szCs w:val="19"/>
                <w:color w:val="auto"/>
              </w:rPr>
            </w:pPr>
          </w:p>
        </w:tc>
        <w:tc>
          <w:tcPr>
            <w:tcW w:w="4160" w:type="dxa"/>
            <w:vAlign w:val="bottom"/>
            <w:gridSpan w:val="10"/>
          </w:tcPr>
          <w:p>
            <w:pPr>
              <w:spacing w:after="0"/>
              <w:rPr>
                <w:sz w:val="20"/>
                <w:szCs w:val="20"/>
                <w:color w:val="auto"/>
              </w:rPr>
            </w:pPr>
            <w:r>
              <w:rPr>
                <w:rFonts w:ascii="Arial" w:cs="Arial" w:eastAsia="Arial" w:hAnsi="Arial"/>
                <w:sz w:val="17"/>
                <w:szCs w:val="17"/>
                <w:color w:val="0000EE"/>
              </w:rPr>
              <w:t>Controls and Procedures</w:t>
            </w:r>
          </w:p>
        </w:tc>
        <w:tc>
          <w:tcPr>
            <w:tcW w:w="4700" w:type="dxa"/>
            <w:vAlign w:val="bottom"/>
            <w:gridSpan w:val="6"/>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gridSpan w:val="2"/>
          </w:tcPr>
          <w:p>
            <w:pPr>
              <w:jc w:val="center"/>
              <w:ind w:right="480"/>
              <w:spacing w:after="0"/>
              <w:rPr>
                <w:sz w:val="20"/>
                <w:szCs w:val="20"/>
                <w:color w:val="auto"/>
              </w:rPr>
            </w:pPr>
            <w:r>
              <w:rPr>
                <w:rFonts w:ascii="Arial" w:cs="Arial" w:eastAsia="Arial" w:hAnsi="Arial"/>
                <w:sz w:val="15"/>
                <w:szCs w:val="15"/>
                <w:color w:val="0000EE"/>
                <w:w w:val="71"/>
              </w:rPr>
              <w:t>28</w:t>
            </w:r>
          </w:p>
        </w:tc>
      </w:tr>
      <w:tr>
        <w:trPr>
          <w:trHeight w:val="228"/>
        </w:trPr>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80" w:type="dxa"/>
            <w:vAlign w:val="bottom"/>
            <w:gridSpan w:val="9"/>
          </w:tcPr>
          <w:p>
            <w:pPr>
              <w:jc w:val="center"/>
              <w:ind w:right="2860"/>
              <w:spacing w:after="0"/>
              <w:rPr>
                <w:sz w:val="20"/>
                <w:szCs w:val="20"/>
                <w:color w:val="auto"/>
              </w:rPr>
            </w:pPr>
            <w:r>
              <w:rPr>
                <w:rFonts w:ascii="Arial" w:cs="Arial" w:eastAsia="Arial" w:hAnsi="Arial"/>
                <w:sz w:val="17"/>
                <w:szCs w:val="17"/>
                <w:color w:val="0000EE"/>
                <w:w w:val="97"/>
              </w:rPr>
              <w:t>PART II</w:t>
            </w:r>
          </w:p>
        </w:tc>
        <w:tc>
          <w:tcPr>
            <w:tcW w:w="540" w:type="dxa"/>
            <w:vAlign w:val="bottom"/>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520" w:type="dxa"/>
            <w:vAlign w:val="bottom"/>
          </w:tcPr>
          <w:p>
            <w:pPr>
              <w:spacing w:after="0"/>
              <w:rPr>
                <w:sz w:val="19"/>
                <w:szCs w:val="19"/>
                <w:color w:val="auto"/>
              </w:rPr>
            </w:pPr>
          </w:p>
        </w:tc>
      </w:tr>
      <w:tr>
        <w:trPr>
          <w:trHeight w:val="228"/>
        </w:trPr>
        <w:tc>
          <w:tcPr>
            <w:tcW w:w="1120" w:type="dxa"/>
            <w:vAlign w:val="bottom"/>
          </w:tcPr>
          <w:p>
            <w:pPr>
              <w:jc w:val="center"/>
              <w:spacing w:after="0"/>
              <w:rPr>
                <w:sz w:val="20"/>
                <w:szCs w:val="20"/>
                <w:color w:val="auto"/>
              </w:rPr>
            </w:pPr>
            <w:r>
              <w:rPr>
                <w:rFonts w:ascii="Arial" w:cs="Arial" w:eastAsia="Arial" w:hAnsi="Arial"/>
                <w:sz w:val="17"/>
                <w:szCs w:val="17"/>
                <w:color w:val="auto"/>
                <w:w w:val="98"/>
              </w:rPr>
              <w:t>1.</w:t>
            </w:r>
          </w:p>
        </w:tc>
        <w:tc>
          <w:tcPr>
            <w:tcW w:w="120" w:type="dxa"/>
            <w:vAlign w:val="bottom"/>
          </w:tcPr>
          <w:p>
            <w:pPr>
              <w:spacing w:after="0"/>
              <w:rPr>
                <w:sz w:val="19"/>
                <w:szCs w:val="19"/>
                <w:color w:val="auto"/>
              </w:rPr>
            </w:pPr>
          </w:p>
        </w:tc>
        <w:tc>
          <w:tcPr>
            <w:tcW w:w="4100" w:type="dxa"/>
            <w:vAlign w:val="bottom"/>
            <w:gridSpan w:val="8"/>
          </w:tcPr>
          <w:p>
            <w:pPr>
              <w:spacing w:after="0"/>
              <w:rPr>
                <w:sz w:val="20"/>
                <w:szCs w:val="20"/>
                <w:color w:val="auto"/>
              </w:rPr>
            </w:pPr>
            <w:r>
              <w:rPr>
                <w:rFonts w:ascii="Arial" w:cs="Arial" w:eastAsia="Arial" w:hAnsi="Arial"/>
                <w:sz w:val="17"/>
                <w:szCs w:val="17"/>
                <w:color w:val="0000EE"/>
              </w:rPr>
              <w:t>Legal Proceedings</w:t>
            </w:r>
          </w:p>
        </w:tc>
        <w:tc>
          <w:tcPr>
            <w:tcW w:w="580" w:type="dxa"/>
            <w:vAlign w:val="bottom"/>
            <w:tcBorders>
              <w:top w:val="single" w:sz="8" w:color="0000EE"/>
            </w:tcBorders>
            <w:gridSpan w:val="4"/>
          </w:tcPr>
          <w:p>
            <w:pPr>
              <w:spacing w:after="0"/>
              <w:rPr>
                <w:sz w:val="19"/>
                <w:szCs w:val="19"/>
                <w:color w:val="auto"/>
              </w:rPr>
            </w:pPr>
          </w:p>
        </w:tc>
        <w:tc>
          <w:tcPr>
            <w:tcW w:w="4180" w:type="dxa"/>
            <w:vAlign w:val="bottom"/>
            <w:gridSpan w:val="4"/>
          </w:tcPr>
          <w:p>
            <w:pPr>
              <w:spacing w:after="0"/>
              <w:rPr>
                <w:sz w:val="19"/>
                <w:szCs w:val="19"/>
                <w:color w:val="auto"/>
              </w:rPr>
            </w:pPr>
          </w:p>
        </w:tc>
        <w:tc>
          <w:tcPr>
            <w:tcW w:w="1140" w:type="dxa"/>
            <w:vAlign w:val="bottom"/>
            <w:gridSpan w:val="3"/>
          </w:tcPr>
          <w:p>
            <w:pPr>
              <w:jc w:val="center"/>
              <w:spacing w:after="0"/>
              <w:rPr>
                <w:sz w:val="20"/>
                <w:szCs w:val="20"/>
                <w:color w:val="auto"/>
              </w:rPr>
            </w:pPr>
            <w:r>
              <w:rPr>
                <w:rFonts w:ascii="Arial" w:cs="Arial" w:eastAsia="Arial" w:hAnsi="Arial"/>
                <w:sz w:val="17"/>
                <w:szCs w:val="17"/>
                <w:color w:val="0000EE"/>
                <w:w w:val="94"/>
              </w:rPr>
              <w:t>29</w:t>
            </w:r>
          </w:p>
        </w:tc>
      </w:tr>
      <w:tr>
        <w:trPr>
          <w:trHeight w:val="20"/>
        </w:trPr>
        <w:tc>
          <w:tcPr>
            <w:tcW w:w="1240" w:type="dxa"/>
            <w:vAlign w:val="bottom"/>
            <w:tcBorders>
              <w:right w:val="single" w:sz="8" w:color="0000EE"/>
            </w:tcBorders>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80" w:type="dxa"/>
            <w:vAlign w:val="bottom"/>
            <w:tcBorders>
              <w:left w:val="single" w:sz="8" w:color="0000EE"/>
            </w:tcBorders>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100" w:type="dxa"/>
            <w:vAlign w:val="bottom"/>
            <w:gridSpan w:val="7"/>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r>
      <w:tr>
        <w:trPr>
          <w:trHeight w:val="228"/>
        </w:trPr>
        <w:tc>
          <w:tcPr>
            <w:tcW w:w="1240" w:type="dxa"/>
            <w:vAlign w:val="bottom"/>
            <w:gridSpan w:val="2"/>
          </w:tcPr>
          <w:p>
            <w:pPr>
              <w:jc w:val="center"/>
              <w:ind w:right="100"/>
              <w:spacing w:after="0"/>
              <w:rPr>
                <w:sz w:val="20"/>
                <w:szCs w:val="20"/>
                <w:color w:val="auto"/>
              </w:rPr>
            </w:pPr>
            <w:r>
              <w:rPr>
                <w:rFonts w:ascii="Arial" w:cs="Arial" w:eastAsia="Arial" w:hAnsi="Arial"/>
                <w:sz w:val="17"/>
                <w:szCs w:val="17"/>
                <w:color w:val="auto"/>
              </w:rPr>
              <w:t>1A.</w:t>
            </w:r>
          </w:p>
        </w:tc>
        <w:tc>
          <w:tcPr>
            <w:tcW w:w="880" w:type="dxa"/>
            <w:vAlign w:val="bottom"/>
            <w:gridSpan w:val="2"/>
          </w:tcPr>
          <w:p>
            <w:pPr>
              <w:spacing w:after="0"/>
              <w:rPr>
                <w:sz w:val="20"/>
                <w:szCs w:val="20"/>
                <w:color w:val="auto"/>
              </w:rPr>
            </w:pPr>
            <w:r>
              <w:rPr>
                <w:rFonts w:ascii="Arial" w:cs="Arial" w:eastAsia="Arial" w:hAnsi="Arial"/>
                <w:sz w:val="17"/>
                <w:szCs w:val="17"/>
                <w:color w:val="0000EE"/>
                <w:w w:val="90"/>
              </w:rPr>
              <w:t>Risk Factors</w:t>
            </w:r>
          </w:p>
        </w:tc>
        <w:tc>
          <w:tcPr>
            <w:tcW w:w="380" w:type="dxa"/>
            <w:vAlign w:val="bottom"/>
          </w:tcPr>
          <w:p>
            <w:pPr>
              <w:spacing w:after="0"/>
              <w:rPr>
                <w:sz w:val="19"/>
                <w:szCs w:val="19"/>
                <w:color w:val="auto"/>
              </w:rPr>
            </w:pPr>
          </w:p>
        </w:tc>
        <w:tc>
          <w:tcPr>
            <w:tcW w:w="7600" w:type="dxa"/>
            <w:vAlign w:val="bottom"/>
            <w:gridSpan w:val="13"/>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gridSpan w:val="2"/>
          </w:tcPr>
          <w:p>
            <w:pPr>
              <w:jc w:val="center"/>
              <w:ind w:right="480"/>
              <w:spacing w:after="0"/>
              <w:rPr>
                <w:sz w:val="20"/>
                <w:szCs w:val="20"/>
                <w:color w:val="auto"/>
              </w:rPr>
            </w:pPr>
            <w:r>
              <w:rPr>
                <w:rFonts w:ascii="Arial" w:cs="Arial" w:eastAsia="Arial" w:hAnsi="Arial"/>
                <w:sz w:val="15"/>
                <w:szCs w:val="15"/>
                <w:color w:val="0000EE"/>
                <w:w w:val="71"/>
              </w:rPr>
              <w:t>29</w:t>
            </w:r>
          </w:p>
        </w:tc>
      </w:tr>
      <w:tr>
        <w:trPr>
          <w:trHeight w:val="20"/>
        </w:trPr>
        <w:tc>
          <w:tcPr>
            <w:tcW w:w="11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100" w:type="dxa"/>
            <w:vAlign w:val="bottom"/>
            <w:gridSpan w:val="7"/>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r>
      <w:tr>
        <w:trPr>
          <w:trHeight w:val="228"/>
        </w:trPr>
        <w:tc>
          <w:tcPr>
            <w:tcW w:w="1120" w:type="dxa"/>
            <w:vAlign w:val="bottom"/>
          </w:tcPr>
          <w:p>
            <w:pPr>
              <w:jc w:val="center"/>
              <w:spacing w:after="0"/>
              <w:rPr>
                <w:sz w:val="20"/>
                <w:szCs w:val="20"/>
                <w:color w:val="auto"/>
              </w:rPr>
            </w:pPr>
            <w:r>
              <w:rPr>
                <w:rFonts w:ascii="Arial" w:cs="Arial" w:eastAsia="Arial" w:hAnsi="Arial"/>
                <w:sz w:val="17"/>
                <w:szCs w:val="17"/>
                <w:color w:val="auto"/>
                <w:w w:val="98"/>
              </w:rPr>
              <w:t>2.</w:t>
            </w:r>
          </w:p>
        </w:tc>
        <w:tc>
          <w:tcPr>
            <w:tcW w:w="120" w:type="dxa"/>
            <w:vAlign w:val="bottom"/>
          </w:tcPr>
          <w:p>
            <w:pPr>
              <w:spacing w:after="0"/>
              <w:rPr>
                <w:sz w:val="19"/>
                <w:szCs w:val="19"/>
                <w:color w:val="auto"/>
              </w:rPr>
            </w:pPr>
          </w:p>
        </w:tc>
        <w:tc>
          <w:tcPr>
            <w:tcW w:w="6880" w:type="dxa"/>
            <w:vAlign w:val="bottom"/>
            <w:gridSpan w:val="14"/>
          </w:tcPr>
          <w:p>
            <w:pPr>
              <w:spacing w:after="0"/>
              <w:rPr>
                <w:sz w:val="20"/>
                <w:szCs w:val="20"/>
                <w:color w:val="auto"/>
              </w:rPr>
            </w:pPr>
            <w:r>
              <w:rPr>
                <w:rFonts w:ascii="Arial" w:cs="Arial" w:eastAsia="Arial" w:hAnsi="Arial"/>
                <w:sz w:val="17"/>
                <w:szCs w:val="17"/>
                <w:color w:val="0000EE"/>
                <w:w w:val="91"/>
              </w:rPr>
              <w:t>Unregistered Sales of Equity Securities, Use of Proceeds and Issuer Purchases of Equity Securities</w:t>
            </w:r>
          </w:p>
        </w:tc>
        <w:tc>
          <w:tcPr>
            <w:tcW w:w="1980" w:type="dxa"/>
            <w:vAlign w:val="bottom"/>
            <w:gridSpan w:val="2"/>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gridSpan w:val="2"/>
          </w:tcPr>
          <w:p>
            <w:pPr>
              <w:jc w:val="center"/>
              <w:ind w:right="480"/>
              <w:spacing w:after="0"/>
              <w:rPr>
                <w:sz w:val="20"/>
                <w:szCs w:val="20"/>
                <w:color w:val="auto"/>
              </w:rPr>
            </w:pPr>
            <w:r>
              <w:rPr>
                <w:rFonts w:ascii="Arial" w:cs="Arial" w:eastAsia="Arial" w:hAnsi="Arial"/>
                <w:sz w:val="15"/>
                <w:szCs w:val="15"/>
                <w:color w:val="0000EE"/>
                <w:w w:val="71"/>
              </w:rPr>
              <w:t>29</w:t>
            </w:r>
          </w:p>
        </w:tc>
      </w:tr>
      <w:tr>
        <w:trPr>
          <w:trHeight w:val="20"/>
        </w:trPr>
        <w:tc>
          <w:tcPr>
            <w:tcW w:w="11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r>
      <w:tr>
        <w:trPr>
          <w:trHeight w:val="228"/>
        </w:trPr>
        <w:tc>
          <w:tcPr>
            <w:tcW w:w="1120" w:type="dxa"/>
            <w:vAlign w:val="bottom"/>
          </w:tcPr>
          <w:p>
            <w:pPr>
              <w:jc w:val="center"/>
              <w:spacing w:after="0"/>
              <w:rPr>
                <w:sz w:val="20"/>
                <w:szCs w:val="20"/>
                <w:color w:val="auto"/>
              </w:rPr>
            </w:pPr>
            <w:r>
              <w:rPr>
                <w:rFonts w:ascii="Arial" w:cs="Arial" w:eastAsia="Arial" w:hAnsi="Arial"/>
                <w:sz w:val="17"/>
                <w:szCs w:val="17"/>
                <w:color w:val="auto"/>
                <w:w w:val="98"/>
              </w:rPr>
              <w:t>3.</w:t>
            </w:r>
          </w:p>
        </w:tc>
        <w:tc>
          <w:tcPr>
            <w:tcW w:w="120" w:type="dxa"/>
            <w:vAlign w:val="bottom"/>
          </w:tcPr>
          <w:p>
            <w:pPr>
              <w:spacing w:after="0"/>
              <w:rPr>
                <w:sz w:val="19"/>
                <w:szCs w:val="19"/>
                <w:color w:val="auto"/>
              </w:rPr>
            </w:pPr>
          </w:p>
        </w:tc>
        <w:tc>
          <w:tcPr>
            <w:tcW w:w="6880" w:type="dxa"/>
            <w:vAlign w:val="bottom"/>
            <w:gridSpan w:val="14"/>
          </w:tcPr>
          <w:p>
            <w:pPr>
              <w:spacing w:after="0"/>
              <w:rPr>
                <w:sz w:val="20"/>
                <w:szCs w:val="20"/>
                <w:color w:val="auto"/>
              </w:rPr>
            </w:pPr>
            <w:r>
              <w:rPr>
                <w:rFonts w:ascii="Arial" w:cs="Arial" w:eastAsia="Arial" w:hAnsi="Arial"/>
                <w:sz w:val="17"/>
                <w:szCs w:val="17"/>
                <w:color w:val="0000EE"/>
              </w:rPr>
              <w:t>Defaults Upon Senior Securities</w:t>
            </w:r>
          </w:p>
        </w:tc>
        <w:tc>
          <w:tcPr>
            <w:tcW w:w="1980" w:type="dxa"/>
            <w:vAlign w:val="bottom"/>
            <w:gridSpan w:val="2"/>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gridSpan w:val="2"/>
          </w:tcPr>
          <w:p>
            <w:pPr>
              <w:jc w:val="center"/>
              <w:ind w:right="480"/>
              <w:spacing w:after="0"/>
              <w:rPr>
                <w:sz w:val="20"/>
                <w:szCs w:val="20"/>
                <w:color w:val="auto"/>
              </w:rPr>
            </w:pPr>
            <w:r>
              <w:rPr>
                <w:rFonts w:ascii="Arial" w:cs="Arial" w:eastAsia="Arial" w:hAnsi="Arial"/>
                <w:sz w:val="15"/>
                <w:szCs w:val="15"/>
                <w:color w:val="0000EE"/>
                <w:w w:val="71"/>
              </w:rPr>
              <w:t>29</w:t>
            </w:r>
          </w:p>
        </w:tc>
      </w:tr>
      <w:tr>
        <w:trPr>
          <w:trHeight w:val="20"/>
        </w:trPr>
        <w:tc>
          <w:tcPr>
            <w:tcW w:w="11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980" w:type="dxa"/>
            <w:vAlign w:val="bottom"/>
            <w:tcBorders>
              <w:left w:val="single" w:sz="8" w:color="0000EE"/>
            </w:tcBorders>
            <w:gridSpan w:val="3"/>
            <w:shd w:val="clear" w:color="auto" w:fill="0000EE"/>
          </w:tcPr>
          <w:p>
            <w:pPr>
              <w:spacing w:after="0" w:line="20" w:lineRule="exact"/>
              <w:rPr>
                <w:sz w:val="1"/>
                <w:szCs w:val="1"/>
                <w:color w:val="auto"/>
              </w:rPr>
            </w:pPr>
          </w:p>
        </w:tc>
        <w:tc>
          <w:tcPr>
            <w:tcW w:w="6620" w:type="dxa"/>
            <w:vAlign w:val="bottom"/>
            <w:gridSpan w:val="10"/>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r>
      <w:tr>
        <w:trPr>
          <w:trHeight w:val="241"/>
        </w:trPr>
        <w:tc>
          <w:tcPr>
            <w:tcW w:w="1120" w:type="dxa"/>
            <w:vAlign w:val="bottom"/>
          </w:tcPr>
          <w:p>
            <w:pPr>
              <w:jc w:val="center"/>
              <w:spacing w:after="0"/>
              <w:rPr>
                <w:sz w:val="20"/>
                <w:szCs w:val="20"/>
                <w:color w:val="auto"/>
              </w:rPr>
            </w:pPr>
            <w:r>
              <w:rPr>
                <w:rFonts w:ascii="Arial" w:cs="Arial" w:eastAsia="Arial" w:hAnsi="Arial"/>
                <w:sz w:val="17"/>
                <w:szCs w:val="17"/>
                <w:color w:val="auto"/>
                <w:w w:val="98"/>
              </w:rPr>
              <w:t>4.</w:t>
            </w:r>
          </w:p>
        </w:tc>
        <w:tc>
          <w:tcPr>
            <w:tcW w:w="120" w:type="dxa"/>
            <w:vAlign w:val="bottom"/>
          </w:tcPr>
          <w:p>
            <w:pPr>
              <w:spacing w:after="0"/>
              <w:rPr>
                <w:sz w:val="20"/>
                <w:szCs w:val="20"/>
                <w:color w:val="auto"/>
              </w:rPr>
            </w:pPr>
          </w:p>
        </w:tc>
        <w:tc>
          <w:tcPr>
            <w:tcW w:w="2240" w:type="dxa"/>
            <w:vAlign w:val="bottom"/>
            <w:gridSpan w:val="6"/>
          </w:tcPr>
          <w:p>
            <w:pPr>
              <w:spacing w:after="0"/>
              <w:rPr>
                <w:sz w:val="20"/>
                <w:szCs w:val="20"/>
                <w:color w:val="auto"/>
              </w:rPr>
            </w:pPr>
            <w:r>
              <w:rPr>
                <w:rFonts w:ascii="Arial" w:cs="Arial" w:eastAsia="Arial" w:hAnsi="Arial"/>
                <w:sz w:val="17"/>
                <w:szCs w:val="17"/>
                <w:color w:val="0000EE"/>
              </w:rPr>
              <w:t>Mine Safety Disclosures</w:t>
            </w:r>
          </w:p>
        </w:tc>
        <w:tc>
          <w:tcPr>
            <w:tcW w:w="6620" w:type="dxa"/>
            <w:vAlign w:val="bottom"/>
            <w:gridSpan w:val="10"/>
          </w:tcPr>
          <w:p>
            <w:pPr>
              <w:spacing w:after="0"/>
              <w:rPr>
                <w:sz w:val="20"/>
                <w:szCs w:val="20"/>
                <w:color w:val="auto"/>
              </w:rPr>
            </w:pPr>
          </w:p>
        </w:tc>
        <w:tc>
          <w:tcPr>
            <w:tcW w:w="540" w:type="dxa"/>
            <w:vAlign w:val="bottom"/>
          </w:tcPr>
          <w:p>
            <w:pPr>
              <w:spacing w:after="0"/>
              <w:rPr>
                <w:sz w:val="20"/>
                <w:szCs w:val="20"/>
                <w:color w:val="auto"/>
              </w:rPr>
            </w:pPr>
          </w:p>
        </w:tc>
        <w:tc>
          <w:tcPr>
            <w:tcW w:w="600" w:type="dxa"/>
            <w:vAlign w:val="bottom"/>
            <w:gridSpan w:val="2"/>
          </w:tcPr>
          <w:p>
            <w:pPr>
              <w:jc w:val="center"/>
              <w:ind w:right="480"/>
              <w:spacing w:after="0"/>
              <w:rPr>
                <w:sz w:val="20"/>
                <w:szCs w:val="20"/>
                <w:color w:val="auto"/>
              </w:rPr>
            </w:pPr>
            <w:r>
              <w:rPr>
                <w:rFonts w:ascii="Arial" w:cs="Arial" w:eastAsia="Arial" w:hAnsi="Arial"/>
                <w:sz w:val="15"/>
                <w:szCs w:val="15"/>
                <w:color w:val="0000EE"/>
                <w:w w:val="71"/>
              </w:rPr>
              <w:t>29</w:t>
            </w:r>
          </w:p>
        </w:tc>
      </w:tr>
      <w:tr>
        <w:trPr>
          <w:trHeight w:val="20"/>
        </w:trPr>
        <w:tc>
          <w:tcPr>
            <w:tcW w:w="11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7160" w:type="dxa"/>
            <w:vAlign w:val="bottom"/>
            <w:gridSpan w:val="11"/>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r>
      <w:tr>
        <w:trPr>
          <w:trHeight w:val="228"/>
        </w:trPr>
        <w:tc>
          <w:tcPr>
            <w:tcW w:w="1120" w:type="dxa"/>
            <w:vAlign w:val="bottom"/>
          </w:tcPr>
          <w:p>
            <w:pPr>
              <w:jc w:val="center"/>
              <w:spacing w:after="0"/>
              <w:rPr>
                <w:sz w:val="20"/>
                <w:szCs w:val="20"/>
                <w:color w:val="auto"/>
              </w:rPr>
            </w:pPr>
            <w:r>
              <w:rPr>
                <w:rFonts w:ascii="Arial" w:cs="Arial" w:eastAsia="Arial" w:hAnsi="Arial"/>
                <w:sz w:val="17"/>
                <w:szCs w:val="17"/>
                <w:color w:val="auto"/>
                <w:w w:val="98"/>
              </w:rPr>
              <w:t>5.</w:t>
            </w:r>
          </w:p>
        </w:tc>
        <w:tc>
          <w:tcPr>
            <w:tcW w:w="120" w:type="dxa"/>
            <w:vAlign w:val="bottom"/>
          </w:tcPr>
          <w:p>
            <w:pPr>
              <w:spacing w:after="0"/>
              <w:rPr>
                <w:sz w:val="19"/>
                <w:szCs w:val="19"/>
                <w:color w:val="auto"/>
              </w:rPr>
            </w:pPr>
          </w:p>
        </w:tc>
        <w:tc>
          <w:tcPr>
            <w:tcW w:w="1700" w:type="dxa"/>
            <w:vAlign w:val="bottom"/>
            <w:gridSpan w:val="5"/>
          </w:tcPr>
          <w:p>
            <w:pPr>
              <w:spacing w:after="0"/>
              <w:rPr>
                <w:sz w:val="20"/>
                <w:szCs w:val="20"/>
                <w:color w:val="auto"/>
              </w:rPr>
            </w:pPr>
            <w:r>
              <w:rPr>
                <w:rFonts w:ascii="Arial" w:cs="Arial" w:eastAsia="Arial" w:hAnsi="Arial"/>
                <w:sz w:val="17"/>
                <w:szCs w:val="17"/>
                <w:color w:val="0000EE"/>
              </w:rPr>
              <w:t>Other Information</w:t>
            </w:r>
          </w:p>
        </w:tc>
        <w:tc>
          <w:tcPr>
            <w:tcW w:w="7160" w:type="dxa"/>
            <w:vAlign w:val="bottom"/>
            <w:gridSpan w:val="11"/>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gridSpan w:val="2"/>
          </w:tcPr>
          <w:p>
            <w:pPr>
              <w:jc w:val="center"/>
              <w:ind w:right="480"/>
              <w:spacing w:after="0"/>
              <w:rPr>
                <w:sz w:val="20"/>
                <w:szCs w:val="20"/>
                <w:color w:val="auto"/>
              </w:rPr>
            </w:pPr>
            <w:r>
              <w:rPr>
                <w:rFonts w:ascii="Arial" w:cs="Arial" w:eastAsia="Arial" w:hAnsi="Arial"/>
                <w:sz w:val="15"/>
                <w:szCs w:val="15"/>
                <w:color w:val="0000EE"/>
                <w:w w:val="71"/>
              </w:rPr>
              <w:t>30</w:t>
            </w:r>
          </w:p>
        </w:tc>
      </w:tr>
      <w:tr>
        <w:trPr>
          <w:trHeight w:val="20"/>
        </w:trPr>
        <w:tc>
          <w:tcPr>
            <w:tcW w:w="11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7600" w:type="dxa"/>
            <w:vAlign w:val="bottom"/>
            <w:gridSpan w:val="13"/>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r>
      <w:tr>
        <w:trPr>
          <w:trHeight w:val="228"/>
        </w:trPr>
        <w:tc>
          <w:tcPr>
            <w:tcW w:w="1120" w:type="dxa"/>
            <w:vAlign w:val="bottom"/>
          </w:tcPr>
          <w:p>
            <w:pPr>
              <w:jc w:val="center"/>
              <w:spacing w:after="0"/>
              <w:rPr>
                <w:sz w:val="20"/>
                <w:szCs w:val="20"/>
                <w:color w:val="auto"/>
              </w:rPr>
            </w:pPr>
            <w:r>
              <w:rPr>
                <w:rFonts w:ascii="Arial" w:cs="Arial" w:eastAsia="Arial" w:hAnsi="Arial"/>
                <w:sz w:val="17"/>
                <w:szCs w:val="17"/>
                <w:color w:val="auto"/>
                <w:w w:val="98"/>
              </w:rPr>
              <w:t>6.</w:t>
            </w:r>
          </w:p>
        </w:tc>
        <w:tc>
          <w:tcPr>
            <w:tcW w:w="120" w:type="dxa"/>
            <w:vAlign w:val="bottom"/>
          </w:tcPr>
          <w:p>
            <w:pPr>
              <w:spacing w:after="0"/>
              <w:rPr>
                <w:sz w:val="19"/>
                <w:szCs w:val="19"/>
                <w:color w:val="auto"/>
              </w:rPr>
            </w:pPr>
          </w:p>
        </w:tc>
        <w:tc>
          <w:tcPr>
            <w:tcW w:w="580" w:type="dxa"/>
            <w:vAlign w:val="bottom"/>
          </w:tcPr>
          <w:p>
            <w:pPr>
              <w:spacing w:after="0"/>
              <w:rPr>
                <w:sz w:val="20"/>
                <w:szCs w:val="20"/>
                <w:color w:val="auto"/>
              </w:rPr>
            </w:pPr>
            <w:r>
              <w:rPr>
                <w:rFonts w:ascii="Arial" w:cs="Arial" w:eastAsia="Arial" w:hAnsi="Arial"/>
                <w:sz w:val="17"/>
                <w:szCs w:val="17"/>
                <w:color w:val="0000EE"/>
                <w:w w:val="94"/>
              </w:rPr>
              <w:t>Exhibits</w:t>
            </w:r>
          </w:p>
        </w:tc>
        <w:tc>
          <w:tcPr>
            <w:tcW w:w="680" w:type="dxa"/>
            <w:vAlign w:val="bottom"/>
            <w:gridSpan w:val="2"/>
          </w:tcPr>
          <w:p>
            <w:pPr>
              <w:spacing w:after="0"/>
              <w:rPr>
                <w:sz w:val="19"/>
                <w:szCs w:val="19"/>
                <w:color w:val="auto"/>
              </w:rPr>
            </w:pPr>
          </w:p>
        </w:tc>
        <w:tc>
          <w:tcPr>
            <w:tcW w:w="7600" w:type="dxa"/>
            <w:vAlign w:val="bottom"/>
            <w:gridSpan w:val="13"/>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gridSpan w:val="2"/>
          </w:tcPr>
          <w:p>
            <w:pPr>
              <w:jc w:val="center"/>
              <w:ind w:right="480"/>
              <w:spacing w:after="0"/>
              <w:rPr>
                <w:sz w:val="20"/>
                <w:szCs w:val="20"/>
                <w:color w:val="auto"/>
              </w:rPr>
            </w:pPr>
            <w:r>
              <w:rPr>
                <w:rFonts w:ascii="Arial" w:cs="Arial" w:eastAsia="Arial" w:hAnsi="Arial"/>
                <w:sz w:val="15"/>
                <w:szCs w:val="15"/>
                <w:color w:val="0000EE"/>
                <w:w w:val="71"/>
              </w:rPr>
              <w:t>30</w:t>
            </w:r>
          </w:p>
        </w:tc>
      </w:tr>
      <w:tr>
        <w:trPr>
          <w:trHeight w:val="908"/>
        </w:trPr>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060" w:type="dxa"/>
            <w:vAlign w:val="bottom"/>
            <w:gridSpan w:val="10"/>
          </w:tcPr>
          <w:p>
            <w:pPr>
              <w:jc w:val="center"/>
              <w:ind w:left="3453"/>
              <w:spacing w:after="0"/>
              <w:rPr>
                <w:sz w:val="20"/>
                <w:szCs w:val="20"/>
                <w:color w:val="auto"/>
              </w:rPr>
            </w:pPr>
            <w:r>
              <w:rPr>
                <w:rFonts w:ascii="Arial" w:cs="Arial" w:eastAsia="Arial" w:hAnsi="Arial"/>
                <w:sz w:val="17"/>
                <w:szCs w:val="17"/>
                <w:color w:val="auto"/>
                <w:w w:val="84"/>
              </w:rPr>
              <w:t>1</w:t>
            </w:r>
          </w:p>
        </w:tc>
        <w:tc>
          <w:tcPr>
            <w:tcW w:w="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r>
      <w:tr>
        <w:trPr>
          <w:trHeight w:val="98"/>
        </w:trPr>
        <w:tc>
          <w:tcPr>
            <w:tcW w:w="1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9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 w:name="page3"/>
    <w:bookmarkEnd w:id="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 FINANCIAL INFORMATION</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Proto Labs,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1367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September 30,</w:t>
            </w:r>
          </w:p>
        </w:tc>
        <w:tc>
          <w:tcPr>
            <w:tcW w:w="220" w:type="dxa"/>
            <w:vAlign w:val="bottom"/>
          </w:tcPr>
          <w:p>
            <w:pPr>
              <w:spacing w:after="0"/>
              <w:rPr>
                <w:sz w:val="14"/>
                <w:szCs w:val="14"/>
                <w:color w:val="auto"/>
              </w:rPr>
            </w:pPr>
          </w:p>
        </w:tc>
        <w:tc>
          <w:tcPr>
            <w:tcW w:w="1260" w:type="dxa"/>
            <w:vAlign w:val="bottom"/>
          </w:tcPr>
          <w:p>
            <w:pPr>
              <w:jc w:val="right"/>
              <w:ind w:right="250"/>
              <w:spacing w:after="0"/>
              <w:rPr>
                <w:sz w:val="20"/>
                <w:szCs w:val="20"/>
                <w:color w:val="auto"/>
              </w:rPr>
            </w:pPr>
            <w:r>
              <w:rPr>
                <w:rFonts w:ascii="Arial" w:cs="Arial" w:eastAsia="Arial" w:hAnsi="Arial"/>
                <w:sz w:val="14"/>
                <w:szCs w:val="14"/>
                <w:b w:val="1"/>
                <w:bCs w:val="1"/>
                <w:color w:val="auto"/>
              </w:rPr>
              <w:t>December 31,</w:t>
            </w:r>
          </w:p>
        </w:tc>
      </w:tr>
      <w:tr>
        <w:trPr>
          <w:trHeight w:val="182"/>
        </w:trPr>
        <w:tc>
          <w:tcPr>
            <w:tcW w:w="8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center"/>
              <w:ind w:right="130"/>
              <w:spacing w:after="0"/>
              <w:rPr>
                <w:sz w:val="20"/>
                <w:szCs w:val="20"/>
                <w:color w:val="auto"/>
              </w:rPr>
            </w:pPr>
            <w:r>
              <w:rPr>
                <w:rFonts w:ascii="Arial" w:cs="Arial" w:eastAsia="Arial" w:hAnsi="Arial"/>
                <w:sz w:val="14"/>
                <w:szCs w:val="14"/>
                <w:b w:val="1"/>
                <w:bCs w:val="1"/>
                <w:color w:val="auto"/>
                <w:w w:val="89"/>
              </w:rPr>
              <w:t>2023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ind w:right="530"/>
              <w:spacing w:after="0"/>
              <w:rPr>
                <w:sz w:val="20"/>
                <w:szCs w:val="20"/>
                <w:color w:val="auto"/>
              </w:rPr>
            </w:pPr>
            <w:r>
              <w:rPr>
                <w:rFonts w:ascii="Arial" w:cs="Arial" w:eastAsia="Arial" w:hAnsi="Arial"/>
                <w:sz w:val="14"/>
                <w:szCs w:val="14"/>
                <w:b w:val="1"/>
                <w:bCs w:val="1"/>
                <w:color w:val="auto"/>
              </w:rPr>
              <w:t>2022</w:t>
            </w:r>
          </w:p>
        </w:tc>
      </w:tr>
      <w:tr>
        <w:trPr>
          <w:trHeight w:val="36"/>
        </w:trPr>
        <w:tc>
          <w:tcPr>
            <w:tcW w:w="82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79"/>
        </w:trPr>
        <w:tc>
          <w:tcPr>
            <w:tcW w:w="8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(Unaudited)</w:t>
            </w: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36"/>
        </w:trPr>
        <w:tc>
          <w:tcPr>
            <w:tcW w:w="8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r>
      <w:tr>
        <w:trPr>
          <w:trHeight w:val="186"/>
        </w:trPr>
        <w:tc>
          <w:tcPr>
            <w:tcW w:w="820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6"/>
        </w:trPr>
        <w:tc>
          <w:tcPr>
            <w:tcW w:w="8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83,496</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56,558</w:t>
            </w:r>
          </w:p>
        </w:tc>
      </w:tr>
      <w:tr>
        <w:trPr>
          <w:trHeight w:val="186"/>
        </w:trPr>
        <w:tc>
          <w:tcPr>
            <w:tcW w:w="8200" w:type="dxa"/>
            <w:vAlign w:val="bottom"/>
          </w:tcPr>
          <w:p>
            <w:pPr>
              <w:ind w:left="180"/>
              <w:spacing w:after="0"/>
              <w:rPr>
                <w:sz w:val="20"/>
                <w:szCs w:val="20"/>
                <w:color w:val="auto"/>
              </w:rPr>
            </w:pPr>
            <w:r>
              <w:rPr>
                <w:rFonts w:ascii="Arial" w:cs="Arial" w:eastAsia="Arial" w:hAnsi="Arial"/>
                <w:sz w:val="14"/>
                <w:szCs w:val="14"/>
                <w:color w:val="auto"/>
              </w:rPr>
              <w:t>Short-term marketable securities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19,204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23,568</w:t>
            </w:r>
          </w:p>
        </w:tc>
      </w:tr>
      <w:tr>
        <w:trPr>
          <w:trHeight w:val="36"/>
        </w:trPr>
        <w:tc>
          <w:tcPr>
            <w:tcW w:w="8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178"/>
        </w:trPr>
        <w:tc>
          <w:tcPr>
            <w:tcW w:w="820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6"/>
              </w:rPr>
              <w:t>Accounts receivable, net of allowance for doubtful accounts of $2,665 and $1,706 as of September 30, 2023, and December 31, 2022,</w:t>
            </w: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195"/>
        </w:trPr>
        <w:tc>
          <w:tcPr>
            <w:tcW w:w="8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respectively</w:t>
            </w: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78,395</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76,225</w:t>
            </w:r>
          </w:p>
        </w:tc>
      </w:tr>
      <w:tr>
        <w:trPr>
          <w:trHeight w:val="186"/>
        </w:trPr>
        <w:tc>
          <w:tcPr>
            <w:tcW w:w="8200" w:type="dxa"/>
            <w:vAlign w:val="bottom"/>
          </w:tcPr>
          <w:p>
            <w:pPr>
              <w:ind w:left="180"/>
              <w:spacing w:after="0"/>
              <w:rPr>
                <w:sz w:val="20"/>
                <w:szCs w:val="20"/>
                <w:color w:val="auto"/>
              </w:rPr>
            </w:pPr>
            <w:r>
              <w:rPr>
                <w:rFonts w:ascii="Arial" w:cs="Arial" w:eastAsia="Arial" w:hAnsi="Arial"/>
                <w:sz w:val="14"/>
                <w:szCs w:val="14"/>
                <w:color w:val="auto"/>
              </w:rPr>
              <w:t>Inventory</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13,803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13,578</w:t>
            </w:r>
          </w:p>
        </w:tc>
      </w:tr>
      <w:tr>
        <w:trPr>
          <w:trHeight w:val="36"/>
        </w:trPr>
        <w:tc>
          <w:tcPr>
            <w:tcW w:w="8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Income taxes receivable</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891</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4,042</w:t>
            </w:r>
          </w:p>
        </w:tc>
      </w:tr>
      <w:tr>
        <w:trPr>
          <w:trHeight w:val="186"/>
        </w:trPr>
        <w:tc>
          <w:tcPr>
            <w:tcW w:w="8200" w:type="dxa"/>
            <w:vAlign w:val="bottom"/>
          </w:tcPr>
          <w:p>
            <w:pPr>
              <w:ind w:left="180"/>
              <w:spacing w:after="0"/>
              <w:rPr>
                <w:sz w:val="20"/>
                <w:szCs w:val="20"/>
                <w:color w:val="auto"/>
              </w:rPr>
            </w:pPr>
            <w:r>
              <w:rPr>
                <w:rFonts w:ascii="Arial" w:cs="Arial" w:eastAsia="Arial" w:hAnsi="Arial"/>
                <w:sz w:val="14"/>
                <w:szCs w:val="14"/>
                <w:color w:val="auto"/>
              </w:rPr>
              <w:t>Prepaid expenses and other current assets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8,722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12,597</w:t>
            </w:r>
          </w:p>
        </w:tc>
      </w:tr>
      <w:tr>
        <w:trPr>
          <w:trHeight w:val="36"/>
        </w:trPr>
        <w:tc>
          <w:tcPr>
            <w:tcW w:w="82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95"/>
        </w:trPr>
        <w:tc>
          <w:tcPr>
            <w:tcW w:w="82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4"/>
                <w:szCs w:val="14"/>
                <w:color w:val="auto"/>
              </w:rPr>
              <w:t>Total current assets</w:t>
            </w: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204,511</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186,568</w:t>
            </w:r>
          </w:p>
        </w:tc>
      </w:tr>
      <w:tr>
        <w:trPr>
          <w:trHeight w:val="186"/>
        </w:trPr>
        <w:tc>
          <w:tcPr>
            <w:tcW w:w="820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243,022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257,785</w:t>
            </w:r>
          </w:p>
        </w:tc>
      </w:tr>
      <w:tr>
        <w:trPr>
          <w:trHeight w:val="36"/>
        </w:trPr>
        <w:tc>
          <w:tcPr>
            <w:tcW w:w="8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273,991</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273,991</w:t>
            </w:r>
          </w:p>
        </w:tc>
      </w:tr>
      <w:tr>
        <w:trPr>
          <w:trHeight w:val="186"/>
        </w:trPr>
        <w:tc>
          <w:tcPr>
            <w:tcW w:w="8200" w:type="dxa"/>
            <w:vAlign w:val="bottom"/>
          </w:tcPr>
          <w:p>
            <w:pPr>
              <w:ind w:left="20"/>
              <w:spacing w:after="0"/>
              <w:rPr>
                <w:sz w:val="20"/>
                <w:szCs w:val="20"/>
                <w:color w:val="auto"/>
              </w:rPr>
            </w:pPr>
            <w:r>
              <w:rPr>
                <w:rFonts w:ascii="Arial" w:cs="Arial" w:eastAsia="Arial" w:hAnsi="Arial"/>
                <w:sz w:val="14"/>
                <w:szCs w:val="14"/>
                <w:color w:val="auto"/>
              </w:rPr>
              <w:t>Other intangible assets, net</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26,668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31,250</w:t>
            </w:r>
          </w:p>
        </w:tc>
      </w:tr>
      <w:tr>
        <w:trPr>
          <w:trHeight w:val="36"/>
        </w:trPr>
        <w:tc>
          <w:tcPr>
            <w:tcW w:w="8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Long-term marketable securities</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12,212</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26,419</w:t>
            </w:r>
          </w:p>
        </w:tc>
      </w:tr>
      <w:tr>
        <w:trPr>
          <w:trHeight w:val="186"/>
        </w:trPr>
        <w:tc>
          <w:tcPr>
            <w:tcW w:w="8200" w:type="dxa"/>
            <w:vAlign w:val="bottom"/>
          </w:tcPr>
          <w:p>
            <w:pPr>
              <w:ind w:left="20"/>
              <w:spacing w:after="0"/>
              <w:rPr>
                <w:sz w:val="20"/>
                <w:szCs w:val="20"/>
                <w:color w:val="auto"/>
              </w:rPr>
            </w:pPr>
            <w:r>
              <w:rPr>
                <w:rFonts w:ascii="Arial" w:cs="Arial" w:eastAsia="Arial" w:hAnsi="Arial"/>
                <w:sz w:val="14"/>
                <w:szCs w:val="14"/>
                <w:color w:val="auto"/>
              </w:rPr>
              <w:t>Operating lease assets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2,737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3,844</w:t>
            </w:r>
          </w:p>
        </w:tc>
      </w:tr>
      <w:tr>
        <w:trPr>
          <w:trHeight w:val="36"/>
        </w:trPr>
        <w:tc>
          <w:tcPr>
            <w:tcW w:w="8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Finance lease assets</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16,763</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17,532</w:t>
            </w:r>
          </w:p>
        </w:tc>
      </w:tr>
      <w:tr>
        <w:trPr>
          <w:trHeight w:val="186"/>
        </w:trPr>
        <w:tc>
          <w:tcPr>
            <w:tcW w:w="8200" w:type="dxa"/>
            <w:vAlign w:val="bottom"/>
          </w:tcPr>
          <w:p>
            <w:pPr>
              <w:ind w:left="20"/>
              <w:spacing w:after="0"/>
              <w:rPr>
                <w:sz w:val="20"/>
                <w:szCs w:val="20"/>
                <w:color w:val="auto"/>
              </w:rPr>
            </w:pPr>
            <w:r>
              <w:rPr>
                <w:rFonts w:ascii="Arial" w:cs="Arial" w:eastAsia="Arial" w:hAnsi="Arial"/>
                <w:sz w:val="14"/>
                <w:szCs w:val="14"/>
                <w:color w:val="auto"/>
              </w:rPr>
              <w:t>Other long-term assets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4,341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4,779</w:t>
            </w:r>
          </w:p>
        </w:tc>
      </w:tr>
      <w:tr>
        <w:trPr>
          <w:trHeight w:val="36"/>
        </w:trPr>
        <w:tc>
          <w:tcPr>
            <w:tcW w:w="82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40"/>
        </w:trPr>
        <w:tc>
          <w:tcPr>
            <w:tcW w:w="82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4"/>
                <w:szCs w:val="14"/>
                <w:color w:val="auto"/>
              </w:rPr>
              <w:t>Total assets</w:t>
            </w:r>
          </w:p>
        </w:tc>
        <w:tc>
          <w:tcPr>
            <w:tcW w:w="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784,245</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802,168</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38"/>
        </w:trPr>
        <w:tc>
          <w:tcPr>
            <w:tcW w:w="8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shareholders' equity</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r>
      <w:tr>
        <w:trPr>
          <w:trHeight w:val="186"/>
        </w:trPr>
        <w:tc>
          <w:tcPr>
            <w:tcW w:w="820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6"/>
        </w:trPr>
        <w:tc>
          <w:tcPr>
            <w:tcW w:w="8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Accounts payable</w:t>
            </w:r>
          </w:p>
        </w:tc>
        <w:tc>
          <w:tcPr>
            <w:tcW w:w="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17,922</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17,356</w:t>
            </w:r>
          </w:p>
        </w:tc>
      </w:tr>
      <w:tr>
        <w:trPr>
          <w:trHeight w:val="186"/>
        </w:trPr>
        <w:tc>
          <w:tcPr>
            <w:tcW w:w="8200" w:type="dxa"/>
            <w:vAlign w:val="bottom"/>
          </w:tcPr>
          <w:p>
            <w:pPr>
              <w:ind w:left="180"/>
              <w:spacing w:after="0"/>
              <w:rPr>
                <w:sz w:val="20"/>
                <w:szCs w:val="20"/>
                <w:color w:val="auto"/>
              </w:rPr>
            </w:pPr>
            <w:r>
              <w:rPr>
                <w:rFonts w:ascii="Arial" w:cs="Arial" w:eastAsia="Arial" w:hAnsi="Arial"/>
                <w:sz w:val="14"/>
                <w:szCs w:val="14"/>
                <w:color w:val="auto"/>
              </w:rPr>
              <w:t>Accrued compensation</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16,337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12,743</w:t>
            </w:r>
          </w:p>
        </w:tc>
      </w:tr>
      <w:tr>
        <w:trPr>
          <w:trHeight w:val="36"/>
        </w:trPr>
        <w:tc>
          <w:tcPr>
            <w:tcW w:w="8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Accrued liabilities and other</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21,027</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22,384</w:t>
            </w:r>
          </w:p>
        </w:tc>
      </w:tr>
      <w:tr>
        <w:trPr>
          <w:trHeight w:val="186"/>
        </w:trPr>
        <w:tc>
          <w:tcPr>
            <w:tcW w:w="8200" w:type="dxa"/>
            <w:vAlign w:val="bottom"/>
          </w:tcPr>
          <w:p>
            <w:pPr>
              <w:ind w:left="180"/>
              <w:spacing w:after="0"/>
              <w:rPr>
                <w:sz w:val="20"/>
                <w:szCs w:val="20"/>
                <w:color w:val="auto"/>
              </w:rPr>
            </w:pPr>
            <w:r>
              <w:rPr>
                <w:rFonts w:ascii="Arial" w:cs="Arial" w:eastAsia="Arial" w:hAnsi="Arial"/>
                <w:sz w:val="14"/>
                <w:szCs w:val="14"/>
                <w:color w:val="auto"/>
              </w:rPr>
              <w:t>Current operating lease liabilities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1,568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1,561</w:t>
            </w:r>
          </w:p>
        </w:tc>
      </w:tr>
      <w:tr>
        <w:trPr>
          <w:trHeight w:val="36"/>
        </w:trPr>
        <w:tc>
          <w:tcPr>
            <w:tcW w:w="8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Current finance lease liabilities</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16,630</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17,537</w:t>
            </w:r>
          </w:p>
        </w:tc>
      </w:tr>
      <w:tr>
        <w:trPr>
          <w:trHeight w:val="186"/>
        </w:trPr>
        <w:tc>
          <w:tcPr>
            <w:tcW w:w="8200" w:type="dxa"/>
            <w:vAlign w:val="bottom"/>
          </w:tcPr>
          <w:p>
            <w:pPr>
              <w:ind w:left="180"/>
              <w:spacing w:after="0"/>
              <w:rPr>
                <w:sz w:val="20"/>
                <w:szCs w:val="20"/>
                <w:color w:val="auto"/>
              </w:rPr>
            </w:pPr>
            <w:r>
              <w:rPr>
                <w:rFonts w:ascii="Arial" w:cs="Arial" w:eastAsia="Arial" w:hAnsi="Arial"/>
                <w:sz w:val="14"/>
                <w:szCs w:val="14"/>
                <w:color w:val="auto"/>
              </w:rPr>
              <w:t>Income taxes payable</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1,144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6"/>
        </w:trPr>
        <w:tc>
          <w:tcPr>
            <w:tcW w:w="82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95"/>
        </w:trPr>
        <w:tc>
          <w:tcPr>
            <w:tcW w:w="82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4"/>
                <w:szCs w:val="14"/>
                <w:color w:val="auto"/>
              </w:rPr>
              <w:t>Total current liabilities</w:t>
            </w: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74,628</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71,581</w:t>
            </w:r>
          </w:p>
        </w:tc>
      </w:tr>
      <w:tr>
        <w:trPr>
          <w:trHeight w:val="186"/>
        </w:trPr>
        <w:tc>
          <w:tcPr>
            <w:tcW w:w="8200" w:type="dxa"/>
            <w:vAlign w:val="bottom"/>
          </w:tcPr>
          <w:p>
            <w:pPr>
              <w:ind w:left="20"/>
              <w:spacing w:after="0"/>
              <w:rPr>
                <w:sz w:val="20"/>
                <w:szCs w:val="20"/>
                <w:color w:val="auto"/>
              </w:rPr>
            </w:pPr>
            <w:r>
              <w:rPr>
                <w:rFonts w:ascii="Arial" w:cs="Arial" w:eastAsia="Arial" w:hAnsi="Arial"/>
                <w:sz w:val="14"/>
                <w:szCs w:val="14"/>
                <w:color w:val="auto"/>
              </w:rPr>
              <w:t>Long-term operating lease liabilities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1,545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2,255</w:t>
            </w:r>
          </w:p>
        </w:tc>
      </w:tr>
      <w:tr>
        <w:trPr>
          <w:trHeight w:val="36"/>
        </w:trPr>
        <w:tc>
          <w:tcPr>
            <w:tcW w:w="8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Long-term finance lease liabilities</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671</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200" w:type="dxa"/>
            <w:vAlign w:val="bottom"/>
          </w:tcPr>
          <w:p>
            <w:pPr>
              <w:ind w:left="20"/>
              <w:spacing w:after="0"/>
              <w:rPr>
                <w:sz w:val="20"/>
                <w:szCs w:val="20"/>
                <w:color w:val="auto"/>
              </w:rPr>
            </w:pPr>
            <w:r>
              <w:rPr>
                <w:rFonts w:ascii="Arial" w:cs="Arial" w:eastAsia="Arial" w:hAnsi="Arial"/>
                <w:sz w:val="14"/>
                <w:szCs w:val="14"/>
                <w:color w:val="auto"/>
              </w:rPr>
              <w:t>Long-term deferred tax liabilities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17,138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26,322</w:t>
            </w:r>
          </w:p>
        </w:tc>
      </w:tr>
      <w:tr>
        <w:trPr>
          <w:trHeight w:val="36"/>
        </w:trPr>
        <w:tc>
          <w:tcPr>
            <w:tcW w:w="8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22"/>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long-term liabilities</w:t>
            </w: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5,341</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4,362</w:t>
            </w:r>
          </w:p>
        </w:tc>
      </w:tr>
      <w:tr>
        <w:trPr>
          <w:trHeight w:val="179"/>
        </w:trPr>
        <w:tc>
          <w:tcPr>
            <w:tcW w:w="8200" w:type="dxa"/>
            <w:vAlign w:val="bottom"/>
          </w:tcPr>
          <w:p>
            <w:pPr>
              <w:ind w:left="580"/>
              <w:spacing w:after="0"/>
              <w:rPr>
                <w:sz w:val="20"/>
                <w:szCs w:val="20"/>
                <w:color w:val="auto"/>
              </w:rPr>
            </w:pPr>
            <w:r>
              <w:rPr>
                <w:rFonts w:ascii="Arial" w:cs="Arial" w:eastAsia="Arial" w:hAnsi="Arial"/>
                <w:sz w:val="14"/>
                <w:szCs w:val="14"/>
                <w:color w:val="auto"/>
              </w:rPr>
              <w:t>Total liabilities</w:t>
            </w:r>
          </w:p>
        </w:tc>
        <w:tc>
          <w:tcPr>
            <w:tcW w:w="2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99,323</w:t>
            </w: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104,520</w:t>
            </w:r>
          </w:p>
        </w:tc>
      </w:tr>
      <w:tr>
        <w:trPr>
          <w:trHeight w:val="36"/>
        </w:trPr>
        <w:tc>
          <w:tcPr>
            <w:tcW w:w="8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91"/>
        </w:trPr>
        <w:tc>
          <w:tcPr>
            <w:tcW w:w="82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r>
      <w:tr>
        <w:trPr>
          <w:trHeight w:val="186"/>
        </w:trPr>
        <w:tc>
          <w:tcPr>
            <w:tcW w:w="8200" w:type="dxa"/>
            <w:vAlign w:val="bottom"/>
          </w:tcPr>
          <w:p>
            <w:pPr>
              <w:ind w:left="20"/>
              <w:spacing w:after="0"/>
              <w:rPr>
                <w:sz w:val="20"/>
                <w:szCs w:val="20"/>
                <w:color w:val="auto"/>
              </w:rPr>
            </w:pPr>
            <w:r>
              <w:rPr>
                <w:rFonts w:ascii="Arial" w:cs="Arial" w:eastAsia="Arial" w:hAnsi="Arial"/>
                <w:sz w:val="14"/>
                <w:szCs w:val="14"/>
                <w:color w:val="auto"/>
              </w:rPr>
              <w:t>Shareholders' equity</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6"/>
        </w:trPr>
        <w:tc>
          <w:tcPr>
            <w:tcW w:w="8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178"/>
        </w:trPr>
        <w:tc>
          <w:tcPr>
            <w:tcW w:w="8200" w:type="dxa"/>
            <w:vAlign w:val="bottom"/>
            <w:shd w:val="clear" w:color="auto" w:fill="CCEEFF"/>
          </w:tcPr>
          <w:p>
            <w:pPr>
              <w:ind w:left="340"/>
              <w:spacing w:after="0"/>
              <w:rPr>
                <w:sz w:val="20"/>
                <w:szCs w:val="20"/>
                <w:color w:val="auto"/>
              </w:rPr>
            </w:pPr>
            <w:r>
              <w:rPr>
                <w:rFonts w:ascii="Arial" w:cs="Arial" w:eastAsia="Arial" w:hAnsi="Arial"/>
                <w:sz w:val="14"/>
                <w:szCs w:val="14"/>
                <w:color w:val="auto"/>
                <w:w w:val="91"/>
              </w:rPr>
              <w:t>Preferred stock, $0.001 par value, authorized 10,000,000 shares; issued and outstanding 0 shares as of each of September 30, 2023, and</w:t>
            </w: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195"/>
        </w:trPr>
        <w:tc>
          <w:tcPr>
            <w:tcW w:w="8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December 31, 2022</w:t>
            </w: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8"/>
        </w:trPr>
        <w:tc>
          <w:tcPr>
            <w:tcW w:w="8200" w:type="dxa"/>
            <w:vAlign w:val="bottom"/>
          </w:tcPr>
          <w:p>
            <w:pPr>
              <w:ind w:left="340"/>
              <w:spacing w:after="0"/>
              <w:rPr>
                <w:sz w:val="20"/>
                <w:szCs w:val="20"/>
                <w:color w:val="auto"/>
              </w:rPr>
            </w:pPr>
            <w:r>
              <w:rPr>
                <w:rFonts w:ascii="Arial" w:cs="Arial" w:eastAsia="Arial" w:hAnsi="Arial"/>
                <w:sz w:val="14"/>
                <w:szCs w:val="14"/>
                <w:color w:val="auto"/>
                <w:w w:val="96"/>
              </w:rPr>
              <w:t>Common stock, $0.001 par value, authorized 150,000,000 shares; issued and outstanding 25,785,903 and 26,888,425 shares as of</w:t>
            </w: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8"/>
        </w:trPr>
        <w:tc>
          <w:tcPr>
            <w:tcW w:w="8200" w:type="dxa"/>
            <w:vAlign w:val="bottom"/>
          </w:tcPr>
          <w:p>
            <w:pPr>
              <w:ind w:left="340"/>
              <w:spacing w:after="0"/>
              <w:rPr>
                <w:sz w:val="20"/>
                <w:szCs w:val="20"/>
                <w:color w:val="auto"/>
              </w:rPr>
            </w:pPr>
            <w:r>
              <w:rPr>
                <w:rFonts w:ascii="Arial" w:cs="Arial" w:eastAsia="Arial" w:hAnsi="Arial"/>
                <w:sz w:val="14"/>
                <w:szCs w:val="14"/>
                <w:color w:val="auto"/>
              </w:rPr>
              <w:t>September 30, 2023, and December 31, 2022, respectively</w:t>
            </w: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36"/>
        </w:trPr>
        <w:tc>
          <w:tcPr>
            <w:tcW w:w="8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Additional paid-in capital</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463,908</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473,740</w:t>
            </w:r>
          </w:p>
        </w:tc>
      </w:tr>
      <w:tr>
        <w:trPr>
          <w:trHeight w:val="186"/>
        </w:trPr>
        <w:tc>
          <w:tcPr>
            <w:tcW w:w="8200" w:type="dxa"/>
            <w:vAlign w:val="bottom"/>
          </w:tcPr>
          <w:p>
            <w:pPr>
              <w:ind w:left="340"/>
              <w:spacing w:after="0"/>
              <w:rPr>
                <w:sz w:val="20"/>
                <w:szCs w:val="20"/>
                <w:color w:val="auto"/>
              </w:rPr>
            </w:pPr>
            <w:r>
              <w:rPr>
                <w:rFonts w:ascii="Arial" w:cs="Arial" w:eastAsia="Arial" w:hAnsi="Arial"/>
                <w:sz w:val="14"/>
                <w:szCs w:val="14"/>
                <w:color w:val="auto"/>
              </w:rPr>
              <w:t>Retained earnings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251,276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258,236</w:t>
            </w:r>
          </w:p>
        </w:tc>
      </w:tr>
      <w:tr>
        <w:trPr>
          <w:trHeight w:val="36"/>
        </w:trPr>
        <w:tc>
          <w:tcPr>
            <w:tcW w:w="8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22"/>
        </w:trPr>
        <w:tc>
          <w:tcPr>
            <w:tcW w:w="8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Accumulated other comprehensive loss</w:t>
            </w: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(30,288)</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(34,355)</w:t>
            </w:r>
          </w:p>
        </w:tc>
      </w:tr>
      <w:tr>
        <w:trPr>
          <w:trHeight w:val="179"/>
        </w:trPr>
        <w:tc>
          <w:tcPr>
            <w:tcW w:w="8200" w:type="dxa"/>
            <w:vAlign w:val="bottom"/>
          </w:tcPr>
          <w:p>
            <w:pPr>
              <w:ind w:left="580"/>
              <w:spacing w:after="0"/>
              <w:rPr>
                <w:sz w:val="20"/>
                <w:szCs w:val="20"/>
                <w:color w:val="auto"/>
              </w:rPr>
            </w:pPr>
            <w:r>
              <w:rPr>
                <w:rFonts w:ascii="Arial" w:cs="Arial" w:eastAsia="Arial" w:hAnsi="Arial"/>
                <w:sz w:val="14"/>
                <w:szCs w:val="14"/>
                <w:color w:val="auto"/>
              </w:rPr>
              <w:t>Total shareholders' equity</w:t>
            </w:r>
          </w:p>
        </w:tc>
        <w:tc>
          <w:tcPr>
            <w:tcW w:w="2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684,922</w:t>
            </w: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697,648</w:t>
            </w:r>
          </w:p>
        </w:tc>
      </w:tr>
      <w:tr>
        <w:trPr>
          <w:trHeight w:val="36"/>
        </w:trPr>
        <w:tc>
          <w:tcPr>
            <w:tcW w:w="82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40"/>
        </w:trPr>
        <w:tc>
          <w:tcPr>
            <w:tcW w:w="82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4"/>
                <w:szCs w:val="14"/>
                <w:color w:val="auto"/>
              </w:rPr>
              <w:t>Total liabilities and shareholders' equity</w:t>
            </w:r>
          </w:p>
        </w:tc>
        <w:tc>
          <w:tcPr>
            <w:tcW w:w="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784,245</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802,168</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38"/>
        </w:trPr>
        <w:tc>
          <w:tcPr>
            <w:tcW w:w="82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bl>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83820</wp:posOffset>
            </wp:positionV>
            <wp:extent cx="716216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195"/>
        </w:trPr>
        <w:tc>
          <w:tcPr>
            <w:tcW w:w="3460" w:type="dxa"/>
            <w:vAlign w:val="bottom"/>
            <w:gridSpan w:val="2"/>
          </w:tcPr>
          <w:p>
            <w:pPr>
              <w:spacing w:after="0"/>
              <w:rPr>
                <w:sz w:val="20"/>
                <w:szCs w:val="20"/>
                <w:color w:val="auto"/>
              </w:rPr>
            </w:pPr>
            <w:r>
              <w:rPr>
                <w:rFonts w:ascii="Arial" w:cs="Arial" w:eastAsia="Arial" w:hAnsi="Arial"/>
                <w:sz w:val="17"/>
                <w:szCs w:val="17"/>
                <w:color w:val="0000FF"/>
              </w:rPr>
              <w:t>Table of Contents</w:t>
            </w: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955"/>
        </w:trPr>
        <w:tc>
          <w:tcPr>
            <w:tcW w:w="1240" w:type="dxa"/>
            <w:vAlign w:val="bottom"/>
            <w:tcBorders>
              <w:top w:val="single" w:sz="8" w:color="0000FF"/>
            </w:tcBorders>
          </w:tcPr>
          <w:p>
            <w:pPr>
              <w:spacing w:after="0"/>
              <w:rPr>
                <w:sz w:val="24"/>
                <w:szCs w:val="24"/>
                <w:color w:val="auto"/>
              </w:rPr>
            </w:pPr>
          </w:p>
        </w:tc>
        <w:tc>
          <w:tcPr>
            <w:tcW w:w="2220" w:type="dxa"/>
            <w:vAlign w:val="bottom"/>
          </w:tcPr>
          <w:p>
            <w:pPr>
              <w:spacing w:after="0"/>
              <w:rPr>
                <w:sz w:val="24"/>
                <w:szCs w:val="24"/>
                <w:color w:val="auto"/>
              </w:rPr>
            </w:pPr>
          </w:p>
        </w:tc>
        <w:tc>
          <w:tcPr>
            <w:tcW w:w="3180" w:type="dxa"/>
            <w:vAlign w:val="bottom"/>
            <w:gridSpan w:val="4"/>
          </w:tcPr>
          <w:p>
            <w:pPr>
              <w:jc w:val="center"/>
              <w:ind w:left="1053"/>
              <w:spacing w:after="0"/>
              <w:rPr>
                <w:sz w:val="20"/>
                <w:szCs w:val="20"/>
                <w:color w:val="auto"/>
              </w:rPr>
            </w:pPr>
            <w:r>
              <w:rPr>
                <w:rFonts w:ascii="Arial" w:cs="Arial" w:eastAsia="Arial" w:hAnsi="Arial"/>
                <w:sz w:val="17"/>
                <w:szCs w:val="17"/>
                <w:b w:val="1"/>
                <w:bCs w:val="1"/>
                <w:color w:val="auto"/>
                <w:w w:val="94"/>
              </w:rPr>
              <w:t>Proto Labs, Inc.</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9"/>
        </w:trPr>
        <w:tc>
          <w:tcPr>
            <w:tcW w:w="12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740" w:type="dxa"/>
            <w:vAlign w:val="bottom"/>
            <w:gridSpan w:val="7"/>
          </w:tcPr>
          <w:p>
            <w:pPr>
              <w:jc w:val="center"/>
              <w:ind w:right="420"/>
              <w:spacing w:after="0"/>
              <w:rPr>
                <w:sz w:val="20"/>
                <w:szCs w:val="20"/>
                <w:color w:val="auto"/>
              </w:rPr>
            </w:pPr>
            <w:r>
              <w:rPr>
                <w:rFonts w:ascii="Arial" w:cs="Arial" w:eastAsia="Arial" w:hAnsi="Arial"/>
                <w:sz w:val="17"/>
                <w:szCs w:val="17"/>
                <w:b w:val="1"/>
                <w:bCs w:val="1"/>
                <w:color w:val="auto"/>
                <w:w w:val="91"/>
              </w:rPr>
              <w:t>Consolidated Statements of Comprehensive Income</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09"/>
        </w:trPr>
        <w:tc>
          <w:tcPr>
            <w:tcW w:w="12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740" w:type="dxa"/>
            <w:vAlign w:val="bottom"/>
            <w:gridSpan w:val="7"/>
          </w:tcPr>
          <w:p>
            <w:pPr>
              <w:jc w:val="center"/>
              <w:ind w:right="420"/>
              <w:spacing w:after="0"/>
              <w:rPr>
                <w:sz w:val="20"/>
                <w:szCs w:val="20"/>
                <w:color w:val="auto"/>
              </w:rPr>
            </w:pPr>
            <w:r>
              <w:rPr>
                <w:rFonts w:ascii="Arial" w:cs="Arial" w:eastAsia="Arial" w:hAnsi="Arial"/>
                <w:sz w:val="17"/>
                <w:szCs w:val="17"/>
                <w:b w:val="1"/>
                <w:bCs w:val="1"/>
                <w:color w:val="auto"/>
                <w:w w:val="90"/>
              </w:rPr>
              <w:t>(In thousands, except share and per share amounts)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7"/>
        </w:trPr>
        <w:tc>
          <w:tcPr>
            <w:tcW w:w="12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center"/>
              <w:ind w:right="560"/>
              <w:spacing w:after="0"/>
              <w:rPr>
                <w:sz w:val="20"/>
                <w:szCs w:val="20"/>
                <w:color w:val="auto"/>
              </w:rPr>
            </w:pPr>
            <w:r>
              <w:rPr>
                <w:rFonts w:ascii="Arial" w:cs="Arial" w:eastAsia="Arial" w:hAnsi="Arial"/>
                <w:sz w:val="17"/>
                <w:szCs w:val="17"/>
                <w:b w:val="1"/>
                <w:bCs w:val="1"/>
                <w:color w:val="auto"/>
                <w:w w:val="95"/>
              </w:rPr>
              <w:t>(Unaudited)</w:t>
            </w: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09"/>
        </w:trPr>
        <w:tc>
          <w:tcPr>
            <w:tcW w:w="124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spacing w:after="0"/>
              <w:rPr>
                <w:sz w:val="18"/>
                <w:szCs w:val="18"/>
                <w:color w:val="auto"/>
              </w:rPr>
            </w:pPr>
          </w:p>
        </w:tc>
      </w:tr>
      <w:tr>
        <w:trPr>
          <w:trHeight w:val="354"/>
        </w:trPr>
        <w:tc>
          <w:tcPr>
            <w:tcW w:w="12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20" w:type="dxa"/>
            <w:vAlign w:val="bottom"/>
            <w:gridSpan w:val="5"/>
          </w:tcPr>
          <w:p>
            <w:pPr>
              <w:ind w:left="620"/>
              <w:spacing w:after="0"/>
              <w:rPr>
                <w:sz w:val="20"/>
                <w:szCs w:val="20"/>
                <w:color w:val="auto"/>
              </w:rPr>
            </w:pPr>
            <w:r>
              <w:rPr>
                <w:rFonts w:ascii="Arial" w:cs="Arial" w:eastAsia="Arial" w:hAnsi="Arial"/>
                <w:sz w:val="17"/>
                <w:szCs w:val="17"/>
                <w:b w:val="1"/>
                <w:bCs w:val="1"/>
                <w:color w:val="auto"/>
              </w:rPr>
              <w:t>Three Months Ended</w:t>
            </w:r>
          </w:p>
        </w:tc>
        <w:tc>
          <w:tcPr>
            <w:tcW w:w="340" w:type="dxa"/>
            <w:vAlign w:val="bottom"/>
          </w:tcPr>
          <w:p>
            <w:pPr>
              <w:spacing w:after="0"/>
              <w:rPr>
                <w:sz w:val="24"/>
                <w:szCs w:val="24"/>
                <w:color w:val="auto"/>
              </w:rPr>
            </w:pPr>
          </w:p>
        </w:tc>
        <w:tc>
          <w:tcPr>
            <w:tcW w:w="2700" w:type="dxa"/>
            <w:vAlign w:val="bottom"/>
            <w:gridSpan w:val="4"/>
          </w:tcPr>
          <w:p>
            <w:pPr>
              <w:jc w:val="right"/>
              <w:ind w:right="693"/>
              <w:spacing w:after="0"/>
              <w:rPr>
                <w:sz w:val="20"/>
                <w:szCs w:val="20"/>
                <w:color w:val="auto"/>
              </w:rPr>
            </w:pPr>
            <w:r>
              <w:rPr>
                <w:rFonts w:ascii="Arial" w:cs="Arial" w:eastAsia="Arial" w:hAnsi="Arial"/>
                <w:sz w:val="17"/>
                <w:szCs w:val="17"/>
                <w:b w:val="1"/>
                <w:bCs w:val="1"/>
                <w:color w:val="auto"/>
              </w:rPr>
              <w:t>Nine Months Ended</w:t>
            </w:r>
          </w:p>
        </w:tc>
      </w:tr>
      <w:tr>
        <w:trPr>
          <w:trHeight w:val="227"/>
        </w:trPr>
        <w:tc>
          <w:tcPr>
            <w:tcW w:w="12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80" w:type="dxa"/>
            <w:vAlign w:val="bottom"/>
            <w:gridSpan w:val="3"/>
          </w:tcPr>
          <w:p>
            <w:pPr>
              <w:jc w:val="right"/>
              <w:spacing w:after="0"/>
              <w:rPr>
                <w:sz w:val="20"/>
                <w:szCs w:val="20"/>
                <w:color w:val="auto"/>
              </w:rPr>
            </w:pPr>
            <w:r>
              <w:rPr>
                <w:rFonts w:ascii="Arial" w:cs="Arial" w:eastAsia="Arial" w:hAnsi="Arial"/>
                <w:sz w:val="17"/>
                <w:szCs w:val="17"/>
                <w:b w:val="1"/>
                <w:bCs w:val="1"/>
                <w:color w:val="auto"/>
              </w:rPr>
              <w:t>September 30,</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60" w:type="dxa"/>
            <w:vAlign w:val="bottom"/>
            <w:gridSpan w:val="3"/>
          </w:tcPr>
          <w:p>
            <w:pPr>
              <w:jc w:val="right"/>
              <w:spacing w:after="0"/>
              <w:rPr>
                <w:sz w:val="20"/>
                <w:szCs w:val="20"/>
                <w:color w:val="auto"/>
              </w:rPr>
            </w:pPr>
            <w:r>
              <w:rPr>
                <w:rFonts w:ascii="Arial" w:cs="Arial" w:eastAsia="Arial" w:hAnsi="Arial"/>
                <w:sz w:val="17"/>
                <w:szCs w:val="17"/>
                <w:b w:val="1"/>
                <w:bCs w:val="1"/>
                <w:color w:val="auto"/>
              </w:rPr>
              <w:t>September 30,</w:t>
            </w:r>
          </w:p>
        </w:tc>
        <w:tc>
          <w:tcPr>
            <w:tcW w:w="940" w:type="dxa"/>
            <w:vAlign w:val="bottom"/>
          </w:tcPr>
          <w:p>
            <w:pPr>
              <w:spacing w:after="0"/>
              <w:rPr>
                <w:sz w:val="19"/>
                <w:szCs w:val="19"/>
                <w:color w:val="auto"/>
              </w:rPr>
            </w:pPr>
          </w:p>
        </w:tc>
      </w:tr>
      <w:tr>
        <w:trPr>
          <w:trHeight w:val="26"/>
        </w:trPr>
        <w:tc>
          <w:tcPr>
            <w:tcW w:w="12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8"/>
        </w:trPr>
        <w:tc>
          <w:tcPr>
            <w:tcW w:w="12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ind w:right="473"/>
              <w:spacing w:after="0"/>
              <w:rPr>
                <w:sz w:val="20"/>
                <w:szCs w:val="20"/>
                <w:color w:val="auto"/>
              </w:rPr>
            </w:pPr>
            <w:r>
              <w:rPr>
                <w:rFonts w:ascii="Arial" w:cs="Arial" w:eastAsia="Arial" w:hAnsi="Arial"/>
                <w:sz w:val="17"/>
                <w:szCs w:val="17"/>
                <w:b w:val="1"/>
                <w:bCs w:val="1"/>
                <w:color w:val="auto"/>
              </w:rPr>
              <w:t>2023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ind w:right="473"/>
              <w:spacing w:after="0"/>
              <w:rPr>
                <w:sz w:val="20"/>
                <w:szCs w:val="20"/>
                <w:color w:val="auto"/>
              </w:rPr>
            </w:pPr>
            <w:r>
              <w:rPr>
                <w:rFonts w:ascii="Arial" w:cs="Arial" w:eastAsia="Arial" w:hAnsi="Arial"/>
                <w:sz w:val="17"/>
                <w:szCs w:val="17"/>
                <w:b w:val="1"/>
                <w:bCs w:val="1"/>
                <w:color w:val="auto"/>
                <w:w w:val="95"/>
              </w:rPr>
              <w:t>2022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3"/>
              <w:spacing w:after="0"/>
              <w:rPr>
                <w:sz w:val="20"/>
                <w:szCs w:val="20"/>
                <w:color w:val="auto"/>
              </w:rPr>
            </w:pPr>
            <w:r>
              <w:rPr>
                <w:rFonts w:ascii="Arial" w:cs="Arial" w:eastAsia="Arial" w:hAnsi="Arial"/>
                <w:sz w:val="17"/>
                <w:szCs w:val="17"/>
                <w:b w:val="1"/>
                <w:bCs w:val="1"/>
                <w:color w:val="auto"/>
              </w:rPr>
              <w:t>2023</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ind w:right="473"/>
              <w:spacing w:after="0"/>
              <w:rPr>
                <w:sz w:val="20"/>
                <w:szCs w:val="20"/>
                <w:color w:val="auto"/>
              </w:rPr>
            </w:pPr>
            <w:r>
              <w:rPr>
                <w:rFonts w:ascii="Arial" w:cs="Arial" w:eastAsia="Arial" w:hAnsi="Arial"/>
                <w:sz w:val="17"/>
                <w:szCs w:val="17"/>
                <w:b w:val="1"/>
                <w:bCs w:val="1"/>
                <w:color w:val="auto"/>
                <w:w w:val="95"/>
              </w:rPr>
              <w:t>2022</w:t>
            </w:r>
          </w:p>
        </w:tc>
      </w:tr>
      <w:tr>
        <w:trPr>
          <w:trHeight w:val="26"/>
        </w:trPr>
        <w:tc>
          <w:tcPr>
            <w:tcW w:w="3460" w:type="dxa"/>
            <w:vAlign w:val="bottom"/>
            <w:gridSpan w:val="2"/>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9"/>
        </w:trPr>
        <w:tc>
          <w:tcPr>
            <w:tcW w:w="12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41"/>
        </w:trPr>
        <w:tc>
          <w:tcPr>
            <w:tcW w:w="3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Statements of Operations:</w:t>
            </w: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35"/>
        </w:trPr>
        <w:tc>
          <w:tcPr>
            <w:tcW w:w="3460" w:type="dxa"/>
            <w:vAlign w:val="bottom"/>
            <w:gridSpan w:val="2"/>
          </w:tcPr>
          <w:p>
            <w:pPr>
              <w:ind w:left="20"/>
              <w:spacing w:after="0"/>
              <w:rPr>
                <w:sz w:val="20"/>
                <w:szCs w:val="20"/>
                <w:color w:val="auto"/>
              </w:rPr>
            </w:pPr>
            <w:r>
              <w:rPr>
                <w:rFonts w:ascii="Arial" w:cs="Arial" w:eastAsia="Arial" w:hAnsi="Arial"/>
                <w:sz w:val="17"/>
                <w:szCs w:val="17"/>
                <w:color w:val="auto"/>
              </w:rPr>
              <w:t>Revenue</w:t>
            </w:r>
          </w:p>
        </w:tc>
        <w:tc>
          <w:tcPr>
            <w:tcW w:w="17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130,705</w:t>
            </w:r>
          </w:p>
        </w:tc>
        <w:tc>
          <w:tcPr>
            <w:tcW w:w="100" w:type="dxa"/>
            <w:vAlign w:val="bottom"/>
          </w:tcPr>
          <w:p>
            <w:pPr>
              <w:spacing w:after="0"/>
              <w:rPr>
                <w:sz w:val="20"/>
                <w:szCs w:val="20"/>
                <w:color w:val="auto"/>
              </w:rPr>
            </w:pPr>
          </w:p>
        </w:tc>
        <w:tc>
          <w:tcPr>
            <w:tcW w:w="520" w:type="dxa"/>
            <w:vAlign w:val="bottom"/>
          </w:tcPr>
          <w:p>
            <w:pPr>
              <w:jc w:val="right"/>
              <w:ind w:right="333"/>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121,721</w:t>
            </w:r>
          </w:p>
        </w:tc>
        <w:tc>
          <w:tcPr>
            <w:tcW w:w="100" w:type="dxa"/>
            <w:vAlign w:val="bottom"/>
          </w:tcPr>
          <w:p>
            <w:pPr>
              <w:spacing w:after="0"/>
              <w:rPr>
                <w:sz w:val="20"/>
                <w:szCs w:val="20"/>
                <w:color w:val="auto"/>
              </w:rPr>
            </w:pP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378,829</w:t>
            </w:r>
          </w:p>
        </w:tc>
        <w:tc>
          <w:tcPr>
            <w:tcW w:w="80" w:type="dxa"/>
            <w:vAlign w:val="bottom"/>
          </w:tcPr>
          <w:p>
            <w:pPr>
              <w:spacing w:after="0"/>
              <w:rPr>
                <w:sz w:val="20"/>
                <w:szCs w:val="20"/>
                <w:color w:val="auto"/>
              </w:rPr>
            </w:pPr>
          </w:p>
        </w:tc>
        <w:tc>
          <w:tcPr>
            <w:tcW w:w="540" w:type="dxa"/>
            <w:vAlign w:val="bottom"/>
          </w:tcPr>
          <w:p>
            <w:pPr>
              <w:jc w:val="right"/>
              <w:ind w:right="333"/>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372,791</w:t>
            </w:r>
          </w:p>
        </w:tc>
      </w:tr>
      <w:tr>
        <w:trPr>
          <w:trHeight w:val="26"/>
        </w:trPr>
        <w:tc>
          <w:tcPr>
            <w:tcW w:w="3460" w:type="dxa"/>
            <w:vAlign w:val="bottom"/>
            <w:gridSpan w:val="2"/>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61"/>
        </w:trPr>
        <w:tc>
          <w:tcPr>
            <w:tcW w:w="3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1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71,423</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68,089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212,648</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205,933</w:t>
            </w:r>
          </w:p>
        </w:tc>
      </w:tr>
      <w:tr>
        <w:trPr>
          <w:trHeight w:val="228"/>
        </w:trPr>
        <w:tc>
          <w:tcPr>
            <w:tcW w:w="3460" w:type="dxa"/>
            <w:vAlign w:val="bottom"/>
            <w:gridSpan w:val="2"/>
          </w:tcPr>
          <w:p>
            <w:pPr>
              <w:ind w:left="20"/>
              <w:spacing w:after="0"/>
              <w:rPr>
                <w:sz w:val="20"/>
                <w:szCs w:val="20"/>
                <w:color w:val="auto"/>
              </w:rPr>
            </w:pPr>
            <w:r>
              <w:rPr>
                <w:rFonts w:ascii="Arial" w:cs="Arial" w:eastAsia="Arial" w:hAnsi="Arial"/>
                <w:sz w:val="17"/>
                <w:szCs w:val="17"/>
                <w:color w:val="auto"/>
              </w:rPr>
              <w:t>Gross profit</w:t>
            </w:r>
          </w:p>
        </w:tc>
        <w:tc>
          <w:tcPr>
            <w:tcW w:w="16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59,282</w:t>
            </w: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53,632</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166,181</w:t>
            </w:r>
          </w:p>
        </w:tc>
        <w:tc>
          <w:tcPr>
            <w:tcW w:w="8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166,858</w:t>
            </w:r>
          </w:p>
        </w:tc>
      </w:tr>
      <w:tr>
        <w:trPr>
          <w:trHeight w:val="26"/>
        </w:trPr>
        <w:tc>
          <w:tcPr>
            <w:tcW w:w="3460" w:type="dxa"/>
            <w:vAlign w:val="bottom"/>
            <w:gridSpan w:val="2"/>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1"/>
        </w:trPr>
        <w:tc>
          <w:tcPr>
            <w:tcW w:w="3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35"/>
        </w:trPr>
        <w:tc>
          <w:tcPr>
            <w:tcW w:w="3460" w:type="dxa"/>
            <w:vAlign w:val="bottom"/>
            <w:gridSpan w:val="2"/>
          </w:tcPr>
          <w:p>
            <w:pPr>
              <w:ind w:left="340"/>
              <w:spacing w:after="0"/>
              <w:rPr>
                <w:sz w:val="20"/>
                <w:szCs w:val="20"/>
                <w:color w:val="auto"/>
              </w:rPr>
            </w:pPr>
            <w:r>
              <w:rPr>
                <w:rFonts w:ascii="Arial" w:cs="Arial" w:eastAsia="Arial" w:hAnsi="Arial"/>
                <w:sz w:val="17"/>
                <w:szCs w:val="17"/>
                <w:color w:val="auto"/>
              </w:rPr>
              <w:t>Marketing and sales</w:t>
            </w: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21,682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20,594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65,863</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62,235</w:t>
            </w:r>
          </w:p>
        </w:tc>
      </w:tr>
      <w:tr>
        <w:trPr>
          <w:trHeight w:val="26"/>
        </w:trPr>
        <w:tc>
          <w:tcPr>
            <w:tcW w:w="3460" w:type="dxa"/>
            <w:vAlign w:val="bottom"/>
            <w:gridSpan w:val="2"/>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1"/>
        </w:trPr>
        <w:tc>
          <w:tcPr>
            <w:tcW w:w="34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7"/>
                <w:szCs w:val="17"/>
                <w:color w:val="auto"/>
              </w:rPr>
              <w:t>Research and development</w:t>
            </w: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10,105</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9,309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30,647</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29,316</w:t>
            </w:r>
          </w:p>
        </w:tc>
      </w:tr>
      <w:tr>
        <w:trPr>
          <w:trHeight w:val="235"/>
        </w:trPr>
        <w:tc>
          <w:tcPr>
            <w:tcW w:w="3460" w:type="dxa"/>
            <w:vAlign w:val="bottom"/>
            <w:gridSpan w:val="2"/>
          </w:tcPr>
          <w:p>
            <w:pPr>
              <w:ind w:left="340"/>
              <w:spacing w:after="0"/>
              <w:rPr>
                <w:sz w:val="20"/>
                <w:szCs w:val="20"/>
                <w:color w:val="auto"/>
              </w:rPr>
            </w:pPr>
            <w:r>
              <w:rPr>
                <w:rFonts w:ascii="Arial" w:cs="Arial" w:eastAsia="Arial" w:hAnsi="Arial"/>
                <w:sz w:val="17"/>
                <w:szCs w:val="17"/>
                <w:color w:val="auto"/>
              </w:rPr>
              <w:t>General and administrative</w:t>
            </w: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17,058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16,477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49,713</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49,770</w:t>
            </w:r>
          </w:p>
        </w:tc>
      </w:tr>
      <w:tr>
        <w:trPr>
          <w:trHeight w:val="26"/>
        </w:trPr>
        <w:tc>
          <w:tcPr>
            <w:tcW w:w="3460" w:type="dxa"/>
            <w:vAlign w:val="bottom"/>
            <w:gridSpan w:val="2"/>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61"/>
        </w:trPr>
        <w:tc>
          <w:tcPr>
            <w:tcW w:w="34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7"/>
                <w:szCs w:val="17"/>
                <w:color w:val="auto"/>
              </w:rPr>
              <w:t>Closure of Japan business</w:t>
            </w:r>
          </w:p>
        </w:tc>
        <w:tc>
          <w:tcPr>
            <w:tcW w:w="1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1,194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186</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6,388</w:t>
            </w:r>
          </w:p>
        </w:tc>
      </w:tr>
      <w:tr>
        <w:trPr>
          <w:trHeight w:val="228"/>
        </w:trPr>
        <w:tc>
          <w:tcPr>
            <w:tcW w:w="3460" w:type="dxa"/>
            <w:vAlign w:val="bottom"/>
            <w:gridSpan w:val="2"/>
          </w:tcPr>
          <w:p>
            <w:pPr>
              <w:ind w:left="640"/>
              <w:spacing w:after="0"/>
              <w:rPr>
                <w:sz w:val="20"/>
                <w:szCs w:val="20"/>
                <w:color w:val="auto"/>
              </w:rPr>
            </w:pPr>
            <w:r>
              <w:rPr>
                <w:rFonts w:ascii="Arial" w:cs="Arial" w:eastAsia="Arial" w:hAnsi="Arial"/>
                <w:sz w:val="17"/>
                <w:szCs w:val="17"/>
                <w:color w:val="auto"/>
              </w:rPr>
              <w:t>Total operating expenses</w:t>
            </w:r>
          </w:p>
        </w:tc>
        <w:tc>
          <w:tcPr>
            <w:tcW w:w="16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48,867</w:t>
            </w: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47,574</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146,409</w:t>
            </w:r>
          </w:p>
        </w:tc>
        <w:tc>
          <w:tcPr>
            <w:tcW w:w="8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147,709</w:t>
            </w:r>
          </w:p>
        </w:tc>
      </w:tr>
      <w:tr>
        <w:trPr>
          <w:trHeight w:val="26"/>
        </w:trPr>
        <w:tc>
          <w:tcPr>
            <w:tcW w:w="3460" w:type="dxa"/>
            <w:vAlign w:val="bottom"/>
            <w:tcBorders>
              <w:bottom w:val="single" w:sz="8" w:color="CCEEFF"/>
            </w:tcBorders>
            <w:gridSpan w:val="2"/>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4"/>
        </w:trPr>
        <w:tc>
          <w:tcPr>
            <w:tcW w:w="3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Income from operations</w:t>
            </w: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10,415</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6,058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19,772</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19,149</w:t>
            </w:r>
          </w:p>
        </w:tc>
      </w:tr>
      <w:tr>
        <w:trPr>
          <w:trHeight w:val="235"/>
        </w:trPr>
        <w:tc>
          <w:tcPr>
            <w:tcW w:w="3460" w:type="dxa"/>
            <w:vAlign w:val="bottom"/>
            <w:gridSpan w:val="2"/>
          </w:tcPr>
          <w:p>
            <w:pPr>
              <w:ind w:left="20"/>
              <w:spacing w:after="0"/>
              <w:rPr>
                <w:sz w:val="20"/>
                <w:szCs w:val="20"/>
                <w:color w:val="auto"/>
              </w:rPr>
            </w:pPr>
            <w:r>
              <w:rPr>
                <w:rFonts w:ascii="Arial" w:cs="Arial" w:eastAsia="Arial" w:hAnsi="Arial"/>
                <w:sz w:val="17"/>
                <w:szCs w:val="17"/>
                <w:color w:val="auto"/>
              </w:rPr>
              <w:t>Other income (loss), net</w:t>
            </w: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320</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(1,758)</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(323)</w:t>
            </w:r>
          </w:p>
        </w:tc>
      </w:tr>
      <w:tr>
        <w:trPr>
          <w:trHeight w:val="26"/>
        </w:trPr>
        <w:tc>
          <w:tcPr>
            <w:tcW w:w="3460" w:type="dxa"/>
            <w:vAlign w:val="bottom"/>
            <w:tcBorders>
              <w:bottom w:val="single" w:sz="8" w:color="CCEEFF"/>
            </w:tcBorders>
            <w:gridSpan w:val="2"/>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4"/>
        </w:trPr>
        <w:tc>
          <w:tcPr>
            <w:tcW w:w="3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Income before income taxes</w:t>
            </w: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10,735</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6,034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18,014</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18,826</w:t>
            </w:r>
          </w:p>
        </w:tc>
      </w:tr>
      <w:tr>
        <w:trPr>
          <w:trHeight w:val="235"/>
        </w:trPr>
        <w:tc>
          <w:tcPr>
            <w:tcW w:w="3460" w:type="dxa"/>
            <w:vAlign w:val="bottom"/>
            <w:gridSpan w:val="2"/>
          </w:tcPr>
          <w:p>
            <w:pPr>
              <w:ind w:left="20"/>
              <w:spacing w:after="0"/>
              <w:rPr>
                <w:sz w:val="20"/>
                <w:szCs w:val="20"/>
                <w:color w:val="auto"/>
              </w:rPr>
            </w:pPr>
            <w:r>
              <w:rPr>
                <w:rFonts w:ascii="Arial" w:cs="Arial" w:eastAsia="Arial" w:hAnsi="Arial"/>
                <w:sz w:val="17"/>
                <w:szCs w:val="17"/>
                <w:color w:val="auto"/>
              </w:rPr>
              <w:t>Provision for income taxes</w:t>
            </w: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2,781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2,083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7,784</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7,223</w:t>
            </w:r>
          </w:p>
        </w:tc>
      </w:tr>
      <w:tr>
        <w:trPr>
          <w:trHeight w:val="26"/>
        </w:trPr>
        <w:tc>
          <w:tcPr>
            <w:tcW w:w="3460" w:type="dxa"/>
            <w:vAlign w:val="bottom"/>
            <w:tcBorders>
              <w:bottom w:val="single" w:sz="8" w:color="CCEEFF"/>
            </w:tcBorders>
            <w:gridSpan w:val="2"/>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79"/>
        </w:trPr>
        <w:tc>
          <w:tcPr>
            <w:tcW w:w="3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17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7,954</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33"/>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3,951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10,230</w:t>
            </w:r>
          </w:p>
        </w:tc>
        <w:tc>
          <w:tcPr>
            <w:tcW w:w="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33"/>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11,603</w:t>
            </w:r>
          </w:p>
        </w:tc>
      </w:tr>
      <w:tr>
        <w:trPr>
          <w:trHeight w:val="20"/>
        </w:trPr>
        <w:tc>
          <w:tcPr>
            <w:tcW w:w="3460" w:type="dxa"/>
            <w:vAlign w:val="bottom"/>
            <w:tcBorders>
              <w:top w:val="single" w:sz="8" w:color="CCEEFF"/>
            </w:tcBorders>
            <w:gridSpan w:val="2"/>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55"/>
        </w:trPr>
        <w:tc>
          <w:tcPr>
            <w:tcW w:w="12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41"/>
        </w:trPr>
        <w:tc>
          <w:tcPr>
            <w:tcW w:w="3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Net income per share:</w:t>
            </w: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35"/>
        </w:trPr>
        <w:tc>
          <w:tcPr>
            <w:tcW w:w="3460" w:type="dxa"/>
            <w:vAlign w:val="bottom"/>
            <w:gridSpan w:val="2"/>
          </w:tcPr>
          <w:p>
            <w:pPr>
              <w:ind w:left="340"/>
              <w:spacing w:after="0"/>
              <w:rPr>
                <w:sz w:val="20"/>
                <w:szCs w:val="20"/>
                <w:color w:val="auto"/>
              </w:rPr>
            </w:pPr>
            <w:r>
              <w:rPr>
                <w:rFonts w:ascii="Arial" w:cs="Arial" w:eastAsia="Arial" w:hAnsi="Arial"/>
                <w:sz w:val="17"/>
                <w:szCs w:val="17"/>
                <w:color w:val="auto"/>
              </w:rPr>
              <w:t>Basic</w:t>
            </w:r>
          </w:p>
        </w:tc>
        <w:tc>
          <w:tcPr>
            <w:tcW w:w="17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0.31</w:t>
            </w:r>
          </w:p>
        </w:tc>
        <w:tc>
          <w:tcPr>
            <w:tcW w:w="100" w:type="dxa"/>
            <w:vAlign w:val="bottom"/>
          </w:tcPr>
          <w:p>
            <w:pPr>
              <w:spacing w:after="0"/>
              <w:rPr>
                <w:sz w:val="20"/>
                <w:szCs w:val="20"/>
                <w:color w:val="auto"/>
              </w:rPr>
            </w:pPr>
          </w:p>
        </w:tc>
        <w:tc>
          <w:tcPr>
            <w:tcW w:w="520" w:type="dxa"/>
            <w:vAlign w:val="bottom"/>
          </w:tcPr>
          <w:p>
            <w:pPr>
              <w:jc w:val="right"/>
              <w:ind w:right="333"/>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0.14</w:t>
            </w:r>
          </w:p>
        </w:tc>
        <w:tc>
          <w:tcPr>
            <w:tcW w:w="100" w:type="dxa"/>
            <w:vAlign w:val="bottom"/>
          </w:tcPr>
          <w:p>
            <w:pPr>
              <w:spacing w:after="0"/>
              <w:rPr>
                <w:sz w:val="20"/>
                <w:szCs w:val="20"/>
                <w:color w:val="auto"/>
              </w:rPr>
            </w:pP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0.39</w:t>
            </w:r>
          </w:p>
        </w:tc>
        <w:tc>
          <w:tcPr>
            <w:tcW w:w="80" w:type="dxa"/>
            <w:vAlign w:val="bottom"/>
          </w:tcPr>
          <w:p>
            <w:pPr>
              <w:spacing w:after="0"/>
              <w:rPr>
                <w:sz w:val="20"/>
                <w:szCs w:val="20"/>
                <w:color w:val="auto"/>
              </w:rPr>
            </w:pPr>
          </w:p>
        </w:tc>
        <w:tc>
          <w:tcPr>
            <w:tcW w:w="540" w:type="dxa"/>
            <w:vAlign w:val="bottom"/>
          </w:tcPr>
          <w:p>
            <w:pPr>
              <w:jc w:val="right"/>
              <w:ind w:right="333"/>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0.42</w:t>
            </w:r>
          </w:p>
        </w:tc>
      </w:tr>
      <w:tr>
        <w:trPr>
          <w:trHeight w:val="26"/>
        </w:trPr>
        <w:tc>
          <w:tcPr>
            <w:tcW w:w="3460" w:type="dxa"/>
            <w:vAlign w:val="bottom"/>
            <w:gridSpan w:val="2"/>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124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79"/>
        </w:trPr>
        <w:tc>
          <w:tcPr>
            <w:tcW w:w="34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7"/>
                <w:szCs w:val="17"/>
                <w:color w:val="auto"/>
              </w:rPr>
              <w:t>Diluted</w:t>
            </w:r>
          </w:p>
        </w:tc>
        <w:tc>
          <w:tcPr>
            <w:tcW w:w="17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0.31</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33"/>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0.39</w:t>
            </w:r>
          </w:p>
        </w:tc>
        <w:tc>
          <w:tcPr>
            <w:tcW w:w="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33"/>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0.42</w:t>
            </w:r>
          </w:p>
        </w:tc>
      </w:tr>
      <w:tr>
        <w:trPr>
          <w:trHeight w:val="20"/>
        </w:trPr>
        <w:tc>
          <w:tcPr>
            <w:tcW w:w="3460" w:type="dxa"/>
            <w:vAlign w:val="bottom"/>
            <w:tcBorders>
              <w:top w:val="single" w:sz="8" w:color="CCEEFF"/>
            </w:tcBorders>
            <w:gridSpan w:val="2"/>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55"/>
        </w:trPr>
        <w:tc>
          <w:tcPr>
            <w:tcW w:w="12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41"/>
        </w:trPr>
        <w:tc>
          <w:tcPr>
            <w:tcW w:w="3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w w:val="96"/>
              </w:rPr>
              <w:t>Shares used to compute net income per share:</w:t>
            </w: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35"/>
        </w:trPr>
        <w:tc>
          <w:tcPr>
            <w:tcW w:w="3460" w:type="dxa"/>
            <w:vAlign w:val="bottom"/>
            <w:gridSpan w:val="2"/>
          </w:tcPr>
          <w:p>
            <w:pPr>
              <w:ind w:left="340"/>
              <w:spacing w:after="0"/>
              <w:rPr>
                <w:sz w:val="20"/>
                <w:szCs w:val="20"/>
                <w:color w:val="auto"/>
              </w:rPr>
            </w:pPr>
            <w:r>
              <w:rPr>
                <w:rFonts w:ascii="Arial" w:cs="Arial" w:eastAsia="Arial" w:hAnsi="Arial"/>
                <w:sz w:val="17"/>
                <w:szCs w:val="17"/>
                <w:color w:val="auto"/>
              </w:rPr>
              <w:t>Basic</w:t>
            </w: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26,023,830</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27,505,097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26,296,304</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27,512,057</w:t>
            </w:r>
          </w:p>
        </w:tc>
      </w:tr>
      <w:tr>
        <w:trPr>
          <w:trHeight w:val="26"/>
        </w:trPr>
        <w:tc>
          <w:tcPr>
            <w:tcW w:w="3460" w:type="dxa"/>
            <w:vAlign w:val="bottom"/>
            <w:gridSpan w:val="2"/>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1"/>
        </w:trPr>
        <w:tc>
          <w:tcPr>
            <w:tcW w:w="34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7"/>
                <w:szCs w:val="17"/>
                <w:color w:val="auto"/>
              </w:rPr>
              <w:t>Diluted</w:t>
            </w: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26,028,456</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27,508,217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26,327,606</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27,522,734</w:t>
            </w:r>
          </w:p>
        </w:tc>
      </w:tr>
      <w:tr>
        <w:trPr>
          <w:trHeight w:val="209"/>
        </w:trPr>
        <w:tc>
          <w:tcPr>
            <w:tcW w:w="3460" w:type="dxa"/>
            <w:vAlign w:val="bottom"/>
            <w:gridSpan w:val="2"/>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41"/>
        </w:trPr>
        <w:tc>
          <w:tcPr>
            <w:tcW w:w="3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Comprehensive Income (Loss) (net of tax)</w:t>
            </w: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35"/>
        </w:trPr>
        <w:tc>
          <w:tcPr>
            <w:tcW w:w="3460" w:type="dxa"/>
            <w:vAlign w:val="bottom"/>
            <w:gridSpan w:val="2"/>
          </w:tcPr>
          <w:p>
            <w:pPr>
              <w:ind w:left="340"/>
              <w:spacing w:after="0"/>
              <w:rPr>
                <w:sz w:val="20"/>
                <w:szCs w:val="20"/>
                <w:color w:val="auto"/>
              </w:rPr>
            </w:pPr>
            <w:r>
              <w:rPr>
                <w:rFonts w:ascii="Arial" w:cs="Arial" w:eastAsia="Arial" w:hAnsi="Arial"/>
                <w:sz w:val="17"/>
                <w:szCs w:val="17"/>
                <w:color w:val="auto"/>
              </w:rPr>
              <w:t>Comprehensive income (loss)</w:t>
            </w:r>
          </w:p>
        </w:tc>
        <w:tc>
          <w:tcPr>
            <w:tcW w:w="17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6,887</w:t>
            </w:r>
          </w:p>
        </w:tc>
        <w:tc>
          <w:tcPr>
            <w:tcW w:w="100" w:type="dxa"/>
            <w:vAlign w:val="bottom"/>
          </w:tcPr>
          <w:p>
            <w:pPr>
              <w:spacing w:after="0"/>
              <w:rPr>
                <w:sz w:val="20"/>
                <w:szCs w:val="20"/>
                <w:color w:val="auto"/>
              </w:rPr>
            </w:pPr>
          </w:p>
        </w:tc>
        <w:tc>
          <w:tcPr>
            <w:tcW w:w="520" w:type="dxa"/>
            <w:vAlign w:val="bottom"/>
          </w:tcPr>
          <w:p>
            <w:pPr>
              <w:jc w:val="right"/>
              <w:ind w:right="333"/>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(6,924)</w:t>
            </w:r>
          </w:p>
        </w:tc>
        <w:tc>
          <w:tcPr>
            <w:tcW w:w="100" w:type="dxa"/>
            <w:vAlign w:val="bottom"/>
          </w:tcPr>
          <w:p>
            <w:pPr>
              <w:spacing w:after="0"/>
              <w:rPr>
                <w:sz w:val="20"/>
                <w:szCs w:val="20"/>
                <w:color w:val="auto"/>
              </w:rPr>
            </w:pP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14,297</w:t>
            </w:r>
          </w:p>
        </w:tc>
        <w:tc>
          <w:tcPr>
            <w:tcW w:w="80" w:type="dxa"/>
            <w:vAlign w:val="bottom"/>
          </w:tcPr>
          <w:p>
            <w:pPr>
              <w:spacing w:after="0"/>
              <w:rPr>
                <w:sz w:val="20"/>
                <w:szCs w:val="20"/>
                <w:color w:val="auto"/>
              </w:rPr>
            </w:pPr>
          </w:p>
        </w:tc>
        <w:tc>
          <w:tcPr>
            <w:tcW w:w="540" w:type="dxa"/>
            <w:vAlign w:val="bottom"/>
          </w:tcPr>
          <w:p>
            <w:pPr>
              <w:jc w:val="right"/>
              <w:ind w:right="333"/>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(18,604)</w:t>
            </w:r>
          </w:p>
        </w:tc>
      </w:tr>
      <w:tr>
        <w:trPr>
          <w:trHeight w:val="26"/>
        </w:trPr>
        <w:tc>
          <w:tcPr>
            <w:tcW w:w="12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1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23"/>
        </w:trPr>
        <w:tc>
          <w:tcPr>
            <w:tcW w:w="124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r>
    </w:tbl>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Proto Labs,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Shareholders' Equity</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367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2080" w:type="dxa"/>
            <w:vAlign w:val="bottom"/>
            <w:gridSpan w:val="3"/>
            <w:vMerge w:val="restart"/>
          </w:tcPr>
          <w:p>
            <w:pPr>
              <w:jc w:val="right"/>
              <w:ind w:right="390"/>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Additional</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Accumulated Other</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3860" w:type="dxa"/>
            <w:vAlign w:val="bottom"/>
          </w:tcPr>
          <w:p>
            <w:pPr>
              <w:spacing w:after="0"/>
              <w:rPr>
                <w:sz w:val="10"/>
                <w:szCs w:val="10"/>
                <w:color w:val="auto"/>
              </w:rPr>
            </w:pPr>
          </w:p>
        </w:tc>
        <w:tc>
          <w:tcPr>
            <w:tcW w:w="208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vMerge w:val="restart"/>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Paid-In</w:t>
            </w:r>
          </w:p>
        </w:tc>
        <w:tc>
          <w:tcPr>
            <w:tcW w:w="180" w:type="dxa"/>
            <w:vAlign w:val="bottom"/>
          </w:tcPr>
          <w:p>
            <w:pPr>
              <w:spacing w:after="0"/>
              <w:rPr>
                <w:sz w:val="10"/>
                <w:szCs w:val="10"/>
                <w:color w:val="auto"/>
              </w:rPr>
            </w:pPr>
          </w:p>
        </w:tc>
        <w:tc>
          <w:tcPr>
            <w:tcW w:w="1020" w:type="dxa"/>
            <w:vAlign w:val="bottom"/>
            <w:gridSpan w:val="2"/>
            <w:vMerge w:val="restart"/>
          </w:tcPr>
          <w:p>
            <w:pPr>
              <w:ind w:left="100"/>
              <w:spacing w:after="0" w:line="153" w:lineRule="exact"/>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10"/>
                <w:szCs w:val="10"/>
                <w:color w:val="auto"/>
              </w:rPr>
            </w:pPr>
          </w:p>
        </w:tc>
        <w:tc>
          <w:tcPr>
            <w:tcW w:w="1280" w:type="dxa"/>
            <w:vAlign w:val="bottom"/>
            <w:gridSpan w:val="2"/>
            <w:vMerge w:val="restart"/>
          </w:tcPr>
          <w:p>
            <w:pPr>
              <w:jc w:val="center"/>
              <w:ind w:right="240"/>
              <w:spacing w:after="0" w:line="153" w:lineRule="exact"/>
              <w:rPr>
                <w:sz w:val="20"/>
                <w:szCs w:val="20"/>
                <w:color w:val="auto"/>
              </w:rPr>
            </w:pPr>
            <w:r>
              <w:rPr>
                <w:rFonts w:ascii="Arial" w:cs="Arial" w:eastAsia="Arial" w:hAnsi="Arial"/>
                <w:sz w:val="14"/>
                <w:szCs w:val="14"/>
                <w:b w:val="1"/>
                <w:bCs w:val="1"/>
                <w:color w:val="auto"/>
                <w:w w:val="87"/>
              </w:rPr>
              <w:t>Comprehensive</w:t>
            </w: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3860" w:type="dxa"/>
            <w:vAlign w:val="bottom"/>
          </w:tcPr>
          <w:p>
            <w:pPr>
              <w:spacing w:after="0"/>
              <w:rPr>
                <w:sz w:val="15"/>
                <w:szCs w:val="15"/>
                <w:color w:val="auto"/>
              </w:rPr>
            </w:pPr>
          </w:p>
        </w:tc>
        <w:tc>
          <w:tcPr>
            <w:tcW w:w="1220" w:type="dxa"/>
            <w:vAlign w:val="bottom"/>
            <w:gridSpan w:val="2"/>
          </w:tcPr>
          <w:p>
            <w:pPr>
              <w:ind w:left="360"/>
              <w:spacing w:after="0"/>
              <w:rPr>
                <w:sz w:val="20"/>
                <w:szCs w:val="20"/>
                <w:color w:val="auto"/>
              </w:rPr>
            </w:pPr>
            <w:r>
              <w:rPr>
                <w:rFonts w:ascii="Arial" w:cs="Arial" w:eastAsia="Arial" w:hAnsi="Arial"/>
                <w:sz w:val="14"/>
                <w:szCs w:val="14"/>
                <w:b w:val="1"/>
                <w:bCs w:val="1"/>
                <w:color w:val="auto"/>
              </w:rPr>
              <w:t>Shares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Capital</w:t>
            </w:r>
          </w:p>
        </w:tc>
        <w:tc>
          <w:tcPr>
            <w:tcW w:w="180" w:type="dxa"/>
            <w:vAlign w:val="bottom"/>
          </w:tcPr>
          <w:p>
            <w:pPr>
              <w:spacing w:after="0"/>
              <w:rPr>
                <w:sz w:val="15"/>
                <w:szCs w:val="15"/>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5"/>
                <w:szCs w:val="15"/>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240" w:type="dxa"/>
            <w:vAlign w:val="bottom"/>
          </w:tcPr>
          <w:p>
            <w:pPr>
              <w:spacing w:after="0"/>
              <w:rPr>
                <w:sz w:val="15"/>
                <w:szCs w:val="15"/>
                <w:color w:val="auto"/>
              </w:rPr>
            </w:pPr>
          </w:p>
        </w:tc>
        <w:tc>
          <w:tcPr>
            <w:tcW w:w="880" w:type="dxa"/>
            <w:vAlign w:val="bottom"/>
          </w:tcPr>
          <w:p>
            <w:pPr>
              <w:jc w:val="right"/>
              <w:ind w:right="33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1"/>
        </w:trPr>
        <w:tc>
          <w:tcPr>
            <w:tcW w:w="38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2022</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26,888,425</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473,740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258,236</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(34,355)</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697,648</w:t>
            </w:r>
          </w:p>
        </w:tc>
        <w:tc>
          <w:tcPr>
            <w:tcW w:w="0" w:type="dxa"/>
            <w:vAlign w:val="bottom"/>
          </w:tcPr>
          <w:p>
            <w:pPr>
              <w:spacing w:after="0"/>
              <w:rPr>
                <w:sz w:val="1"/>
                <w:szCs w:val="1"/>
                <w:color w:val="auto"/>
              </w:rPr>
            </w:pPr>
          </w:p>
        </w:tc>
      </w:tr>
      <w:tr>
        <w:trPr>
          <w:trHeight w:val="164"/>
        </w:trPr>
        <w:tc>
          <w:tcPr>
            <w:tcW w:w="3860" w:type="dxa"/>
            <w:vAlign w:val="bottom"/>
          </w:tcPr>
          <w:p>
            <w:pPr>
              <w:ind w:left="180"/>
              <w:spacing w:after="0"/>
              <w:rPr>
                <w:sz w:val="20"/>
                <w:szCs w:val="20"/>
                <w:color w:val="auto"/>
              </w:rPr>
            </w:pPr>
            <w:r>
              <w:rPr>
                <w:rFonts w:ascii="Arial" w:cs="Arial" w:eastAsia="Arial" w:hAnsi="Arial"/>
                <w:sz w:val="14"/>
                <w:szCs w:val="14"/>
                <w:color w:val="auto"/>
                <w:w w:val="93"/>
              </w:rPr>
              <w:t>Common shares issued on exercise of options and other, net of</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860" w:type="dxa"/>
            <w:vAlign w:val="bottom"/>
          </w:tcPr>
          <w:p>
            <w:pPr>
              <w:ind w:left="180"/>
              <w:spacing w:after="0"/>
              <w:rPr>
                <w:sz w:val="20"/>
                <w:szCs w:val="20"/>
                <w:color w:val="auto"/>
              </w:rPr>
            </w:pPr>
            <w:r>
              <w:rPr>
                <w:rFonts w:ascii="Arial" w:cs="Arial" w:eastAsia="Arial" w:hAnsi="Arial"/>
                <w:sz w:val="14"/>
                <w:szCs w:val="14"/>
                <w:color w:val="auto"/>
              </w:rPr>
              <w:t>shares withheld for tax obligations</w:t>
            </w:r>
          </w:p>
        </w:tc>
        <w:tc>
          <w:tcPr>
            <w:tcW w:w="1120" w:type="dxa"/>
            <w:vAlign w:val="bottom"/>
          </w:tcPr>
          <w:p>
            <w:pPr>
              <w:jc w:val="right"/>
              <w:spacing w:after="0"/>
              <w:rPr>
                <w:sz w:val="20"/>
                <w:szCs w:val="20"/>
                <w:color w:val="auto"/>
              </w:rPr>
            </w:pPr>
            <w:r>
              <w:rPr>
                <w:rFonts w:ascii="Arial" w:cs="Arial" w:eastAsia="Arial" w:hAnsi="Arial"/>
                <w:sz w:val="14"/>
                <w:szCs w:val="14"/>
                <w:color w:val="auto"/>
              </w:rPr>
              <w:t>26,798</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(401)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(401)</w:t>
            </w: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Stock-based compensation expense</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3,695</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3,695</w:t>
            </w:r>
          </w:p>
        </w:tc>
        <w:tc>
          <w:tcPr>
            <w:tcW w:w="0" w:type="dxa"/>
            <w:vAlign w:val="bottom"/>
          </w:tcPr>
          <w:p>
            <w:pPr>
              <w:spacing w:after="0"/>
              <w:rPr>
                <w:sz w:val="1"/>
                <w:szCs w:val="1"/>
                <w:color w:val="auto"/>
              </w:rPr>
            </w:pPr>
          </w:p>
        </w:tc>
      </w:tr>
      <w:tr>
        <w:trPr>
          <w:trHeight w:val="186"/>
        </w:trPr>
        <w:tc>
          <w:tcPr>
            <w:tcW w:w="3860" w:type="dxa"/>
            <w:vAlign w:val="bottom"/>
          </w:tcPr>
          <w:p>
            <w:pPr>
              <w:ind w:left="180"/>
              <w:spacing w:after="0"/>
              <w:rPr>
                <w:sz w:val="20"/>
                <w:szCs w:val="20"/>
                <w:color w:val="auto"/>
              </w:rPr>
            </w:pPr>
            <w:r>
              <w:rPr>
                <w:rFonts w:ascii="Arial" w:cs="Arial" w:eastAsia="Arial" w:hAnsi="Arial"/>
                <w:sz w:val="14"/>
                <w:szCs w:val="14"/>
                <w:color w:val="auto"/>
              </w:rPr>
              <w:t>Repurchases of common stock and other</w:t>
            </w:r>
          </w:p>
        </w:tc>
        <w:tc>
          <w:tcPr>
            <w:tcW w:w="1120" w:type="dxa"/>
            <w:vAlign w:val="bottom"/>
          </w:tcPr>
          <w:p>
            <w:pPr>
              <w:jc w:val="right"/>
              <w:spacing w:after="0"/>
              <w:rPr>
                <w:sz w:val="20"/>
                <w:szCs w:val="20"/>
                <w:color w:val="auto"/>
              </w:rPr>
            </w:pPr>
            <w:r>
              <w:rPr>
                <w:rFonts w:ascii="Arial" w:cs="Arial" w:eastAsia="Arial" w:hAnsi="Arial"/>
                <w:sz w:val="14"/>
                <w:szCs w:val="14"/>
                <w:color w:val="auto"/>
              </w:rPr>
              <w:t>(712,500)</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(11,849)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(9,475)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(21,325)</w:t>
            </w: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Net income</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2,659</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2,659</w:t>
            </w:r>
          </w:p>
        </w:tc>
        <w:tc>
          <w:tcPr>
            <w:tcW w:w="0" w:type="dxa"/>
            <w:vAlign w:val="bottom"/>
          </w:tcPr>
          <w:p>
            <w:pPr>
              <w:spacing w:after="0"/>
              <w:rPr>
                <w:sz w:val="1"/>
                <w:szCs w:val="1"/>
                <w:color w:val="auto"/>
              </w:rPr>
            </w:pPr>
          </w:p>
        </w:tc>
      </w:tr>
      <w:tr>
        <w:trPr>
          <w:trHeight w:val="186"/>
        </w:trPr>
        <w:tc>
          <w:tcPr>
            <w:tcW w:w="3860" w:type="dxa"/>
            <w:vAlign w:val="bottom"/>
          </w:tcPr>
          <w:p>
            <w:pPr>
              <w:ind w:left="180"/>
              <w:spacing w:after="0"/>
              <w:rPr>
                <w:sz w:val="20"/>
                <w:szCs w:val="20"/>
                <w:color w:val="auto"/>
              </w:rPr>
            </w:pPr>
            <w:r>
              <w:rPr>
                <w:rFonts w:ascii="Arial" w:cs="Arial" w:eastAsia="Arial" w:hAnsi="Arial"/>
                <w:sz w:val="14"/>
                <w:szCs w:val="14"/>
                <w:i w:val="1"/>
                <w:iCs w:val="1"/>
                <w:color w:val="auto"/>
              </w:rPr>
              <w:t>Other comprehensive income</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3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Foreign currency translation adjustment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527</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527</w:t>
            </w:r>
          </w:p>
        </w:tc>
        <w:tc>
          <w:tcPr>
            <w:tcW w:w="0" w:type="dxa"/>
            <w:vAlign w:val="bottom"/>
          </w:tcPr>
          <w:p>
            <w:pPr>
              <w:spacing w:after="0"/>
              <w:rPr>
                <w:sz w:val="1"/>
                <w:szCs w:val="1"/>
                <w:color w:val="auto"/>
              </w:rPr>
            </w:pPr>
          </w:p>
        </w:tc>
      </w:tr>
      <w:tr>
        <w:trPr>
          <w:trHeight w:val="186"/>
        </w:trPr>
        <w:tc>
          <w:tcPr>
            <w:tcW w:w="3860" w:type="dxa"/>
            <w:vAlign w:val="bottom"/>
          </w:tcPr>
          <w:p>
            <w:pPr>
              <w:ind w:left="340"/>
              <w:spacing w:after="0"/>
              <w:rPr>
                <w:sz w:val="20"/>
                <w:szCs w:val="20"/>
                <w:color w:val="auto"/>
              </w:rPr>
            </w:pPr>
            <w:r>
              <w:rPr>
                <w:rFonts w:ascii="Arial" w:cs="Arial" w:eastAsia="Arial" w:hAnsi="Arial"/>
                <w:sz w:val="14"/>
                <w:szCs w:val="14"/>
                <w:color w:val="auto"/>
                <w:w w:val="98"/>
              </w:rPr>
              <w:t>Net unrealized gains (losses) on investments in securities</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334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334</w:t>
            </w:r>
          </w:p>
        </w:tc>
        <w:tc>
          <w:tcPr>
            <w:tcW w:w="0" w:type="dxa"/>
            <w:vAlign w:val="bottom"/>
          </w:tcPr>
          <w:p>
            <w:pPr>
              <w:spacing w:after="0"/>
              <w:rPr>
                <w:sz w:val="1"/>
                <w:szCs w:val="1"/>
                <w:color w:val="auto"/>
              </w:rPr>
            </w:pPr>
          </w:p>
        </w:tc>
      </w:tr>
      <w:tr>
        <w:trPr>
          <w:trHeight w:val="36"/>
        </w:trPr>
        <w:tc>
          <w:tcPr>
            <w:tcW w:w="3860" w:type="dxa"/>
            <w:vAlign w:val="bottom"/>
            <w:tcBorders>
              <w:bottom w:val="single" w:sz="8" w:color="CCEEFF"/>
            </w:tcBorders>
          </w:tcPr>
          <w:p>
            <w:pPr>
              <w:spacing w:after="0"/>
              <w:rPr>
                <w:sz w:val="3"/>
                <w:szCs w:val="3"/>
                <w:color w:val="auto"/>
              </w:rPr>
            </w:pPr>
          </w:p>
        </w:tc>
        <w:tc>
          <w:tcPr>
            <w:tcW w:w="11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6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9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1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Comprehensive income</w:t>
            </w: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3,520</w:t>
            </w:r>
          </w:p>
        </w:tc>
        <w:tc>
          <w:tcPr>
            <w:tcW w:w="0" w:type="dxa"/>
            <w:vAlign w:val="bottom"/>
          </w:tcPr>
          <w:p>
            <w:pPr>
              <w:spacing w:after="0"/>
              <w:rPr>
                <w:sz w:val="1"/>
                <w:szCs w:val="1"/>
                <w:color w:val="auto"/>
              </w:rPr>
            </w:pPr>
          </w:p>
        </w:tc>
      </w:tr>
      <w:tr>
        <w:trPr>
          <w:trHeight w:val="210"/>
        </w:trPr>
        <w:tc>
          <w:tcPr>
            <w:tcW w:w="3860" w:type="dxa"/>
            <w:vAlign w:val="bottom"/>
          </w:tcPr>
          <w:p>
            <w:pPr>
              <w:ind w:left="20"/>
              <w:spacing w:after="0"/>
              <w:rPr>
                <w:sz w:val="20"/>
                <w:szCs w:val="20"/>
                <w:color w:val="auto"/>
              </w:rPr>
            </w:pPr>
            <w:r>
              <w:rPr>
                <w:rFonts w:ascii="Arial" w:cs="Arial" w:eastAsia="Arial" w:hAnsi="Arial"/>
                <w:sz w:val="14"/>
                <w:szCs w:val="14"/>
                <w:b w:val="1"/>
                <w:bCs w:val="1"/>
                <w:color w:val="auto"/>
              </w:rPr>
              <w:t>Balance at March 31, 2023</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26,202,723</w:t>
            </w:r>
          </w:p>
        </w:tc>
        <w:tc>
          <w:tcPr>
            <w:tcW w:w="10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465,185</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251,420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(33,494)</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683,137</w:t>
            </w:r>
          </w:p>
        </w:tc>
        <w:tc>
          <w:tcPr>
            <w:tcW w:w="0" w:type="dxa"/>
            <w:vAlign w:val="bottom"/>
          </w:tcPr>
          <w:p>
            <w:pPr>
              <w:spacing w:after="0"/>
              <w:rPr>
                <w:sz w:val="1"/>
                <w:szCs w:val="1"/>
                <w:color w:val="auto"/>
              </w:rPr>
            </w:pPr>
          </w:p>
        </w:tc>
      </w:tr>
      <w:tr>
        <w:trPr>
          <w:trHeight w:val="20"/>
        </w:trPr>
        <w:tc>
          <w:tcPr>
            <w:tcW w:w="38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860" w:type="dxa"/>
            <w:vAlign w:val="bottom"/>
            <w:shd w:val="clear" w:color="auto" w:fill="CCEEFF"/>
          </w:tcPr>
          <w:p>
            <w:pPr>
              <w:ind w:left="180"/>
              <w:spacing w:after="0" w:line="136" w:lineRule="exact"/>
              <w:rPr>
                <w:sz w:val="20"/>
                <w:szCs w:val="20"/>
                <w:color w:val="auto"/>
              </w:rPr>
            </w:pPr>
            <w:r>
              <w:rPr>
                <w:rFonts w:ascii="Arial" w:cs="Arial" w:eastAsia="Arial" w:hAnsi="Arial"/>
                <w:sz w:val="14"/>
                <w:szCs w:val="14"/>
                <w:color w:val="auto"/>
                <w:w w:val="93"/>
              </w:rPr>
              <w:t>Common shares issued on exercise of options and other, net of</w:t>
            </w: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shares withheld for tax obligations</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169,229</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962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962</w:t>
            </w:r>
          </w:p>
        </w:tc>
        <w:tc>
          <w:tcPr>
            <w:tcW w:w="0" w:type="dxa"/>
            <w:vAlign w:val="bottom"/>
          </w:tcPr>
          <w:p>
            <w:pPr>
              <w:spacing w:after="0"/>
              <w:rPr>
                <w:sz w:val="1"/>
                <w:szCs w:val="1"/>
                <w:color w:val="auto"/>
              </w:rPr>
            </w:pPr>
          </w:p>
        </w:tc>
      </w:tr>
      <w:tr>
        <w:trPr>
          <w:trHeight w:val="186"/>
        </w:trPr>
        <w:tc>
          <w:tcPr>
            <w:tcW w:w="3860" w:type="dxa"/>
            <w:vAlign w:val="bottom"/>
          </w:tcPr>
          <w:p>
            <w:pPr>
              <w:ind w:left="180"/>
              <w:spacing w:after="0"/>
              <w:rPr>
                <w:sz w:val="20"/>
                <w:szCs w:val="20"/>
                <w:color w:val="auto"/>
              </w:rPr>
            </w:pPr>
            <w:r>
              <w:rPr>
                <w:rFonts w:ascii="Arial" w:cs="Arial" w:eastAsia="Arial" w:hAnsi="Arial"/>
                <w:sz w:val="14"/>
                <w:szCs w:val="14"/>
                <w:color w:val="auto"/>
              </w:rPr>
              <w:t>Stock-based compensation expense</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3,675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3,675</w:t>
            </w: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Repurchases of common stock and other</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(276,518)</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(4,872)</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(4,107)</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(8,979)</w:t>
            </w:r>
          </w:p>
        </w:tc>
        <w:tc>
          <w:tcPr>
            <w:tcW w:w="0" w:type="dxa"/>
            <w:vAlign w:val="bottom"/>
          </w:tcPr>
          <w:p>
            <w:pPr>
              <w:spacing w:after="0"/>
              <w:rPr>
                <w:sz w:val="1"/>
                <w:szCs w:val="1"/>
                <w:color w:val="auto"/>
              </w:rPr>
            </w:pPr>
          </w:p>
        </w:tc>
      </w:tr>
      <w:tr>
        <w:trPr>
          <w:trHeight w:val="186"/>
        </w:trPr>
        <w:tc>
          <w:tcPr>
            <w:tcW w:w="3860" w:type="dxa"/>
            <w:vAlign w:val="bottom"/>
          </w:tcPr>
          <w:p>
            <w:pPr>
              <w:ind w:left="180"/>
              <w:spacing w:after="0"/>
              <w:rPr>
                <w:sz w:val="20"/>
                <w:szCs w:val="20"/>
                <w:color w:val="auto"/>
              </w:rPr>
            </w:pPr>
            <w:r>
              <w:rPr>
                <w:rFonts w:ascii="Arial" w:cs="Arial" w:eastAsia="Arial" w:hAnsi="Arial"/>
                <w:sz w:val="14"/>
                <w:szCs w:val="14"/>
                <w:color w:val="auto"/>
              </w:rPr>
              <w:t>Net loss</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(383)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(383)</w:t>
            </w: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i w:val="1"/>
                <w:iCs w:val="1"/>
                <w:color w:val="auto"/>
              </w:rPr>
              <w:t>Other comprehensive income</w:t>
            </w: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860" w:type="dxa"/>
            <w:vAlign w:val="bottom"/>
          </w:tcPr>
          <w:p>
            <w:pPr>
              <w:ind w:left="340"/>
              <w:spacing w:after="0"/>
              <w:rPr>
                <w:sz w:val="20"/>
                <w:szCs w:val="20"/>
                <w:color w:val="auto"/>
              </w:rPr>
            </w:pPr>
            <w:r>
              <w:rPr>
                <w:rFonts w:ascii="Arial" w:cs="Arial" w:eastAsia="Arial" w:hAnsi="Arial"/>
                <w:sz w:val="14"/>
                <w:szCs w:val="14"/>
                <w:color w:val="auto"/>
              </w:rPr>
              <w:t>Foreign currency translation adjustment</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4,254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4,254</w:t>
            </w: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2"/>
        </w:trPr>
        <w:tc>
          <w:tcPr>
            <w:tcW w:w="3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w w:val="98"/>
              </w:rPr>
              <w:t>Net unrealized gains (losses) on investments in securities</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79"/>
        </w:trPr>
        <w:tc>
          <w:tcPr>
            <w:tcW w:w="3860" w:type="dxa"/>
            <w:vAlign w:val="bottom"/>
          </w:tcPr>
          <w:p>
            <w:pPr>
              <w:ind w:left="180"/>
              <w:spacing w:after="0"/>
              <w:rPr>
                <w:sz w:val="20"/>
                <w:szCs w:val="20"/>
                <w:color w:val="auto"/>
              </w:rPr>
            </w:pPr>
            <w:r>
              <w:rPr>
                <w:rFonts w:ascii="Arial" w:cs="Arial" w:eastAsia="Arial" w:hAnsi="Arial"/>
                <w:sz w:val="14"/>
                <w:szCs w:val="14"/>
                <w:color w:val="auto"/>
              </w:rPr>
              <w:t>Comprehensive income</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3,890</w:t>
            </w:r>
          </w:p>
        </w:tc>
        <w:tc>
          <w:tcPr>
            <w:tcW w:w="0" w:type="dxa"/>
            <w:vAlign w:val="bottom"/>
          </w:tcPr>
          <w:p>
            <w:pPr>
              <w:spacing w:after="0"/>
              <w:rPr>
                <w:sz w:val="1"/>
                <w:szCs w:val="1"/>
                <w:color w:val="auto"/>
              </w:rPr>
            </w:pPr>
          </w:p>
        </w:tc>
      </w:tr>
      <w:tr>
        <w:trPr>
          <w:trHeight w:val="36"/>
        </w:trPr>
        <w:tc>
          <w:tcPr>
            <w:tcW w:w="386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2023</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26,095,434</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4"/>
                <w:szCs w:val="14"/>
                <w:color w:val="auto"/>
                <w:w w:val="76"/>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464,950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246,930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(29,221)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682,685</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bottom w:val="single" w:sz="8" w:color="CCEEFF"/>
            </w:tcBorders>
            <w:vMerge w:val="restart"/>
          </w:tcPr>
          <w:p>
            <w:pPr>
              <w:ind w:left="180"/>
              <w:spacing w:after="0" w:line="156" w:lineRule="exact"/>
              <w:rPr>
                <w:sz w:val="20"/>
                <w:szCs w:val="20"/>
                <w:color w:val="auto"/>
              </w:rPr>
            </w:pPr>
            <w:r>
              <w:rPr>
                <w:rFonts w:ascii="Arial" w:cs="Arial" w:eastAsia="Arial" w:hAnsi="Arial"/>
                <w:sz w:val="14"/>
                <w:szCs w:val="14"/>
                <w:color w:val="auto"/>
                <w:w w:val="93"/>
              </w:rPr>
              <w:t>Common shares issued on exercise of options and other, net of</w:t>
            </w: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8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3860" w:type="dxa"/>
            <w:vAlign w:val="bottom"/>
          </w:tcPr>
          <w:p>
            <w:pPr>
              <w:ind w:left="180"/>
              <w:spacing w:after="0"/>
              <w:rPr>
                <w:sz w:val="20"/>
                <w:szCs w:val="20"/>
                <w:color w:val="auto"/>
              </w:rPr>
            </w:pPr>
            <w:r>
              <w:rPr>
                <w:rFonts w:ascii="Arial" w:cs="Arial" w:eastAsia="Arial" w:hAnsi="Arial"/>
                <w:sz w:val="14"/>
                <w:szCs w:val="14"/>
                <w:color w:val="auto"/>
              </w:rPr>
              <w:t>shares withheld for tax obligations</w:t>
            </w:r>
          </w:p>
        </w:tc>
        <w:tc>
          <w:tcPr>
            <w:tcW w:w="1120" w:type="dxa"/>
            <w:vAlign w:val="bottom"/>
          </w:tcPr>
          <w:p>
            <w:pPr>
              <w:jc w:val="right"/>
              <w:spacing w:after="0"/>
              <w:rPr>
                <w:sz w:val="20"/>
                <w:szCs w:val="20"/>
                <w:color w:val="auto"/>
              </w:rPr>
            </w:pPr>
            <w:r>
              <w:rPr>
                <w:rFonts w:ascii="Arial" w:cs="Arial" w:eastAsia="Arial" w:hAnsi="Arial"/>
                <w:sz w:val="14"/>
                <w:szCs w:val="14"/>
                <w:color w:val="auto"/>
              </w:rPr>
              <w:t>1,037</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Stock-based compensation expense</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4,441</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4,441</w:t>
            </w:r>
          </w:p>
        </w:tc>
        <w:tc>
          <w:tcPr>
            <w:tcW w:w="0" w:type="dxa"/>
            <w:vAlign w:val="bottom"/>
          </w:tcPr>
          <w:p>
            <w:pPr>
              <w:spacing w:after="0"/>
              <w:rPr>
                <w:sz w:val="1"/>
                <w:szCs w:val="1"/>
                <w:color w:val="auto"/>
              </w:rPr>
            </w:pPr>
          </w:p>
        </w:tc>
      </w:tr>
      <w:tr>
        <w:trPr>
          <w:trHeight w:val="186"/>
        </w:trPr>
        <w:tc>
          <w:tcPr>
            <w:tcW w:w="3860" w:type="dxa"/>
            <w:vAlign w:val="bottom"/>
          </w:tcPr>
          <w:p>
            <w:pPr>
              <w:ind w:left="180"/>
              <w:spacing w:after="0"/>
              <w:rPr>
                <w:sz w:val="20"/>
                <w:szCs w:val="20"/>
                <w:color w:val="auto"/>
              </w:rPr>
            </w:pPr>
            <w:r>
              <w:rPr>
                <w:rFonts w:ascii="Arial" w:cs="Arial" w:eastAsia="Arial" w:hAnsi="Arial"/>
                <w:sz w:val="14"/>
                <w:szCs w:val="14"/>
                <w:color w:val="auto"/>
              </w:rPr>
              <w:t>Repurchases of common stock and other</w:t>
            </w:r>
          </w:p>
        </w:tc>
        <w:tc>
          <w:tcPr>
            <w:tcW w:w="1120" w:type="dxa"/>
            <w:vAlign w:val="bottom"/>
          </w:tcPr>
          <w:p>
            <w:pPr>
              <w:jc w:val="right"/>
              <w:spacing w:after="0"/>
              <w:rPr>
                <w:sz w:val="20"/>
                <w:szCs w:val="20"/>
                <w:color w:val="auto"/>
              </w:rPr>
            </w:pPr>
            <w:r>
              <w:rPr>
                <w:rFonts w:ascii="Arial" w:cs="Arial" w:eastAsia="Arial" w:hAnsi="Arial"/>
                <w:sz w:val="14"/>
                <w:szCs w:val="14"/>
                <w:color w:val="auto"/>
              </w:rPr>
              <w:t>(310,568)</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(5,472)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(3,608)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(9,080)</w:t>
            </w: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Net income</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7,954</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7,954</w:t>
            </w:r>
          </w:p>
        </w:tc>
        <w:tc>
          <w:tcPr>
            <w:tcW w:w="0" w:type="dxa"/>
            <w:vAlign w:val="bottom"/>
          </w:tcPr>
          <w:p>
            <w:pPr>
              <w:spacing w:after="0"/>
              <w:rPr>
                <w:sz w:val="1"/>
                <w:szCs w:val="1"/>
                <w:color w:val="auto"/>
              </w:rPr>
            </w:pPr>
          </w:p>
        </w:tc>
      </w:tr>
      <w:tr>
        <w:trPr>
          <w:trHeight w:val="186"/>
        </w:trPr>
        <w:tc>
          <w:tcPr>
            <w:tcW w:w="3860" w:type="dxa"/>
            <w:vAlign w:val="bottom"/>
          </w:tcPr>
          <w:p>
            <w:pPr>
              <w:ind w:left="180"/>
              <w:spacing w:after="0"/>
              <w:rPr>
                <w:sz w:val="20"/>
                <w:szCs w:val="20"/>
                <w:color w:val="auto"/>
              </w:rPr>
            </w:pPr>
            <w:r>
              <w:rPr>
                <w:rFonts w:ascii="Arial" w:cs="Arial" w:eastAsia="Arial" w:hAnsi="Arial"/>
                <w:sz w:val="14"/>
                <w:szCs w:val="14"/>
                <w:i w:val="1"/>
                <w:iCs w:val="1"/>
                <w:color w:val="auto"/>
              </w:rPr>
              <w:t>Other comprehensive income</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3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Foreign currency translation adjustment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(1,307)</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(1,307)</w:t>
            </w:r>
          </w:p>
        </w:tc>
        <w:tc>
          <w:tcPr>
            <w:tcW w:w="0" w:type="dxa"/>
            <w:vAlign w:val="bottom"/>
          </w:tcPr>
          <w:p>
            <w:pPr>
              <w:spacing w:after="0"/>
              <w:rPr>
                <w:sz w:val="1"/>
                <w:szCs w:val="1"/>
                <w:color w:val="auto"/>
              </w:rPr>
            </w:pPr>
          </w:p>
        </w:tc>
      </w:tr>
      <w:tr>
        <w:trPr>
          <w:trHeight w:val="186"/>
        </w:trPr>
        <w:tc>
          <w:tcPr>
            <w:tcW w:w="3860" w:type="dxa"/>
            <w:vAlign w:val="bottom"/>
          </w:tcPr>
          <w:p>
            <w:pPr>
              <w:ind w:left="340"/>
              <w:spacing w:after="0"/>
              <w:rPr>
                <w:sz w:val="20"/>
                <w:szCs w:val="20"/>
                <w:color w:val="auto"/>
              </w:rPr>
            </w:pPr>
            <w:r>
              <w:rPr>
                <w:rFonts w:ascii="Arial" w:cs="Arial" w:eastAsia="Arial" w:hAnsi="Arial"/>
                <w:sz w:val="14"/>
                <w:szCs w:val="14"/>
                <w:color w:val="auto"/>
                <w:w w:val="98"/>
              </w:rPr>
              <w:t>Net unrealized gains (losses) on investments in securities</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240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36"/>
        </w:trPr>
        <w:tc>
          <w:tcPr>
            <w:tcW w:w="3860" w:type="dxa"/>
            <w:vAlign w:val="bottom"/>
            <w:tcBorders>
              <w:bottom w:val="single" w:sz="8" w:color="CCEEFF"/>
            </w:tcBorders>
          </w:tcPr>
          <w:p>
            <w:pPr>
              <w:spacing w:after="0"/>
              <w:rPr>
                <w:sz w:val="3"/>
                <w:szCs w:val="3"/>
                <w:color w:val="auto"/>
              </w:rPr>
            </w:pPr>
          </w:p>
        </w:tc>
        <w:tc>
          <w:tcPr>
            <w:tcW w:w="11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6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9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1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Comprehensive income</w:t>
            </w: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6,887</w:t>
            </w:r>
          </w:p>
        </w:tc>
        <w:tc>
          <w:tcPr>
            <w:tcW w:w="0" w:type="dxa"/>
            <w:vAlign w:val="bottom"/>
          </w:tcPr>
          <w:p>
            <w:pPr>
              <w:spacing w:after="0"/>
              <w:rPr>
                <w:sz w:val="1"/>
                <w:szCs w:val="1"/>
                <w:color w:val="auto"/>
              </w:rPr>
            </w:pPr>
          </w:p>
        </w:tc>
      </w:tr>
      <w:tr>
        <w:trPr>
          <w:trHeight w:val="210"/>
        </w:trPr>
        <w:tc>
          <w:tcPr>
            <w:tcW w:w="3860" w:type="dxa"/>
            <w:vAlign w:val="bottom"/>
          </w:tcPr>
          <w:p>
            <w:pPr>
              <w:ind w:left="20"/>
              <w:spacing w:after="0"/>
              <w:rPr>
                <w:sz w:val="20"/>
                <w:szCs w:val="20"/>
                <w:color w:val="auto"/>
              </w:rPr>
            </w:pPr>
            <w:r>
              <w:rPr>
                <w:rFonts w:ascii="Arial" w:cs="Arial" w:eastAsia="Arial" w:hAnsi="Arial"/>
                <w:sz w:val="14"/>
                <w:szCs w:val="14"/>
                <w:b w:val="1"/>
                <w:bCs w:val="1"/>
                <w:color w:val="auto"/>
              </w:rPr>
              <w:t>Balance at September 30, 2023</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25,785,903</w:t>
            </w:r>
          </w:p>
        </w:tc>
        <w:tc>
          <w:tcPr>
            <w:tcW w:w="10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463,908</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251,276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(30,288)</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684,922</w:t>
            </w:r>
          </w:p>
        </w:tc>
        <w:tc>
          <w:tcPr>
            <w:tcW w:w="0" w:type="dxa"/>
            <w:vAlign w:val="bottom"/>
          </w:tcPr>
          <w:p>
            <w:pPr>
              <w:spacing w:after="0"/>
              <w:rPr>
                <w:sz w:val="1"/>
                <w:szCs w:val="1"/>
                <w:color w:val="auto"/>
              </w:rPr>
            </w:pPr>
          </w:p>
        </w:tc>
      </w:tr>
      <w:tr>
        <w:trPr>
          <w:trHeight w:val="24"/>
        </w:trPr>
        <w:tc>
          <w:tcPr>
            <w:tcW w:w="38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7"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tcPr>
          <w:p>
            <w:pPr>
              <w:spacing w:after="0"/>
              <w:rPr>
                <w:sz w:val="14"/>
                <w:szCs w:val="14"/>
                <w:color w:val="auto"/>
              </w:rPr>
            </w:pPr>
          </w:p>
        </w:tc>
        <w:tc>
          <w:tcPr>
            <w:tcW w:w="2080" w:type="dxa"/>
            <w:vAlign w:val="bottom"/>
            <w:gridSpan w:val="3"/>
            <w:vMerge w:val="restart"/>
          </w:tcPr>
          <w:p>
            <w:pPr>
              <w:jc w:val="right"/>
              <w:ind w:right="390"/>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Additional</w:t>
            </w:r>
          </w:p>
        </w:tc>
        <w:tc>
          <w:tcPr>
            <w:tcW w:w="180" w:type="dxa"/>
            <w:vAlign w:val="bottom"/>
          </w:tcPr>
          <w:p>
            <w:pPr>
              <w:spacing w:after="0"/>
              <w:rPr>
                <w:sz w:val="14"/>
                <w:szCs w:val="14"/>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Retained</w:t>
            </w:r>
          </w:p>
        </w:tc>
        <w:tc>
          <w:tcPr>
            <w:tcW w:w="14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Accumulated Other</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3860" w:type="dxa"/>
            <w:vAlign w:val="bottom"/>
          </w:tcPr>
          <w:p>
            <w:pPr>
              <w:spacing w:after="0"/>
              <w:rPr>
                <w:sz w:val="9"/>
                <w:szCs w:val="9"/>
                <w:color w:val="auto"/>
              </w:rPr>
            </w:pPr>
          </w:p>
        </w:tc>
        <w:tc>
          <w:tcPr>
            <w:tcW w:w="208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gridSpan w:val="2"/>
            <w:vMerge w:val="restart"/>
          </w:tcPr>
          <w:p>
            <w:pPr>
              <w:jc w:val="center"/>
              <w:ind w:right="260"/>
              <w:spacing w:after="0" w:line="120" w:lineRule="exact"/>
              <w:rPr>
                <w:sz w:val="20"/>
                <w:szCs w:val="20"/>
                <w:color w:val="auto"/>
              </w:rPr>
            </w:pPr>
            <w:r>
              <w:rPr>
                <w:rFonts w:ascii="Arial" w:cs="Arial" w:eastAsia="Arial" w:hAnsi="Arial"/>
                <w:sz w:val="13"/>
                <w:szCs w:val="13"/>
                <w:b w:val="1"/>
                <w:bCs w:val="1"/>
                <w:color w:val="auto"/>
              </w:rPr>
              <w:t>Paid-In</w:t>
            </w:r>
          </w:p>
        </w:tc>
        <w:tc>
          <w:tcPr>
            <w:tcW w:w="18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gridSpan w:val="2"/>
            <w:vMerge w:val="restart"/>
          </w:tcPr>
          <w:p>
            <w:pPr>
              <w:jc w:val="center"/>
              <w:ind w:right="240"/>
              <w:spacing w:after="0" w:line="120" w:lineRule="exact"/>
              <w:rPr>
                <w:sz w:val="20"/>
                <w:szCs w:val="20"/>
                <w:color w:val="auto"/>
              </w:rPr>
            </w:pPr>
            <w:r>
              <w:rPr>
                <w:rFonts w:ascii="Arial" w:cs="Arial" w:eastAsia="Arial" w:hAnsi="Arial"/>
                <w:sz w:val="13"/>
                <w:szCs w:val="13"/>
                <w:b w:val="1"/>
                <w:bCs w:val="1"/>
                <w:color w:val="auto"/>
                <w:w w:val="94"/>
              </w:rPr>
              <w:t>Comprehensive</w:t>
            </w: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3860" w:type="dxa"/>
            <w:vAlign w:val="bottom"/>
          </w:tcPr>
          <w:p>
            <w:pPr>
              <w:spacing w:after="0"/>
              <w:rPr>
                <w:sz w:val="16"/>
                <w:szCs w:val="16"/>
                <w:color w:val="auto"/>
              </w:rPr>
            </w:pPr>
          </w:p>
        </w:tc>
        <w:tc>
          <w:tcPr>
            <w:tcW w:w="1220" w:type="dxa"/>
            <w:vAlign w:val="bottom"/>
            <w:gridSpan w:val="2"/>
          </w:tcPr>
          <w:p>
            <w:pPr>
              <w:ind w:left="360"/>
              <w:spacing w:after="0"/>
              <w:rPr>
                <w:sz w:val="20"/>
                <w:szCs w:val="20"/>
                <w:color w:val="auto"/>
              </w:rPr>
            </w:pPr>
            <w:r>
              <w:rPr>
                <w:rFonts w:ascii="Arial" w:cs="Arial" w:eastAsia="Arial" w:hAnsi="Arial"/>
                <w:sz w:val="14"/>
                <w:szCs w:val="14"/>
                <w:b w:val="1"/>
                <w:bCs w:val="1"/>
                <w:color w:val="auto"/>
              </w:rPr>
              <w:t>Shares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Capital</w:t>
            </w:r>
          </w:p>
        </w:tc>
        <w:tc>
          <w:tcPr>
            <w:tcW w:w="180" w:type="dxa"/>
            <w:vAlign w:val="bottom"/>
          </w:tcPr>
          <w:p>
            <w:pPr>
              <w:spacing w:after="0"/>
              <w:rPr>
                <w:sz w:val="16"/>
                <w:szCs w:val="16"/>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240" w:type="dxa"/>
            <w:vAlign w:val="bottom"/>
          </w:tcPr>
          <w:p>
            <w:pPr>
              <w:spacing w:after="0"/>
              <w:rPr>
                <w:sz w:val="16"/>
                <w:szCs w:val="16"/>
                <w:color w:val="auto"/>
              </w:rPr>
            </w:pPr>
          </w:p>
        </w:tc>
        <w:tc>
          <w:tcPr>
            <w:tcW w:w="880" w:type="dxa"/>
            <w:vAlign w:val="bottom"/>
          </w:tcPr>
          <w:p>
            <w:pPr>
              <w:jc w:val="right"/>
              <w:ind w:right="33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
        </w:trPr>
        <w:tc>
          <w:tcPr>
            <w:tcW w:w="38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1"/>
        </w:trPr>
        <w:tc>
          <w:tcPr>
            <w:tcW w:w="38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2021</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27,465,945</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468,548</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376,734</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(16,817)</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828,493</w:t>
            </w:r>
          </w:p>
        </w:tc>
        <w:tc>
          <w:tcPr>
            <w:tcW w:w="0" w:type="dxa"/>
            <w:vAlign w:val="bottom"/>
          </w:tcPr>
          <w:p>
            <w:pPr>
              <w:spacing w:after="0"/>
              <w:rPr>
                <w:sz w:val="1"/>
                <w:szCs w:val="1"/>
                <w:color w:val="auto"/>
              </w:rPr>
            </w:pPr>
          </w:p>
        </w:tc>
      </w:tr>
      <w:tr>
        <w:trPr>
          <w:trHeight w:val="178"/>
        </w:trPr>
        <w:tc>
          <w:tcPr>
            <w:tcW w:w="3860" w:type="dxa"/>
            <w:vAlign w:val="bottom"/>
          </w:tcPr>
          <w:p>
            <w:pPr>
              <w:ind w:left="180"/>
              <w:spacing w:after="0"/>
              <w:rPr>
                <w:sz w:val="20"/>
                <w:szCs w:val="20"/>
                <w:color w:val="auto"/>
              </w:rPr>
            </w:pPr>
            <w:r>
              <w:rPr>
                <w:rFonts w:ascii="Arial" w:cs="Arial" w:eastAsia="Arial" w:hAnsi="Arial"/>
                <w:sz w:val="14"/>
                <w:szCs w:val="14"/>
                <w:color w:val="auto"/>
                <w:w w:val="93"/>
              </w:rPr>
              <w:t>Common shares issued on exercise of options and other, net of</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860" w:type="dxa"/>
            <w:vAlign w:val="bottom"/>
          </w:tcPr>
          <w:p>
            <w:pPr>
              <w:ind w:left="180"/>
              <w:spacing w:after="0"/>
              <w:rPr>
                <w:sz w:val="20"/>
                <w:szCs w:val="20"/>
                <w:color w:val="auto"/>
              </w:rPr>
            </w:pPr>
            <w:r>
              <w:rPr>
                <w:rFonts w:ascii="Arial" w:cs="Arial" w:eastAsia="Arial" w:hAnsi="Arial"/>
                <w:sz w:val="14"/>
                <w:szCs w:val="14"/>
                <w:color w:val="auto"/>
              </w:rPr>
              <w:t>shares withheld for tax obligations</w:t>
            </w:r>
          </w:p>
        </w:tc>
        <w:tc>
          <w:tcPr>
            <w:tcW w:w="1120" w:type="dxa"/>
            <w:vAlign w:val="bottom"/>
          </w:tcPr>
          <w:p>
            <w:pPr>
              <w:jc w:val="right"/>
              <w:spacing w:after="0"/>
              <w:rPr>
                <w:sz w:val="20"/>
                <w:szCs w:val="20"/>
                <w:color w:val="auto"/>
              </w:rPr>
            </w:pPr>
            <w:r>
              <w:rPr>
                <w:rFonts w:ascii="Arial" w:cs="Arial" w:eastAsia="Arial" w:hAnsi="Arial"/>
                <w:sz w:val="14"/>
                <w:szCs w:val="14"/>
                <w:color w:val="auto"/>
              </w:rPr>
              <w:t>27,716</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(462)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(462)</w:t>
            </w: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Stock-based compensation expense</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4,397</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4,397</w:t>
            </w:r>
          </w:p>
        </w:tc>
        <w:tc>
          <w:tcPr>
            <w:tcW w:w="0" w:type="dxa"/>
            <w:vAlign w:val="bottom"/>
          </w:tcPr>
          <w:p>
            <w:pPr>
              <w:spacing w:after="0"/>
              <w:rPr>
                <w:sz w:val="1"/>
                <w:szCs w:val="1"/>
                <w:color w:val="auto"/>
              </w:rPr>
            </w:pPr>
          </w:p>
        </w:tc>
      </w:tr>
      <w:tr>
        <w:trPr>
          <w:trHeight w:val="186"/>
        </w:trPr>
        <w:tc>
          <w:tcPr>
            <w:tcW w:w="3860" w:type="dxa"/>
            <w:vAlign w:val="bottom"/>
          </w:tcPr>
          <w:p>
            <w:pPr>
              <w:ind w:left="180"/>
              <w:spacing w:after="0"/>
              <w:rPr>
                <w:sz w:val="20"/>
                <w:szCs w:val="20"/>
                <w:color w:val="auto"/>
              </w:rPr>
            </w:pPr>
            <w:r>
              <w:rPr>
                <w:rFonts w:ascii="Arial" w:cs="Arial" w:eastAsia="Arial" w:hAnsi="Arial"/>
                <w:sz w:val="14"/>
                <w:szCs w:val="14"/>
                <w:color w:val="auto"/>
              </w:rPr>
              <w:t>Repurchases of common stock</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Net income</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5,095</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5,095</w:t>
            </w:r>
          </w:p>
        </w:tc>
        <w:tc>
          <w:tcPr>
            <w:tcW w:w="0" w:type="dxa"/>
            <w:vAlign w:val="bottom"/>
          </w:tcPr>
          <w:p>
            <w:pPr>
              <w:spacing w:after="0"/>
              <w:rPr>
                <w:sz w:val="1"/>
                <w:szCs w:val="1"/>
                <w:color w:val="auto"/>
              </w:rPr>
            </w:pPr>
          </w:p>
        </w:tc>
      </w:tr>
      <w:tr>
        <w:trPr>
          <w:trHeight w:val="186"/>
        </w:trPr>
        <w:tc>
          <w:tcPr>
            <w:tcW w:w="3860" w:type="dxa"/>
            <w:vAlign w:val="bottom"/>
          </w:tcPr>
          <w:p>
            <w:pPr>
              <w:ind w:left="180"/>
              <w:spacing w:after="0"/>
              <w:rPr>
                <w:sz w:val="20"/>
                <w:szCs w:val="20"/>
                <w:color w:val="auto"/>
              </w:rPr>
            </w:pPr>
            <w:r>
              <w:rPr>
                <w:rFonts w:ascii="Arial" w:cs="Arial" w:eastAsia="Arial" w:hAnsi="Arial"/>
                <w:sz w:val="14"/>
                <w:szCs w:val="14"/>
                <w:i w:val="1"/>
                <w:iCs w:val="1"/>
                <w:color w:val="auto"/>
              </w:rPr>
              <w:t>Other comprehensive loss</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3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Foreign currency translation adjustment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(4,972)</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(4,972)</w:t>
            </w:r>
          </w:p>
        </w:tc>
        <w:tc>
          <w:tcPr>
            <w:tcW w:w="0" w:type="dxa"/>
            <w:vAlign w:val="bottom"/>
          </w:tcPr>
          <w:p>
            <w:pPr>
              <w:spacing w:after="0"/>
              <w:rPr>
                <w:sz w:val="1"/>
                <w:szCs w:val="1"/>
                <w:color w:val="auto"/>
              </w:rPr>
            </w:pPr>
          </w:p>
        </w:tc>
      </w:tr>
      <w:tr>
        <w:trPr>
          <w:trHeight w:val="186"/>
        </w:trPr>
        <w:tc>
          <w:tcPr>
            <w:tcW w:w="3860" w:type="dxa"/>
            <w:vAlign w:val="bottom"/>
          </w:tcPr>
          <w:p>
            <w:pPr>
              <w:ind w:left="340"/>
              <w:spacing w:after="0"/>
              <w:rPr>
                <w:sz w:val="20"/>
                <w:szCs w:val="20"/>
                <w:color w:val="auto"/>
              </w:rPr>
            </w:pPr>
            <w:r>
              <w:rPr>
                <w:rFonts w:ascii="Arial" w:cs="Arial" w:eastAsia="Arial" w:hAnsi="Arial"/>
                <w:sz w:val="14"/>
                <w:szCs w:val="14"/>
                <w:color w:val="auto"/>
                <w:w w:val="98"/>
              </w:rPr>
              <w:t>Net unrealized gains (losses) on investments in securities</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(516)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(516)</w:t>
            </w:r>
          </w:p>
        </w:tc>
        <w:tc>
          <w:tcPr>
            <w:tcW w:w="0" w:type="dxa"/>
            <w:vAlign w:val="bottom"/>
          </w:tcPr>
          <w:p>
            <w:pPr>
              <w:spacing w:after="0"/>
              <w:rPr>
                <w:sz w:val="1"/>
                <w:szCs w:val="1"/>
                <w:color w:val="auto"/>
              </w:rPr>
            </w:pPr>
          </w:p>
        </w:tc>
      </w:tr>
      <w:tr>
        <w:trPr>
          <w:trHeight w:val="36"/>
        </w:trPr>
        <w:tc>
          <w:tcPr>
            <w:tcW w:w="3860" w:type="dxa"/>
            <w:vAlign w:val="bottom"/>
            <w:tcBorders>
              <w:bottom w:val="single" w:sz="8" w:color="CCEEFF"/>
            </w:tcBorders>
          </w:tcPr>
          <w:p>
            <w:pPr>
              <w:spacing w:after="0"/>
              <w:rPr>
                <w:sz w:val="3"/>
                <w:szCs w:val="3"/>
                <w:color w:val="auto"/>
              </w:rPr>
            </w:pPr>
          </w:p>
        </w:tc>
        <w:tc>
          <w:tcPr>
            <w:tcW w:w="11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6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9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1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Comprehensive loss</w:t>
            </w: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(393)</w:t>
            </w:r>
          </w:p>
        </w:tc>
        <w:tc>
          <w:tcPr>
            <w:tcW w:w="0" w:type="dxa"/>
            <w:vAlign w:val="bottom"/>
          </w:tcPr>
          <w:p>
            <w:pPr>
              <w:spacing w:after="0"/>
              <w:rPr>
                <w:sz w:val="1"/>
                <w:szCs w:val="1"/>
                <w:color w:val="auto"/>
              </w:rPr>
            </w:pPr>
          </w:p>
        </w:tc>
      </w:tr>
      <w:tr>
        <w:trPr>
          <w:trHeight w:val="210"/>
        </w:trPr>
        <w:tc>
          <w:tcPr>
            <w:tcW w:w="3860" w:type="dxa"/>
            <w:vAlign w:val="bottom"/>
          </w:tcPr>
          <w:p>
            <w:pPr>
              <w:ind w:left="20"/>
              <w:spacing w:after="0"/>
              <w:rPr>
                <w:sz w:val="20"/>
                <w:szCs w:val="20"/>
                <w:color w:val="auto"/>
              </w:rPr>
            </w:pPr>
            <w:r>
              <w:rPr>
                <w:rFonts w:ascii="Arial" w:cs="Arial" w:eastAsia="Arial" w:hAnsi="Arial"/>
                <w:sz w:val="14"/>
                <w:szCs w:val="14"/>
                <w:b w:val="1"/>
                <w:bCs w:val="1"/>
                <w:color w:val="auto"/>
              </w:rPr>
              <w:t>Balance at March 31, 2022</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27,493,661</w:t>
            </w:r>
          </w:p>
        </w:tc>
        <w:tc>
          <w:tcPr>
            <w:tcW w:w="10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472,483</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381,829</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(22,305)</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832,035</w:t>
            </w:r>
          </w:p>
        </w:tc>
        <w:tc>
          <w:tcPr>
            <w:tcW w:w="0" w:type="dxa"/>
            <w:vAlign w:val="bottom"/>
          </w:tcPr>
          <w:p>
            <w:pPr>
              <w:spacing w:after="0"/>
              <w:rPr>
                <w:sz w:val="1"/>
                <w:szCs w:val="1"/>
                <w:color w:val="auto"/>
              </w:rPr>
            </w:pPr>
          </w:p>
        </w:tc>
      </w:tr>
      <w:tr>
        <w:trPr>
          <w:trHeight w:val="20"/>
        </w:trPr>
        <w:tc>
          <w:tcPr>
            <w:tcW w:w="38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8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w w:val="93"/>
              </w:rPr>
              <w:t>Common shares issued on exercise of options and other, net of</w:t>
            </w: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shares withheld for tax obligations</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122,705</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1,158</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1,158</w:t>
            </w:r>
          </w:p>
        </w:tc>
        <w:tc>
          <w:tcPr>
            <w:tcW w:w="0" w:type="dxa"/>
            <w:vAlign w:val="bottom"/>
          </w:tcPr>
          <w:p>
            <w:pPr>
              <w:spacing w:after="0"/>
              <w:rPr>
                <w:sz w:val="1"/>
                <w:szCs w:val="1"/>
                <w:color w:val="auto"/>
              </w:rPr>
            </w:pPr>
          </w:p>
        </w:tc>
      </w:tr>
      <w:tr>
        <w:trPr>
          <w:trHeight w:val="186"/>
        </w:trPr>
        <w:tc>
          <w:tcPr>
            <w:tcW w:w="3860" w:type="dxa"/>
            <w:vAlign w:val="bottom"/>
          </w:tcPr>
          <w:p>
            <w:pPr>
              <w:ind w:left="180"/>
              <w:spacing w:after="0"/>
              <w:rPr>
                <w:sz w:val="20"/>
                <w:szCs w:val="20"/>
                <w:color w:val="auto"/>
              </w:rPr>
            </w:pPr>
            <w:r>
              <w:rPr>
                <w:rFonts w:ascii="Arial" w:cs="Arial" w:eastAsia="Arial" w:hAnsi="Arial"/>
                <w:sz w:val="14"/>
                <w:szCs w:val="14"/>
                <w:color w:val="auto"/>
              </w:rPr>
              <w:t>Stock-based compensation expense</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4,031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4,031</w:t>
            </w: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Repurchases of common stock</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(113,266)</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(1,932)</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(3,307)</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(5,239)</w:t>
            </w:r>
          </w:p>
        </w:tc>
        <w:tc>
          <w:tcPr>
            <w:tcW w:w="0" w:type="dxa"/>
            <w:vAlign w:val="bottom"/>
          </w:tcPr>
          <w:p>
            <w:pPr>
              <w:spacing w:after="0"/>
              <w:rPr>
                <w:sz w:val="1"/>
                <w:szCs w:val="1"/>
                <w:color w:val="auto"/>
              </w:rPr>
            </w:pPr>
          </w:p>
        </w:tc>
      </w:tr>
      <w:tr>
        <w:trPr>
          <w:trHeight w:val="186"/>
        </w:trPr>
        <w:tc>
          <w:tcPr>
            <w:tcW w:w="386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2,557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2,557</w:t>
            </w: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i w:val="1"/>
                <w:iCs w:val="1"/>
                <w:color w:val="auto"/>
              </w:rPr>
              <w:t>Other comprehensive loss</w:t>
            </w: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860" w:type="dxa"/>
            <w:vAlign w:val="bottom"/>
          </w:tcPr>
          <w:p>
            <w:pPr>
              <w:ind w:left="340"/>
              <w:spacing w:after="0"/>
              <w:rPr>
                <w:sz w:val="20"/>
                <w:szCs w:val="20"/>
                <w:color w:val="auto"/>
              </w:rPr>
            </w:pPr>
            <w:r>
              <w:rPr>
                <w:rFonts w:ascii="Arial" w:cs="Arial" w:eastAsia="Arial" w:hAnsi="Arial"/>
                <w:sz w:val="14"/>
                <w:szCs w:val="14"/>
                <w:color w:val="auto"/>
              </w:rPr>
              <w:t>Foreign currency translation adjustment</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(13,515)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(13,515)</w:t>
            </w: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2"/>
        </w:trPr>
        <w:tc>
          <w:tcPr>
            <w:tcW w:w="3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w w:val="98"/>
              </w:rPr>
              <w:t>Net unrealized gains (losses) on investments in securities</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(329)</w:t>
            </w:r>
          </w:p>
        </w:tc>
        <w:tc>
          <w:tcPr>
            <w:tcW w:w="0" w:type="dxa"/>
            <w:vAlign w:val="bottom"/>
          </w:tcPr>
          <w:p>
            <w:pPr>
              <w:spacing w:after="0"/>
              <w:rPr>
                <w:sz w:val="1"/>
                <w:szCs w:val="1"/>
                <w:color w:val="auto"/>
              </w:rPr>
            </w:pPr>
          </w:p>
        </w:tc>
      </w:tr>
      <w:tr>
        <w:trPr>
          <w:trHeight w:val="179"/>
        </w:trPr>
        <w:tc>
          <w:tcPr>
            <w:tcW w:w="3860" w:type="dxa"/>
            <w:vAlign w:val="bottom"/>
          </w:tcPr>
          <w:p>
            <w:pPr>
              <w:ind w:left="180"/>
              <w:spacing w:after="0"/>
              <w:rPr>
                <w:sz w:val="20"/>
                <w:szCs w:val="20"/>
                <w:color w:val="auto"/>
              </w:rPr>
            </w:pPr>
            <w:r>
              <w:rPr>
                <w:rFonts w:ascii="Arial" w:cs="Arial" w:eastAsia="Arial" w:hAnsi="Arial"/>
                <w:sz w:val="14"/>
                <w:szCs w:val="14"/>
                <w:color w:val="auto"/>
              </w:rPr>
              <w:t>Comprehensive loss</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(11,287)</w:t>
            </w:r>
          </w:p>
        </w:tc>
        <w:tc>
          <w:tcPr>
            <w:tcW w:w="0" w:type="dxa"/>
            <w:vAlign w:val="bottom"/>
          </w:tcPr>
          <w:p>
            <w:pPr>
              <w:spacing w:after="0"/>
              <w:rPr>
                <w:sz w:val="1"/>
                <w:szCs w:val="1"/>
                <w:color w:val="auto"/>
              </w:rPr>
            </w:pPr>
          </w:p>
        </w:tc>
      </w:tr>
      <w:tr>
        <w:trPr>
          <w:trHeight w:val="36"/>
        </w:trPr>
        <w:tc>
          <w:tcPr>
            <w:tcW w:w="386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2022</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27,503,100</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4"/>
                <w:szCs w:val="14"/>
                <w:color w:val="auto"/>
                <w:w w:val="76"/>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475,740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381,079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(36,149)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820,698</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4"/>
                <w:szCs w:val="14"/>
                <w:color w:val="auto"/>
                <w:w w:val="93"/>
              </w:rPr>
              <w:t>Common shares issued on exercise of options and other, net of</w:t>
            </w: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86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3860" w:type="dxa"/>
            <w:vAlign w:val="bottom"/>
          </w:tcPr>
          <w:p>
            <w:pPr>
              <w:ind w:left="180"/>
              <w:spacing w:after="0"/>
              <w:rPr>
                <w:sz w:val="20"/>
                <w:szCs w:val="20"/>
                <w:color w:val="auto"/>
              </w:rPr>
            </w:pPr>
            <w:r>
              <w:rPr>
                <w:rFonts w:ascii="Arial" w:cs="Arial" w:eastAsia="Arial" w:hAnsi="Arial"/>
                <w:sz w:val="14"/>
                <w:szCs w:val="14"/>
                <w:color w:val="auto"/>
              </w:rPr>
              <w:t>shares withheld for tax obligations</w:t>
            </w:r>
          </w:p>
        </w:tc>
        <w:tc>
          <w:tcPr>
            <w:tcW w:w="1120" w:type="dxa"/>
            <w:vAlign w:val="bottom"/>
          </w:tcPr>
          <w:p>
            <w:pPr>
              <w:jc w:val="right"/>
              <w:spacing w:after="0"/>
              <w:rPr>
                <w:sz w:val="20"/>
                <w:szCs w:val="20"/>
                <w:color w:val="auto"/>
              </w:rPr>
            </w:pPr>
            <w:r>
              <w:rPr>
                <w:rFonts w:ascii="Arial" w:cs="Arial" w:eastAsia="Arial" w:hAnsi="Arial"/>
                <w:sz w:val="14"/>
                <w:szCs w:val="14"/>
                <w:color w:val="auto"/>
              </w:rPr>
              <w:t>31,150</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Stock-based compensation expense</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4,907</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4,907</w:t>
            </w:r>
          </w:p>
        </w:tc>
        <w:tc>
          <w:tcPr>
            <w:tcW w:w="0" w:type="dxa"/>
            <w:vAlign w:val="bottom"/>
          </w:tcPr>
          <w:p>
            <w:pPr>
              <w:spacing w:after="0"/>
              <w:rPr>
                <w:sz w:val="1"/>
                <w:szCs w:val="1"/>
                <w:color w:val="auto"/>
              </w:rPr>
            </w:pPr>
          </w:p>
        </w:tc>
      </w:tr>
      <w:tr>
        <w:trPr>
          <w:trHeight w:val="186"/>
        </w:trPr>
        <w:tc>
          <w:tcPr>
            <w:tcW w:w="3860" w:type="dxa"/>
            <w:vAlign w:val="bottom"/>
          </w:tcPr>
          <w:p>
            <w:pPr>
              <w:ind w:left="180"/>
              <w:spacing w:after="0"/>
              <w:rPr>
                <w:sz w:val="20"/>
                <w:szCs w:val="20"/>
                <w:color w:val="auto"/>
              </w:rPr>
            </w:pPr>
            <w:r>
              <w:rPr>
                <w:rFonts w:ascii="Arial" w:cs="Arial" w:eastAsia="Arial" w:hAnsi="Arial"/>
                <w:sz w:val="14"/>
                <w:szCs w:val="14"/>
                <w:color w:val="auto"/>
              </w:rPr>
              <w:t>Repurchases of common stock</w:t>
            </w:r>
          </w:p>
        </w:tc>
        <w:tc>
          <w:tcPr>
            <w:tcW w:w="1120" w:type="dxa"/>
            <w:vAlign w:val="bottom"/>
          </w:tcPr>
          <w:p>
            <w:pPr>
              <w:jc w:val="right"/>
              <w:spacing w:after="0"/>
              <w:rPr>
                <w:sz w:val="20"/>
                <w:szCs w:val="20"/>
                <w:color w:val="auto"/>
              </w:rPr>
            </w:pPr>
            <w:r>
              <w:rPr>
                <w:rFonts w:ascii="Arial" w:cs="Arial" w:eastAsia="Arial" w:hAnsi="Arial"/>
                <w:sz w:val="14"/>
                <w:szCs w:val="14"/>
                <w:color w:val="auto"/>
              </w:rPr>
              <w:t>(207,500)</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(3,540)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(4,295)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(7,835)</w:t>
            </w: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Net income</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3,951</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3,951</w:t>
            </w:r>
          </w:p>
        </w:tc>
        <w:tc>
          <w:tcPr>
            <w:tcW w:w="0" w:type="dxa"/>
            <w:vAlign w:val="bottom"/>
          </w:tcPr>
          <w:p>
            <w:pPr>
              <w:spacing w:after="0"/>
              <w:rPr>
                <w:sz w:val="1"/>
                <w:szCs w:val="1"/>
                <w:color w:val="auto"/>
              </w:rPr>
            </w:pPr>
          </w:p>
        </w:tc>
      </w:tr>
      <w:tr>
        <w:trPr>
          <w:trHeight w:val="186"/>
        </w:trPr>
        <w:tc>
          <w:tcPr>
            <w:tcW w:w="3860" w:type="dxa"/>
            <w:vAlign w:val="bottom"/>
          </w:tcPr>
          <w:p>
            <w:pPr>
              <w:ind w:left="180"/>
              <w:spacing w:after="0"/>
              <w:rPr>
                <w:sz w:val="20"/>
                <w:szCs w:val="20"/>
                <w:color w:val="auto"/>
              </w:rPr>
            </w:pPr>
            <w:r>
              <w:rPr>
                <w:rFonts w:ascii="Arial" w:cs="Arial" w:eastAsia="Arial" w:hAnsi="Arial"/>
                <w:sz w:val="14"/>
                <w:szCs w:val="14"/>
                <w:i w:val="1"/>
                <w:iCs w:val="1"/>
                <w:color w:val="auto"/>
              </w:rPr>
              <w:t>Other comprehensive loss</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3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Foreign currency translation adjustment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(10,287)</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(10,287)</w:t>
            </w:r>
          </w:p>
        </w:tc>
        <w:tc>
          <w:tcPr>
            <w:tcW w:w="0" w:type="dxa"/>
            <w:vAlign w:val="bottom"/>
          </w:tcPr>
          <w:p>
            <w:pPr>
              <w:spacing w:after="0"/>
              <w:rPr>
                <w:sz w:val="1"/>
                <w:szCs w:val="1"/>
                <w:color w:val="auto"/>
              </w:rPr>
            </w:pPr>
          </w:p>
        </w:tc>
      </w:tr>
      <w:tr>
        <w:trPr>
          <w:trHeight w:val="186"/>
        </w:trPr>
        <w:tc>
          <w:tcPr>
            <w:tcW w:w="3860" w:type="dxa"/>
            <w:vAlign w:val="bottom"/>
          </w:tcPr>
          <w:p>
            <w:pPr>
              <w:ind w:left="340"/>
              <w:spacing w:after="0"/>
              <w:rPr>
                <w:sz w:val="20"/>
                <w:szCs w:val="20"/>
                <w:color w:val="auto"/>
              </w:rPr>
            </w:pPr>
            <w:r>
              <w:rPr>
                <w:rFonts w:ascii="Arial" w:cs="Arial" w:eastAsia="Arial" w:hAnsi="Arial"/>
                <w:sz w:val="14"/>
                <w:szCs w:val="14"/>
                <w:color w:val="auto"/>
                <w:w w:val="98"/>
              </w:rPr>
              <w:t>Net unrealized gains (losses) on investments in securities</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(588)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(588)</w:t>
            </w:r>
          </w:p>
        </w:tc>
        <w:tc>
          <w:tcPr>
            <w:tcW w:w="0" w:type="dxa"/>
            <w:vAlign w:val="bottom"/>
          </w:tcPr>
          <w:p>
            <w:pPr>
              <w:spacing w:after="0"/>
              <w:rPr>
                <w:sz w:val="1"/>
                <w:szCs w:val="1"/>
                <w:color w:val="auto"/>
              </w:rPr>
            </w:pPr>
          </w:p>
        </w:tc>
      </w:tr>
      <w:tr>
        <w:trPr>
          <w:trHeight w:val="36"/>
        </w:trPr>
        <w:tc>
          <w:tcPr>
            <w:tcW w:w="3860" w:type="dxa"/>
            <w:vAlign w:val="bottom"/>
            <w:tcBorders>
              <w:bottom w:val="single" w:sz="8" w:color="CCEEFF"/>
            </w:tcBorders>
          </w:tcPr>
          <w:p>
            <w:pPr>
              <w:spacing w:after="0"/>
              <w:rPr>
                <w:sz w:val="3"/>
                <w:szCs w:val="3"/>
                <w:color w:val="auto"/>
              </w:rPr>
            </w:pPr>
          </w:p>
        </w:tc>
        <w:tc>
          <w:tcPr>
            <w:tcW w:w="11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6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9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1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Comprehensive loss</w:t>
            </w: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(6,924)</w:t>
            </w:r>
          </w:p>
        </w:tc>
        <w:tc>
          <w:tcPr>
            <w:tcW w:w="0" w:type="dxa"/>
            <w:vAlign w:val="bottom"/>
          </w:tcPr>
          <w:p>
            <w:pPr>
              <w:spacing w:after="0"/>
              <w:rPr>
                <w:sz w:val="1"/>
                <w:szCs w:val="1"/>
                <w:color w:val="auto"/>
              </w:rPr>
            </w:pPr>
          </w:p>
        </w:tc>
      </w:tr>
      <w:tr>
        <w:trPr>
          <w:trHeight w:val="210"/>
        </w:trPr>
        <w:tc>
          <w:tcPr>
            <w:tcW w:w="3860" w:type="dxa"/>
            <w:vAlign w:val="bottom"/>
          </w:tcPr>
          <w:p>
            <w:pPr>
              <w:ind w:left="20"/>
              <w:spacing w:after="0"/>
              <w:rPr>
                <w:sz w:val="20"/>
                <w:szCs w:val="20"/>
                <w:color w:val="auto"/>
              </w:rPr>
            </w:pPr>
            <w:r>
              <w:rPr>
                <w:rFonts w:ascii="Arial" w:cs="Arial" w:eastAsia="Arial" w:hAnsi="Arial"/>
                <w:sz w:val="14"/>
                <w:szCs w:val="14"/>
                <w:b w:val="1"/>
                <w:bCs w:val="1"/>
                <w:color w:val="auto"/>
              </w:rPr>
              <w:t>Balance at September 30, 2022</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27,326,750</w:t>
            </w:r>
          </w:p>
        </w:tc>
        <w:tc>
          <w:tcPr>
            <w:tcW w:w="10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477,107</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380,735</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(47,024)</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810,846</w:t>
            </w:r>
          </w:p>
        </w:tc>
        <w:tc>
          <w:tcPr>
            <w:tcW w:w="0" w:type="dxa"/>
            <w:vAlign w:val="bottom"/>
          </w:tcPr>
          <w:p>
            <w:pPr>
              <w:spacing w:after="0"/>
              <w:rPr>
                <w:sz w:val="1"/>
                <w:szCs w:val="1"/>
                <w:color w:val="auto"/>
              </w:rPr>
            </w:pPr>
          </w:p>
        </w:tc>
      </w:tr>
      <w:tr>
        <w:trPr>
          <w:trHeight w:val="24"/>
        </w:trPr>
        <w:tc>
          <w:tcPr>
            <w:tcW w:w="38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Proto Labs,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367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54" w:lineRule="exact"/>
        <w:rPr>
          <w:sz w:val="20"/>
          <w:szCs w:val="20"/>
          <w:color w:val="auto"/>
        </w:rPr>
      </w:pPr>
    </w:p>
    <w:p>
      <w:pPr>
        <w:jc w:val="center"/>
        <w:ind w:left="8180"/>
        <w:spacing w:after="0"/>
        <w:rPr>
          <w:sz w:val="20"/>
          <w:szCs w:val="20"/>
          <w:color w:val="auto"/>
        </w:rPr>
      </w:pPr>
      <w:r>
        <w:rPr>
          <w:rFonts w:ascii="Arial" w:cs="Arial" w:eastAsia="Arial" w:hAnsi="Arial"/>
          <w:sz w:val="17"/>
          <w:szCs w:val="17"/>
          <w:b w:val="1"/>
          <w:bCs w:val="1"/>
          <w:color w:val="auto"/>
        </w:rPr>
        <w:t>Nine Months Ended</w:t>
      </w:r>
    </w:p>
    <w:p>
      <w:pPr>
        <w:spacing w:after="0" w:line="32" w:lineRule="exact"/>
        <w:rPr>
          <w:sz w:val="20"/>
          <w:szCs w:val="20"/>
          <w:color w:val="auto"/>
        </w:rPr>
      </w:pPr>
    </w:p>
    <w:p>
      <w:pPr>
        <w:jc w:val="center"/>
        <w:ind w:left="8180"/>
        <w:spacing w:after="0"/>
        <w:rPr>
          <w:sz w:val="20"/>
          <w:szCs w:val="20"/>
          <w:color w:val="auto"/>
        </w:rPr>
      </w:pPr>
      <w:r>
        <w:rPr>
          <w:rFonts w:ascii="Arial" w:cs="Arial" w:eastAsia="Arial" w:hAnsi="Arial"/>
          <w:sz w:val="17"/>
          <w:szCs w:val="17"/>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5205730</wp:posOffset>
            </wp:positionH>
            <wp:positionV relativeFrom="paragraph">
              <wp:posOffset>25400</wp:posOffset>
            </wp:positionV>
            <wp:extent cx="19335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33575" cy="8255"/>
                    </a:xfrm>
                    <a:prstGeom prst="rect">
                      <a:avLst/>
                    </a:prstGeom>
                    <a:noFill/>
                  </pic:spPr>
                </pic:pic>
              </a:graphicData>
            </a:graphic>
          </wp:anchor>
        </w:drawing>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3"/>
              <w:spacing w:after="0"/>
              <w:rPr>
                <w:sz w:val="20"/>
                <w:szCs w:val="20"/>
                <w:color w:val="auto"/>
              </w:rPr>
            </w:pPr>
            <w:r>
              <w:rPr>
                <w:rFonts w:ascii="Arial" w:cs="Arial" w:eastAsia="Arial" w:hAnsi="Arial"/>
                <w:sz w:val="17"/>
                <w:szCs w:val="17"/>
                <w:b w:val="1"/>
                <w:bCs w:val="1"/>
                <w:color w:val="auto"/>
              </w:rPr>
              <w:t>2023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3"/>
              <w:spacing w:after="0"/>
              <w:rPr>
                <w:sz w:val="20"/>
                <w:szCs w:val="20"/>
                <w:color w:val="auto"/>
              </w:rPr>
            </w:pPr>
            <w:r>
              <w:rPr>
                <w:rFonts w:ascii="Arial" w:cs="Arial" w:eastAsia="Arial" w:hAnsi="Arial"/>
                <w:sz w:val="17"/>
                <w:szCs w:val="17"/>
                <w:b w:val="1"/>
                <w:bCs w:val="1"/>
                <w:color w:val="auto"/>
              </w:rPr>
              <w:t>2022</w:t>
            </w:r>
          </w:p>
        </w:tc>
      </w:tr>
      <w:tr>
        <w:trPr>
          <w:trHeight w:val="26"/>
        </w:trPr>
        <w:tc>
          <w:tcPr>
            <w:tcW w:w="8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24"/>
        </w:trPr>
        <w:tc>
          <w:tcPr>
            <w:tcW w:w="8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241"/>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Operating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35"/>
        </w:trPr>
        <w:tc>
          <w:tcPr>
            <w:tcW w:w="8200" w:type="dxa"/>
            <w:vAlign w:val="bottom"/>
          </w:tcPr>
          <w:p>
            <w:pPr>
              <w:ind w:left="340"/>
              <w:spacing w:after="0"/>
              <w:rPr>
                <w:sz w:val="20"/>
                <w:szCs w:val="20"/>
                <w:color w:val="auto"/>
              </w:rPr>
            </w:pPr>
            <w:r>
              <w:rPr>
                <w:rFonts w:ascii="Arial" w:cs="Arial" w:eastAsia="Arial" w:hAnsi="Arial"/>
                <w:sz w:val="17"/>
                <w:szCs w:val="17"/>
                <w:color w:val="auto"/>
              </w:rPr>
              <w:t>Net income</w:t>
            </w: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10,230</w:t>
            </w:r>
          </w:p>
        </w:tc>
        <w:tc>
          <w:tcPr>
            <w:tcW w:w="80" w:type="dxa"/>
            <w:vAlign w:val="bottom"/>
          </w:tcPr>
          <w:p>
            <w:pPr>
              <w:spacing w:after="0"/>
              <w:rPr>
                <w:sz w:val="20"/>
                <w:szCs w:val="20"/>
                <w:color w:val="auto"/>
              </w:rPr>
            </w:pPr>
          </w:p>
        </w:tc>
        <w:tc>
          <w:tcPr>
            <w:tcW w:w="3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11,603</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35"/>
        </w:trPr>
        <w:tc>
          <w:tcPr>
            <w:tcW w:w="8200" w:type="dxa"/>
            <w:vAlign w:val="bottom"/>
          </w:tcPr>
          <w:p>
            <w:pPr>
              <w:ind w:left="500"/>
              <w:spacing w:after="0"/>
              <w:rPr>
                <w:sz w:val="20"/>
                <w:szCs w:val="20"/>
                <w:color w:val="auto"/>
              </w:rPr>
            </w:pPr>
            <w:r>
              <w:rPr>
                <w:rFonts w:ascii="Arial" w:cs="Arial" w:eastAsia="Arial" w:hAnsi="Arial"/>
                <w:sz w:val="17"/>
                <w:szCs w:val="17"/>
                <w:color w:val="auto"/>
              </w:rPr>
              <w:t>Depreciation and amortization</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28,213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29,981</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Stock-based compensation expense</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11,811</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13,335</w:t>
            </w:r>
          </w:p>
        </w:tc>
      </w:tr>
      <w:tr>
        <w:trPr>
          <w:trHeight w:val="235"/>
        </w:trPr>
        <w:tc>
          <w:tcPr>
            <w:tcW w:w="8200" w:type="dxa"/>
            <w:vAlign w:val="bottom"/>
          </w:tcPr>
          <w:p>
            <w:pPr>
              <w:ind w:left="500"/>
              <w:spacing w:after="0"/>
              <w:rPr>
                <w:sz w:val="20"/>
                <w:szCs w:val="20"/>
                <w:color w:val="auto"/>
              </w:rPr>
            </w:pPr>
            <w:r>
              <w:rPr>
                <w:rFonts w:ascii="Arial" w:cs="Arial" w:eastAsia="Arial" w:hAnsi="Arial"/>
                <w:sz w:val="17"/>
                <w:szCs w:val="17"/>
                <w:color w:val="auto"/>
              </w:rPr>
              <w:t>Deferred taxes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(9,197)</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(8,920)</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Interest on finance lease obligations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859</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5"/>
        </w:trPr>
        <w:tc>
          <w:tcPr>
            <w:tcW w:w="8200" w:type="dxa"/>
            <w:vAlign w:val="bottom"/>
          </w:tcPr>
          <w:p>
            <w:pPr>
              <w:ind w:left="500"/>
              <w:spacing w:after="0"/>
              <w:rPr>
                <w:sz w:val="20"/>
                <w:szCs w:val="20"/>
                <w:color w:val="auto"/>
              </w:rPr>
            </w:pPr>
            <w:r>
              <w:rPr>
                <w:rFonts w:ascii="Arial" w:cs="Arial" w:eastAsia="Arial" w:hAnsi="Arial"/>
                <w:sz w:val="17"/>
                <w:szCs w:val="17"/>
                <w:color w:val="auto"/>
              </w:rPr>
              <w:t>Loss on foreign currency translation</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3,906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Impairments related to closure of Japan business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2,842</w:t>
            </w:r>
          </w:p>
        </w:tc>
      </w:tr>
      <w:tr>
        <w:trPr>
          <w:trHeight w:val="235"/>
        </w:trPr>
        <w:tc>
          <w:tcPr>
            <w:tcW w:w="8200" w:type="dxa"/>
            <w:vAlign w:val="bottom"/>
          </w:tcPr>
          <w:p>
            <w:pPr>
              <w:ind w:left="500"/>
              <w:spacing w:after="0"/>
              <w:rPr>
                <w:sz w:val="20"/>
                <w:szCs w:val="20"/>
                <w:color w:val="auto"/>
              </w:rPr>
            </w:pPr>
            <w:r>
              <w:rPr>
                <w:rFonts w:ascii="Arial" w:cs="Arial" w:eastAsia="Arial" w:hAnsi="Arial"/>
                <w:sz w:val="17"/>
                <w:szCs w:val="17"/>
                <w:color w:val="auto"/>
              </w:rPr>
              <w:t>Gain on disposal of property and equipment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(498)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(1,174)</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Other</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122</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w:t>
            </w:r>
          </w:p>
        </w:tc>
      </w:tr>
      <w:tr>
        <w:trPr>
          <w:trHeight w:val="235"/>
        </w:trPr>
        <w:tc>
          <w:tcPr>
            <w:tcW w:w="8200" w:type="dxa"/>
            <w:vAlign w:val="bottom"/>
          </w:tcPr>
          <w:p>
            <w:pPr>
              <w:ind w:left="500"/>
              <w:spacing w:after="0"/>
              <w:rPr>
                <w:sz w:val="20"/>
                <w:szCs w:val="20"/>
                <w:color w:val="auto"/>
              </w:rPr>
            </w:pPr>
            <w:r>
              <w:rPr>
                <w:rFonts w:ascii="Arial" w:cs="Arial" w:eastAsia="Arial" w:hAnsi="Arial"/>
                <w:sz w:val="17"/>
                <w:szCs w:val="17"/>
                <w:color w:val="auto"/>
              </w:rPr>
              <w:t>Changes in operating assets and liabilities: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Accounts receivable</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(3,058)</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(3,909)</w:t>
            </w:r>
          </w:p>
        </w:tc>
      </w:tr>
      <w:tr>
        <w:trPr>
          <w:trHeight w:val="235"/>
        </w:trPr>
        <w:tc>
          <w:tcPr>
            <w:tcW w:w="8200" w:type="dxa"/>
            <w:vAlign w:val="bottom"/>
          </w:tcPr>
          <w:p>
            <w:pPr>
              <w:ind w:left="640"/>
              <w:spacing w:after="0"/>
              <w:rPr>
                <w:sz w:val="20"/>
                <w:szCs w:val="20"/>
                <w:color w:val="auto"/>
              </w:rPr>
            </w:pPr>
            <w:r>
              <w:rPr>
                <w:rFonts w:ascii="Arial" w:cs="Arial" w:eastAsia="Arial" w:hAnsi="Arial"/>
                <w:sz w:val="17"/>
                <w:szCs w:val="17"/>
                <w:color w:val="auto"/>
              </w:rPr>
              <w:t>Inventories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(150)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(1,613)</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Prepaid expenses and other</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4,127</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(920)</w:t>
            </w:r>
          </w:p>
        </w:tc>
      </w:tr>
      <w:tr>
        <w:trPr>
          <w:trHeight w:val="235"/>
        </w:trPr>
        <w:tc>
          <w:tcPr>
            <w:tcW w:w="8200" w:type="dxa"/>
            <w:vAlign w:val="bottom"/>
          </w:tcPr>
          <w:p>
            <w:pPr>
              <w:ind w:left="640"/>
              <w:spacing w:after="0"/>
              <w:rPr>
                <w:sz w:val="20"/>
                <w:szCs w:val="20"/>
                <w:color w:val="auto"/>
              </w:rPr>
            </w:pPr>
            <w:r>
              <w:rPr>
                <w:rFonts w:ascii="Arial" w:cs="Arial" w:eastAsia="Arial" w:hAnsi="Arial"/>
                <w:sz w:val="17"/>
                <w:szCs w:val="17"/>
                <w:color w:val="auto"/>
              </w:rPr>
              <w:t>Income taxes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4,693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670</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Accounts payable</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746</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1,292</w:t>
            </w:r>
          </w:p>
        </w:tc>
      </w:tr>
      <w:tr>
        <w:trPr>
          <w:trHeight w:val="235"/>
        </w:trPr>
        <w:tc>
          <w:tcPr>
            <w:tcW w:w="8200" w:type="dxa"/>
            <w:vAlign w:val="bottom"/>
          </w:tcPr>
          <w:p>
            <w:pPr>
              <w:ind w:left="640"/>
              <w:spacing w:after="0"/>
              <w:rPr>
                <w:sz w:val="20"/>
                <w:szCs w:val="20"/>
                <w:color w:val="auto"/>
              </w:rPr>
            </w:pPr>
            <w:r>
              <w:rPr>
                <w:rFonts w:ascii="Arial" w:cs="Arial" w:eastAsia="Arial" w:hAnsi="Arial"/>
                <w:sz w:val="17"/>
                <w:szCs w:val="17"/>
                <w:color w:val="auto"/>
              </w:rPr>
              <w:t>Accrued liabilities and other</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4,242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8,366</w:t>
            </w:r>
          </w:p>
        </w:tc>
      </w:tr>
      <w:tr>
        <w:trPr>
          <w:trHeight w:val="26"/>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4"/>
        </w:trPr>
        <w:tc>
          <w:tcPr>
            <w:tcW w:w="8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Net cash provided by operating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56,046</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51,564</w:t>
            </w:r>
          </w:p>
        </w:tc>
      </w:tr>
      <w:tr>
        <w:trPr>
          <w:trHeight w:val="124"/>
        </w:trPr>
        <w:tc>
          <w:tcPr>
            <w:tcW w:w="820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r>
      <w:tr>
        <w:trPr>
          <w:trHeight w:val="241"/>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Investing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35"/>
        </w:trPr>
        <w:tc>
          <w:tcPr>
            <w:tcW w:w="8200" w:type="dxa"/>
            <w:vAlign w:val="bottom"/>
          </w:tcPr>
          <w:p>
            <w:pPr>
              <w:ind w:left="340"/>
              <w:spacing w:after="0"/>
              <w:rPr>
                <w:sz w:val="20"/>
                <w:szCs w:val="20"/>
                <w:color w:val="auto"/>
              </w:rPr>
            </w:pPr>
            <w:r>
              <w:rPr>
                <w:rFonts w:ascii="Arial" w:cs="Arial" w:eastAsia="Arial" w:hAnsi="Arial"/>
                <w:sz w:val="17"/>
                <w:szCs w:val="17"/>
                <w:color w:val="auto"/>
              </w:rPr>
              <w:t>Purchases of property, equipment and other capital assets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(9,935)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(16,414)</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Proceeds from sales of property, equipment and other capital assets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693</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3,227</w:t>
            </w:r>
          </w:p>
        </w:tc>
      </w:tr>
      <w:tr>
        <w:trPr>
          <w:trHeight w:val="235"/>
        </w:trPr>
        <w:tc>
          <w:tcPr>
            <w:tcW w:w="8200" w:type="dxa"/>
            <w:vAlign w:val="bottom"/>
          </w:tcPr>
          <w:p>
            <w:pPr>
              <w:ind w:left="340"/>
              <w:spacing w:after="0"/>
              <w:rPr>
                <w:sz w:val="20"/>
                <w:szCs w:val="20"/>
                <w:color w:val="auto"/>
              </w:rPr>
            </w:pPr>
            <w:r>
              <w:rPr>
                <w:rFonts w:ascii="Arial" w:cs="Arial" w:eastAsia="Arial" w:hAnsi="Arial"/>
                <w:sz w:val="17"/>
                <w:szCs w:val="17"/>
                <w:color w:val="auto"/>
              </w:rPr>
              <w:t>Purchases of marketable securities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(45,872)</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Proceeds from sales of marketable securities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1,998</w:t>
            </w:r>
          </w:p>
        </w:tc>
      </w:tr>
      <w:tr>
        <w:trPr>
          <w:trHeight w:val="235"/>
        </w:trPr>
        <w:tc>
          <w:tcPr>
            <w:tcW w:w="8200" w:type="dxa"/>
            <w:vAlign w:val="bottom"/>
          </w:tcPr>
          <w:p>
            <w:pPr>
              <w:ind w:left="340"/>
              <w:spacing w:after="0"/>
              <w:rPr>
                <w:sz w:val="20"/>
                <w:szCs w:val="20"/>
                <w:color w:val="auto"/>
              </w:rPr>
            </w:pPr>
            <w:r>
              <w:rPr>
                <w:rFonts w:ascii="Arial" w:cs="Arial" w:eastAsia="Arial" w:hAnsi="Arial"/>
                <w:sz w:val="17"/>
                <w:szCs w:val="17"/>
                <w:color w:val="auto"/>
              </w:rPr>
              <w:t>Proceeds from call redemptions and maturities of marketable securities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19,115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13,696</w:t>
            </w:r>
          </w:p>
        </w:tc>
      </w:tr>
      <w:tr>
        <w:trPr>
          <w:trHeight w:val="26"/>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4"/>
        </w:trPr>
        <w:tc>
          <w:tcPr>
            <w:tcW w:w="8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Net cash provided by (used in) investing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9,873</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(43,365)</w:t>
            </w:r>
          </w:p>
        </w:tc>
      </w:tr>
      <w:tr>
        <w:trPr>
          <w:trHeight w:val="124"/>
        </w:trPr>
        <w:tc>
          <w:tcPr>
            <w:tcW w:w="820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r>
      <w:tr>
        <w:trPr>
          <w:trHeight w:val="241"/>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Financing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35"/>
        </w:trPr>
        <w:tc>
          <w:tcPr>
            <w:tcW w:w="8200" w:type="dxa"/>
            <w:vAlign w:val="bottom"/>
          </w:tcPr>
          <w:p>
            <w:pPr>
              <w:ind w:left="340"/>
              <w:spacing w:after="0"/>
              <w:rPr>
                <w:sz w:val="20"/>
                <w:szCs w:val="20"/>
                <w:color w:val="auto"/>
              </w:rPr>
            </w:pPr>
            <w:r>
              <w:rPr>
                <w:rFonts w:ascii="Arial" w:cs="Arial" w:eastAsia="Arial" w:hAnsi="Arial"/>
                <w:sz w:val="17"/>
                <w:szCs w:val="17"/>
                <w:color w:val="auto"/>
              </w:rPr>
              <w:t>Proceeds from exercises of stock options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1,986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2,311</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Purchases of shares withheld for tax obligations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(1,436)</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(1,615)</w:t>
            </w:r>
          </w:p>
        </w:tc>
      </w:tr>
      <w:tr>
        <w:trPr>
          <w:trHeight w:val="235"/>
        </w:trPr>
        <w:tc>
          <w:tcPr>
            <w:tcW w:w="8200" w:type="dxa"/>
            <w:vAlign w:val="bottom"/>
          </w:tcPr>
          <w:p>
            <w:pPr>
              <w:ind w:left="340"/>
              <w:spacing w:after="0"/>
              <w:rPr>
                <w:sz w:val="20"/>
                <w:szCs w:val="20"/>
                <w:color w:val="auto"/>
              </w:rPr>
            </w:pPr>
            <w:r>
              <w:rPr>
                <w:rFonts w:ascii="Arial" w:cs="Arial" w:eastAsia="Arial" w:hAnsi="Arial"/>
                <w:sz w:val="17"/>
                <w:szCs w:val="17"/>
                <w:color w:val="auto"/>
              </w:rPr>
              <w:t>Repurchases of common stock</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(39,053)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(13,074)</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1"/>
        </w:trPr>
        <w:tc>
          <w:tcPr>
            <w:tcW w:w="8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Principal repayments of finance lease obligations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(234)</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(417)</w:t>
            </w:r>
          </w:p>
        </w:tc>
      </w:tr>
      <w:tr>
        <w:trPr>
          <w:trHeight w:val="228"/>
        </w:trPr>
        <w:tc>
          <w:tcPr>
            <w:tcW w:w="8200" w:type="dxa"/>
            <w:vAlign w:val="bottom"/>
          </w:tcPr>
          <w:p>
            <w:pPr>
              <w:ind w:left="340"/>
              <w:spacing w:after="0"/>
              <w:rPr>
                <w:sz w:val="20"/>
                <w:szCs w:val="20"/>
                <w:color w:val="auto"/>
              </w:rPr>
            </w:pPr>
            <w:r>
              <w:rPr>
                <w:rFonts w:ascii="Arial" w:cs="Arial" w:eastAsia="Arial" w:hAnsi="Arial"/>
                <w:sz w:val="17"/>
                <w:szCs w:val="17"/>
                <w:color w:val="auto"/>
              </w:rPr>
              <w:t>Net cash used in financing activities</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(38,737)</w:t>
            </w: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(12,795)</w:t>
            </w:r>
          </w:p>
        </w:tc>
      </w:tr>
      <w:tr>
        <w:trPr>
          <w:trHeight w:val="26"/>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4"/>
        </w:trPr>
        <w:tc>
          <w:tcPr>
            <w:tcW w:w="8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Effect of exchange rate changes on cash and cash equivalents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(244)</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(1,972)</w:t>
            </w:r>
          </w:p>
        </w:tc>
      </w:tr>
      <w:tr>
        <w:trPr>
          <w:trHeight w:val="235"/>
        </w:trPr>
        <w:tc>
          <w:tcPr>
            <w:tcW w:w="8200" w:type="dxa"/>
            <w:vAlign w:val="bottom"/>
          </w:tcPr>
          <w:p>
            <w:pPr>
              <w:ind w:left="20"/>
              <w:spacing w:after="0"/>
              <w:rPr>
                <w:sz w:val="20"/>
                <w:szCs w:val="20"/>
                <w:color w:val="auto"/>
              </w:rPr>
            </w:pPr>
            <w:r>
              <w:rPr>
                <w:rFonts w:ascii="Arial" w:cs="Arial" w:eastAsia="Arial" w:hAnsi="Arial"/>
                <w:sz w:val="17"/>
                <w:szCs w:val="17"/>
                <w:b w:val="1"/>
                <w:bCs w:val="1"/>
                <w:color w:val="auto"/>
              </w:rPr>
              <w:t>Net increase (decrease) in cash and cash equivalents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26,938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(6,568)</w:t>
            </w:r>
          </w:p>
        </w:tc>
      </w:tr>
      <w:tr>
        <w:trPr>
          <w:trHeight w:val="26"/>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4"/>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Cash and cash equivalents, beginning of period</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56,558</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65,929</w:t>
            </w:r>
          </w:p>
        </w:tc>
      </w:tr>
      <w:tr>
        <w:trPr>
          <w:trHeight w:val="254"/>
        </w:trPr>
        <w:tc>
          <w:tcPr>
            <w:tcW w:w="8200" w:type="dxa"/>
            <w:vAlign w:val="bottom"/>
          </w:tcPr>
          <w:p>
            <w:pPr>
              <w:ind w:left="20"/>
              <w:spacing w:after="0"/>
              <w:rPr>
                <w:sz w:val="20"/>
                <w:szCs w:val="20"/>
                <w:color w:val="auto"/>
              </w:rPr>
            </w:pPr>
            <w:r>
              <w:rPr>
                <w:rFonts w:ascii="Arial" w:cs="Arial" w:eastAsia="Arial" w:hAnsi="Arial"/>
                <w:sz w:val="17"/>
                <w:szCs w:val="17"/>
                <w:b w:val="1"/>
                <w:bCs w:val="1"/>
                <w:color w:val="auto"/>
              </w:rPr>
              <w:t>Cash and cash equivalents, end of period</w:t>
            </w:r>
          </w:p>
        </w:tc>
        <w:tc>
          <w:tcPr>
            <w:tcW w:w="34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83,496</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59,361</w:t>
            </w:r>
          </w:p>
        </w:tc>
      </w:tr>
      <w:tr>
        <w:trPr>
          <w:trHeight w:val="20"/>
        </w:trPr>
        <w:tc>
          <w:tcPr>
            <w:tcW w:w="8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10"/>
        </w:trPr>
        <w:tc>
          <w:tcPr>
            <w:tcW w:w="82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r>
    </w:tbl>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92075</wp:posOffset>
            </wp:positionV>
            <wp:extent cx="716216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 Basis of Presentation</w:t>
      </w:r>
    </w:p>
    <w:p>
      <w:pPr>
        <w:spacing w:after="0" w:line="190"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The unaudited interim Consolidated Financial Statements of Proto Labs, Inc. (Protolabs, the Company, we, us or our) have been prepared in accordance with accounting principles generally accepted in the United States of America (U.S. GAAP) for interim financial information and with the instructions to Form 10-Q and Article 10 of Regulation S-X</w:t>
      </w:r>
      <w:r>
        <w:rPr>
          <w:rFonts w:ascii="Arial" w:cs="Arial" w:eastAsia="Arial" w:hAnsi="Arial"/>
          <w:sz w:val="17"/>
          <w:szCs w:val="17"/>
          <w:i w:val="1"/>
          <w:iCs w:val="1"/>
          <w:color w:val="auto"/>
        </w:rPr>
        <w:t>.</w:t>
      </w:r>
      <w:r>
        <w:rPr>
          <w:rFonts w:ascii="Arial" w:cs="Arial" w:eastAsia="Arial" w:hAnsi="Arial"/>
          <w:sz w:val="17"/>
          <w:szCs w:val="17"/>
          <w:color w:val="auto"/>
        </w:rPr>
        <w:t xml:space="preserve"> In the opinion of management, the accompanying financial statements reflect all adjustments necessary for a fair presentation of the Company’s statements of financial position, results of operations and cash flows for the periods presented. Except as otherwise disclosed herein, these adjustments consist of normal, recurring items. Operating results for interim periods are not necessarily indicative of results that may be expected for the fiscal year as a whole.</w:t>
      </w:r>
    </w:p>
    <w:p>
      <w:pPr>
        <w:spacing w:after="0" w:line="152"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The preparation of the financial statements in conformity with U.S. GAAP requires management to make estimates and assumptions that affect the reported amounts of assets, liabilities, revenues, expenses, and the related disclosures at the date of the financial statements and during the reporting period. Actual results could materially differ from these estimates. For further information, refer to the audited Consolidated Financial Statements and Notes thereto included in the Company’s Annual Report on Form 10-K for the year ended December 31, 2022, as filed with the Securities and Exchange Commission (SEC) on February 21, 2023</w:t>
      </w:r>
      <w:r>
        <w:rPr>
          <w:rFonts w:ascii="Arial" w:cs="Arial" w:eastAsia="Arial" w:hAnsi="Arial"/>
          <w:sz w:val="17"/>
          <w:szCs w:val="17"/>
          <w:i w:val="1"/>
          <w:iCs w:val="1"/>
          <w:color w:val="auto"/>
        </w:rPr>
        <w:t>.</w:t>
      </w:r>
    </w:p>
    <w:p>
      <w:pPr>
        <w:spacing w:after="0" w:line="140"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The accompanying Consolidated Balance Sheet as of December 31, 2022 was derived from the audited Consolidated Financial Statements but does not include all disclosures required by U.S. GAAP for a full set of financial statements. This Quarterly Report on Form 10-Q should be read in conjunction with the Company’s Consolidated Financial Statements and Notes included in the Company's Annual Report on Form 10-K filed on February 21, 2023 as referenced above.</w:t>
      </w: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 Recent Accounting Pronouncements</w:t>
      </w:r>
    </w:p>
    <w:p>
      <w:pPr>
        <w:spacing w:after="0" w:line="190" w:lineRule="exact"/>
        <w:rPr>
          <w:sz w:val="20"/>
          <w:szCs w:val="20"/>
          <w:color w:val="auto"/>
        </w:rPr>
      </w:pPr>
    </w:p>
    <w:p>
      <w:pPr>
        <w:spacing w:after="0" w:line="321" w:lineRule="auto"/>
        <w:rPr>
          <w:sz w:val="20"/>
          <w:szCs w:val="20"/>
          <w:color w:val="auto"/>
        </w:rPr>
      </w:pPr>
      <w:r>
        <w:rPr>
          <w:rFonts w:ascii="Arial" w:cs="Arial" w:eastAsia="Arial" w:hAnsi="Arial"/>
          <w:sz w:val="16"/>
          <w:szCs w:val="16"/>
          <w:color w:val="auto"/>
        </w:rPr>
        <w:t>The Company did not recently adopt any accounting pronouncements that had a material impact on the Company's Consolidated Financial Statements. There are no pending accounting pronouncements that are expected to have a material impact on the Company's Consolidated Financial Statements.</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 Net Income per Common Share</w:t>
      </w:r>
    </w:p>
    <w:p>
      <w:pPr>
        <w:spacing w:after="0" w:line="190"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Basic net income per share is computed based on the weighted-average number of common shares outstanding. Diluted net income per share is computed based on the weighted-average number of common shares outstanding, increased by the number of additional shares that would have been outstanding had potentially dilutive common shares been issued and reduced by the number of shares the Company could have repurchased from the proceeds from issuance of the potentially dilutive shares. Potentially dilutive shares of common stock include stock options and other stock-based awards granted under stock-based compensation plans and shares committed to be purchased under the employee stock purchase plan. Performance stock units are excluded from the calculation of dilutive potential common shares until the performance conditions have been satisfied. Anti-dilutive options were excluded from the calculation of diluted weighted average shares outstanding and were 393,592 and 210,443 for the three months ended September 30, 2023 and 2022</w:t>
      </w:r>
      <w:r>
        <w:rPr>
          <w:rFonts w:ascii="Arial" w:cs="Arial" w:eastAsia="Arial" w:hAnsi="Arial"/>
          <w:sz w:val="16"/>
          <w:szCs w:val="16"/>
          <w:i w:val="1"/>
          <w:iCs w:val="1"/>
          <w:color w:val="auto"/>
        </w:rPr>
        <w:t>,</w:t>
      </w:r>
      <w:r>
        <w:rPr>
          <w:rFonts w:ascii="Arial" w:cs="Arial" w:eastAsia="Arial" w:hAnsi="Arial"/>
          <w:sz w:val="16"/>
          <w:szCs w:val="16"/>
          <w:color w:val="auto"/>
        </w:rPr>
        <w:t xml:space="preserve"> respectively, and 372,353 and 202,901 for the nine months ended September 30, 2023 and 2022, respectively.</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8" w:name="page9"/>
    <w:bookmarkEnd w:id="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sets forth the computation of basic and diluted net (loss) income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71367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20" w:type="dxa"/>
            <w:vAlign w:val="bottom"/>
            <w:gridSpan w:val="5"/>
          </w:tcPr>
          <w:p>
            <w:pPr>
              <w:ind w:left="400"/>
              <w:spacing w:after="0"/>
              <w:rPr>
                <w:sz w:val="20"/>
                <w:szCs w:val="20"/>
                <w:color w:val="auto"/>
              </w:rPr>
            </w:pPr>
            <w:r>
              <w:rPr>
                <w:rFonts w:ascii="Arial" w:cs="Arial" w:eastAsia="Arial" w:hAnsi="Arial"/>
                <w:sz w:val="17"/>
                <w:szCs w:val="17"/>
                <w:b w:val="1"/>
                <w:bCs w:val="1"/>
                <w:color w:val="auto"/>
              </w:rPr>
              <w:t>Three Months Ended</w:t>
            </w:r>
          </w:p>
        </w:tc>
        <w:tc>
          <w:tcPr>
            <w:tcW w:w="340" w:type="dxa"/>
            <w:vAlign w:val="bottom"/>
          </w:tcPr>
          <w:p>
            <w:pPr>
              <w:spacing w:after="0"/>
              <w:rPr>
                <w:sz w:val="17"/>
                <w:szCs w:val="17"/>
                <w:color w:val="auto"/>
              </w:rPr>
            </w:pPr>
          </w:p>
        </w:tc>
        <w:tc>
          <w:tcPr>
            <w:tcW w:w="2700" w:type="dxa"/>
            <w:vAlign w:val="bottom"/>
            <w:gridSpan w:val="4"/>
          </w:tcPr>
          <w:p>
            <w:pPr>
              <w:jc w:val="right"/>
              <w:ind w:right="693"/>
              <w:spacing w:after="0"/>
              <w:rPr>
                <w:sz w:val="20"/>
                <w:szCs w:val="20"/>
                <w:color w:val="auto"/>
              </w:rPr>
            </w:pPr>
            <w:r>
              <w:rPr>
                <w:rFonts w:ascii="Arial" w:cs="Arial" w:eastAsia="Arial" w:hAnsi="Arial"/>
                <w:sz w:val="17"/>
                <w:szCs w:val="17"/>
                <w:b w:val="1"/>
                <w:bCs w:val="1"/>
                <w:color w:val="auto"/>
              </w:rPr>
              <w:t>Nine Months Ended</w:t>
            </w:r>
          </w:p>
        </w:tc>
      </w:tr>
      <w:tr>
        <w:trPr>
          <w:trHeight w:val="234"/>
        </w:trPr>
        <w:tc>
          <w:tcPr>
            <w:tcW w:w="50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September 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September 30,</w:t>
            </w:r>
          </w:p>
        </w:tc>
        <w:tc>
          <w:tcPr>
            <w:tcW w:w="940" w:type="dxa"/>
            <w:vAlign w:val="bottom"/>
            <w:tcBorders>
              <w:bottom w:val="single" w:sz="8" w:color="auto"/>
            </w:tcBorders>
          </w:tcPr>
          <w:p>
            <w:pPr>
              <w:spacing w:after="0"/>
              <w:rPr>
                <w:sz w:val="20"/>
                <w:szCs w:val="20"/>
                <w:color w:val="auto"/>
              </w:rPr>
            </w:pPr>
          </w:p>
        </w:tc>
      </w:tr>
      <w:tr>
        <w:trPr>
          <w:trHeight w:val="241"/>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 thousands, except share and per share amounts)</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3"/>
              <w:spacing w:after="0"/>
              <w:rPr>
                <w:sz w:val="20"/>
                <w:szCs w:val="20"/>
                <w:color w:val="auto"/>
              </w:rPr>
            </w:pPr>
            <w:r>
              <w:rPr>
                <w:rFonts w:ascii="Arial" w:cs="Arial" w:eastAsia="Arial" w:hAnsi="Arial"/>
                <w:sz w:val="17"/>
                <w:szCs w:val="17"/>
                <w:b w:val="1"/>
                <w:bCs w:val="1"/>
                <w:color w:val="auto"/>
              </w:rPr>
              <w:t>2023</w:t>
            </w:r>
          </w:p>
        </w:tc>
        <w:tc>
          <w:tcPr>
            <w:tcW w:w="12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73"/>
              <w:spacing w:after="0"/>
              <w:rPr>
                <w:sz w:val="20"/>
                <w:szCs w:val="20"/>
                <w:color w:val="auto"/>
              </w:rPr>
            </w:pPr>
            <w:r>
              <w:rPr>
                <w:rFonts w:ascii="Arial" w:cs="Arial" w:eastAsia="Arial" w:hAnsi="Arial"/>
                <w:sz w:val="17"/>
                <w:szCs w:val="17"/>
                <w:b w:val="1"/>
                <w:bCs w:val="1"/>
                <w:color w:val="auto"/>
                <w:w w:val="95"/>
              </w:rPr>
              <w:t>2022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3"/>
              <w:spacing w:after="0"/>
              <w:rPr>
                <w:sz w:val="20"/>
                <w:szCs w:val="20"/>
                <w:color w:val="auto"/>
              </w:rPr>
            </w:pPr>
            <w:r>
              <w:rPr>
                <w:rFonts w:ascii="Arial" w:cs="Arial" w:eastAsia="Arial" w:hAnsi="Arial"/>
                <w:sz w:val="17"/>
                <w:szCs w:val="17"/>
                <w:b w:val="1"/>
                <w:bCs w:val="1"/>
                <w:color w:val="auto"/>
              </w:rPr>
              <w:t>2023</w:t>
            </w:r>
          </w:p>
        </w:tc>
        <w:tc>
          <w:tcPr>
            <w:tcW w:w="8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73"/>
              <w:spacing w:after="0"/>
              <w:rPr>
                <w:sz w:val="20"/>
                <w:szCs w:val="20"/>
                <w:color w:val="auto"/>
              </w:rPr>
            </w:pPr>
            <w:r>
              <w:rPr>
                <w:rFonts w:ascii="Arial" w:cs="Arial" w:eastAsia="Arial" w:hAnsi="Arial"/>
                <w:sz w:val="17"/>
                <w:szCs w:val="17"/>
                <w:b w:val="1"/>
                <w:bCs w:val="1"/>
                <w:color w:val="auto"/>
                <w:w w:val="95"/>
              </w:rPr>
              <w:t>2022</w:t>
            </w:r>
          </w:p>
        </w:tc>
      </w:tr>
      <w:tr>
        <w:trPr>
          <w:trHeight w:val="248"/>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3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7,954</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33"/>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3,951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10,230</w:t>
            </w: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33"/>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11,603</w:t>
            </w:r>
          </w:p>
        </w:tc>
      </w:tr>
      <w:tr>
        <w:trPr>
          <w:trHeight w:val="261"/>
        </w:trPr>
        <w:tc>
          <w:tcPr>
            <w:tcW w:w="5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48"/>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Basic - weighted-average shares outstanding:</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26,023,830</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27,505,097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26,296,304</w:t>
            </w: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27,512,057</w:t>
            </w:r>
          </w:p>
        </w:tc>
      </w:tr>
      <w:tr>
        <w:trPr>
          <w:trHeight w:val="242"/>
        </w:trPr>
        <w:tc>
          <w:tcPr>
            <w:tcW w:w="5040" w:type="dxa"/>
            <w:vAlign w:val="bottom"/>
          </w:tcPr>
          <w:p>
            <w:pPr>
              <w:ind w:left="20"/>
              <w:spacing w:after="0"/>
              <w:rPr>
                <w:sz w:val="20"/>
                <w:szCs w:val="20"/>
                <w:color w:val="auto"/>
              </w:rPr>
            </w:pPr>
            <w:r>
              <w:rPr>
                <w:rFonts w:ascii="Arial" w:cs="Arial" w:eastAsia="Arial" w:hAnsi="Arial"/>
                <w:sz w:val="17"/>
                <w:szCs w:val="17"/>
                <w:color w:val="auto"/>
              </w:rPr>
              <w:t>Effect of dilutive securities: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48"/>
        </w:trPr>
        <w:tc>
          <w:tcPr>
            <w:tcW w:w="50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Employee stock options and other</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4,626</w:t>
            </w:r>
          </w:p>
        </w:tc>
        <w:tc>
          <w:tcPr>
            <w:tcW w:w="12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3,120</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31,302</w:t>
            </w:r>
          </w:p>
        </w:tc>
        <w:tc>
          <w:tcPr>
            <w:tcW w:w="8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10,677</w:t>
            </w:r>
          </w:p>
        </w:tc>
      </w:tr>
      <w:tr>
        <w:trPr>
          <w:trHeight w:val="248"/>
        </w:trPr>
        <w:tc>
          <w:tcPr>
            <w:tcW w:w="5040" w:type="dxa"/>
            <w:vAlign w:val="bottom"/>
          </w:tcPr>
          <w:p>
            <w:pPr>
              <w:ind w:left="20"/>
              <w:spacing w:after="0"/>
              <w:rPr>
                <w:sz w:val="20"/>
                <w:szCs w:val="20"/>
                <w:color w:val="auto"/>
              </w:rPr>
            </w:pPr>
            <w:r>
              <w:rPr>
                <w:rFonts w:ascii="Arial" w:cs="Arial" w:eastAsia="Arial" w:hAnsi="Arial"/>
                <w:sz w:val="17"/>
                <w:szCs w:val="17"/>
                <w:color w:val="auto"/>
              </w:rPr>
              <w:t>Diluted - weighted-average shares outstanding:</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26,028,456</w:t>
            </w:r>
          </w:p>
        </w:tc>
        <w:tc>
          <w:tcPr>
            <w:tcW w:w="12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27,508,217</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26,327,606</w:t>
            </w:r>
          </w:p>
        </w:tc>
        <w:tc>
          <w:tcPr>
            <w:tcW w:w="8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27,522,734</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14"/>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 income per share: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48"/>
        </w:trPr>
        <w:tc>
          <w:tcPr>
            <w:tcW w:w="5040" w:type="dxa"/>
            <w:vAlign w:val="bottom"/>
          </w:tcPr>
          <w:p>
            <w:pPr>
              <w:ind w:left="340"/>
              <w:spacing w:after="0"/>
              <w:rPr>
                <w:sz w:val="20"/>
                <w:szCs w:val="20"/>
                <w:color w:val="auto"/>
              </w:rPr>
            </w:pPr>
            <w:r>
              <w:rPr>
                <w:rFonts w:ascii="Arial" w:cs="Arial" w:eastAsia="Arial" w:hAnsi="Arial"/>
                <w:sz w:val="17"/>
                <w:szCs w:val="17"/>
                <w:color w:val="auto"/>
              </w:rPr>
              <w:t>Basic</w:t>
            </w:r>
          </w:p>
        </w:tc>
        <w:tc>
          <w:tcPr>
            <w:tcW w:w="3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0.31</w:t>
            </w:r>
          </w:p>
        </w:tc>
        <w:tc>
          <w:tcPr>
            <w:tcW w:w="120" w:type="dxa"/>
            <w:vAlign w:val="bottom"/>
          </w:tcPr>
          <w:p>
            <w:pPr>
              <w:spacing w:after="0"/>
              <w:rPr>
                <w:sz w:val="21"/>
                <w:szCs w:val="21"/>
                <w:color w:val="auto"/>
              </w:rPr>
            </w:pPr>
          </w:p>
        </w:tc>
        <w:tc>
          <w:tcPr>
            <w:tcW w:w="52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0.14</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0.39</w:t>
            </w:r>
          </w:p>
        </w:tc>
        <w:tc>
          <w:tcPr>
            <w:tcW w:w="80" w:type="dxa"/>
            <w:vAlign w:val="bottom"/>
          </w:tcPr>
          <w:p>
            <w:pPr>
              <w:spacing w:after="0"/>
              <w:rPr>
                <w:sz w:val="21"/>
                <w:szCs w:val="21"/>
                <w:color w:val="auto"/>
              </w:rPr>
            </w:pPr>
          </w:p>
        </w:tc>
        <w:tc>
          <w:tcPr>
            <w:tcW w:w="54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0.42</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66"/>
        </w:trPr>
        <w:tc>
          <w:tcPr>
            <w:tcW w:w="5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Diluted</w:t>
            </w: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0.31</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33"/>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0.39</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3"/>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0.42</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08"/>
        </w:trPr>
        <w:tc>
          <w:tcPr>
            <w:tcW w:w="50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bl>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 Goodwill and Other Intangible Assets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There were no changes in the carrying amount of goodwill during the three and nine months ended September 30, 2023.</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Intangible assets other than goodwill at September 30, 2023 and December 31, 2022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7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86"/>
              </w:rPr>
              <w:t>Weighted</w:t>
            </w:r>
          </w:p>
        </w:tc>
        <w:tc>
          <w:tcPr>
            <w:tcW w:w="0" w:type="dxa"/>
            <w:vAlign w:val="bottom"/>
          </w:tcPr>
          <w:p>
            <w:pPr>
              <w:spacing w:after="0"/>
              <w:rPr>
                <w:sz w:val="1"/>
                <w:szCs w:val="1"/>
                <w:color w:val="auto"/>
              </w:rPr>
            </w:pPr>
          </w:p>
        </w:tc>
      </w:tr>
      <w:tr>
        <w:trPr>
          <w:trHeight w:val="170"/>
        </w:trPr>
        <w:tc>
          <w:tcPr>
            <w:tcW w:w="1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w w:val="93"/>
              </w:rPr>
              <w:t>September 30, 2023</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3"/>
            <w:vMerge w:val="restart"/>
          </w:tcPr>
          <w:p>
            <w:pPr>
              <w:jc w:val="center"/>
              <w:ind w:right="80"/>
              <w:spacing w:after="0"/>
              <w:rPr>
                <w:sz w:val="20"/>
                <w:szCs w:val="20"/>
                <w:color w:val="auto"/>
              </w:rPr>
            </w:pPr>
            <w:r>
              <w:rPr>
                <w:rFonts w:ascii="Arial" w:cs="Arial" w:eastAsia="Arial" w:hAnsi="Arial"/>
                <w:sz w:val="16"/>
                <w:szCs w:val="16"/>
                <w:b w:val="1"/>
                <w:bCs w:val="1"/>
                <w:color w:val="auto"/>
                <w:w w:val="88"/>
              </w:rPr>
              <w:t>December 31, 2022</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center"/>
              <w:spacing w:after="0" w:line="170" w:lineRule="exact"/>
              <w:rPr>
                <w:sz w:val="20"/>
                <w:szCs w:val="20"/>
                <w:color w:val="auto"/>
              </w:rPr>
            </w:pPr>
            <w:r>
              <w:rPr>
                <w:rFonts w:ascii="Arial" w:cs="Arial" w:eastAsia="Arial" w:hAnsi="Arial"/>
                <w:sz w:val="16"/>
                <w:szCs w:val="16"/>
                <w:b w:val="1"/>
                <w:bCs w:val="1"/>
                <w:color w:val="auto"/>
                <w:w w:val="85"/>
              </w:rPr>
              <w:t>Average</w:t>
            </w:r>
          </w:p>
        </w:tc>
        <w:tc>
          <w:tcPr>
            <w:tcW w:w="0" w:type="dxa"/>
            <w:vAlign w:val="bottom"/>
          </w:tcPr>
          <w:p>
            <w:pPr>
              <w:spacing w:after="0"/>
              <w:rPr>
                <w:sz w:val="1"/>
                <w:szCs w:val="1"/>
                <w:color w:val="auto"/>
              </w:rPr>
            </w:pPr>
          </w:p>
        </w:tc>
      </w:tr>
      <w:tr>
        <w:trPr>
          <w:trHeight w:val="125"/>
        </w:trPr>
        <w:tc>
          <w:tcPr>
            <w:tcW w:w="1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vMerge w:val="restart"/>
          </w:tcPr>
          <w:p>
            <w:pPr>
              <w:jc w:val="center"/>
              <w:spacing w:after="0" w:line="138" w:lineRule="exact"/>
              <w:rPr>
                <w:sz w:val="20"/>
                <w:szCs w:val="20"/>
                <w:color w:val="auto"/>
              </w:rPr>
            </w:pPr>
            <w:r>
              <w:rPr>
                <w:rFonts w:ascii="Arial" w:cs="Arial" w:eastAsia="Arial" w:hAnsi="Arial"/>
                <w:sz w:val="15"/>
                <w:szCs w:val="15"/>
                <w:b w:val="1"/>
                <w:bCs w:val="1"/>
                <w:color w:val="auto"/>
                <w:w w:val="96"/>
              </w:rPr>
              <w:t>Useful Life</w:t>
            </w:r>
          </w:p>
        </w:tc>
        <w:tc>
          <w:tcPr>
            <w:tcW w:w="0" w:type="dxa"/>
            <w:vAlign w:val="bottom"/>
          </w:tcPr>
          <w:p>
            <w:pPr>
              <w:spacing w:after="0"/>
              <w:rPr>
                <w:sz w:val="1"/>
                <w:szCs w:val="1"/>
                <w:color w:val="auto"/>
              </w:rPr>
            </w:pPr>
          </w:p>
        </w:tc>
      </w:tr>
      <w:tr>
        <w:trPr>
          <w:trHeight w:val="32"/>
        </w:trPr>
        <w:tc>
          <w:tcPr>
            <w:tcW w:w="19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1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ind w:left="60"/>
              <w:spacing w:after="0" w:line="175" w:lineRule="exact"/>
              <w:rPr>
                <w:sz w:val="20"/>
                <w:szCs w:val="20"/>
                <w:color w:val="auto"/>
              </w:rPr>
            </w:pPr>
            <w:r>
              <w:rPr>
                <w:rFonts w:ascii="Arial" w:cs="Arial" w:eastAsia="Arial" w:hAnsi="Arial"/>
                <w:sz w:val="16"/>
                <w:szCs w:val="16"/>
                <w:b w:val="1"/>
                <w:bCs w:val="1"/>
                <w:color w:val="auto"/>
              </w:rPr>
              <w:t>Accumulated</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center"/>
              <w:ind w:right="240"/>
              <w:spacing w:after="0" w:line="175" w:lineRule="exact"/>
              <w:rPr>
                <w:sz w:val="20"/>
                <w:szCs w:val="20"/>
                <w:color w:val="auto"/>
              </w:rPr>
            </w:pPr>
            <w:r>
              <w:rPr>
                <w:rFonts w:ascii="Arial" w:cs="Arial" w:eastAsia="Arial" w:hAnsi="Arial"/>
                <w:sz w:val="16"/>
                <w:szCs w:val="16"/>
                <w:b w:val="1"/>
                <w:bCs w:val="1"/>
                <w:color w:val="auto"/>
                <w:w w:val="87"/>
              </w:rPr>
              <w:t>Accumulated</w:t>
            </w: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100"/>
              <w:spacing w:after="0" w:line="175" w:lineRule="exact"/>
              <w:rPr>
                <w:sz w:val="20"/>
                <w:szCs w:val="20"/>
                <w:color w:val="auto"/>
              </w:rPr>
            </w:pPr>
            <w:r>
              <w:rPr>
                <w:rFonts w:ascii="Arial" w:cs="Arial" w:eastAsia="Arial" w:hAnsi="Arial"/>
                <w:sz w:val="16"/>
                <w:szCs w:val="16"/>
                <w:b w:val="1"/>
                <w:bCs w:val="1"/>
                <w:color w:val="auto"/>
                <w:w w:val="89"/>
              </w:rPr>
              <w:t>Useful</w:t>
            </w:r>
          </w:p>
        </w:tc>
        <w:tc>
          <w:tcPr>
            <w:tcW w:w="122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90"/>
              </w:rPr>
              <w:t>Remaining</w:t>
            </w:r>
          </w:p>
        </w:tc>
        <w:tc>
          <w:tcPr>
            <w:tcW w:w="0" w:type="dxa"/>
            <w:vAlign w:val="bottom"/>
          </w:tcPr>
          <w:p>
            <w:pPr>
              <w:spacing w:after="0"/>
              <w:rPr>
                <w:sz w:val="1"/>
                <w:szCs w:val="1"/>
                <w:color w:val="auto"/>
              </w:rPr>
            </w:pPr>
          </w:p>
        </w:tc>
      </w:tr>
      <w:tr>
        <w:trPr>
          <w:trHeight w:val="229"/>
        </w:trPr>
        <w:tc>
          <w:tcPr>
            <w:tcW w:w="198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8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6"/>
                <w:szCs w:val="16"/>
                <w:b w:val="1"/>
                <w:bCs w:val="1"/>
                <w:color w:val="auto"/>
              </w:rPr>
              <w:t>Gross</w:t>
            </w:r>
          </w:p>
        </w:tc>
        <w:tc>
          <w:tcPr>
            <w:tcW w:w="160" w:type="dxa"/>
            <w:vAlign w:val="bottom"/>
          </w:tcPr>
          <w:p>
            <w:pPr>
              <w:spacing w:after="0"/>
              <w:rPr>
                <w:sz w:val="19"/>
                <w:szCs w:val="19"/>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200" w:type="dxa"/>
            <w:vAlign w:val="bottom"/>
          </w:tcPr>
          <w:p>
            <w:pPr>
              <w:spacing w:after="0"/>
              <w:rPr>
                <w:sz w:val="19"/>
                <w:szCs w:val="19"/>
                <w:color w:val="auto"/>
              </w:rPr>
            </w:pPr>
          </w:p>
        </w:tc>
        <w:tc>
          <w:tcPr>
            <w:tcW w:w="780" w:type="dxa"/>
            <w:vAlign w:val="bottom"/>
            <w:gridSpan w:val="2"/>
          </w:tcPr>
          <w:p>
            <w:pPr>
              <w:ind w:left="120"/>
              <w:spacing w:after="0"/>
              <w:rPr>
                <w:sz w:val="20"/>
                <w:szCs w:val="20"/>
                <w:color w:val="auto"/>
              </w:rPr>
            </w:pPr>
            <w:r>
              <w:rPr>
                <w:rFonts w:ascii="Arial" w:cs="Arial" w:eastAsia="Arial" w:hAnsi="Arial"/>
                <w:sz w:val="16"/>
                <w:szCs w:val="16"/>
                <w:b w:val="1"/>
                <w:bCs w:val="1"/>
                <w:color w:val="auto"/>
              </w:rPr>
              <w:t>Net</w:t>
            </w:r>
          </w:p>
        </w:tc>
        <w:tc>
          <w:tcPr>
            <w:tcW w:w="180" w:type="dxa"/>
            <w:vAlign w:val="bottom"/>
          </w:tcPr>
          <w:p>
            <w:pPr>
              <w:spacing w:after="0"/>
              <w:rPr>
                <w:sz w:val="19"/>
                <w:szCs w:val="19"/>
                <w:color w:val="auto"/>
              </w:rPr>
            </w:pPr>
          </w:p>
        </w:tc>
        <w:tc>
          <w:tcPr>
            <w:tcW w:w="800" w:type="dxa"/>
            <w:vAlign w:val="bottom"/>
            <w:gridSpan w:val="2"/>
          </w:tcPr>
          <w:p>
            <w:pPr>
              <w:ind w:left="80"/>
              <w:spacing w:after="0"/>
              <w:rPr>
                <w:sz w:val="20"/>
                <w:szCs w:val="20"/>
                <w:color w:val="auto"/>
              </w:rPr>
            </w:pPr>
            <w:r>
              <w:rPr>
                <w:rFonts w:ascii="Arial" w:cs="Arial" w:eastAsia="Arial" w:hAnsi="Arial"/>
                <w:sz w:val="16"/>
                <w:szCs w:val="16"/>
                <w:b w:val="1"/>
                <w:bCs w:val="1"/>
                <w:color w:val="auto"/>
              </w:rPr>
              <w:t>Gross</w:t>
            </w:r>
          </w:p>
        </w:tc>
        <w:tc>
          <w:tcPr>
            <w:tcW w:w="160" w:type="dxa"/>
            <w:vAlign w:val="bottom"/>
          </w:tcPr>
          <w:p>
            <w:pPr>
              <w:spacing w:after="0"/>
              <w:rPr>
                <w:sz w:val="19"/>
                <w:szCs w:val="19"/>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Amortization</w:t>
            </w:r>
          </w:p>
        </w:tc>
        <w:tc>
          <w:tcPr>
            <w:tcW w:w="220" w:type="dxa"/>
            <w:vAlign w:val="bottom"/>
          </w:tcPr>
          <w:p>
            <w:pPr>
              <w:spacing w:after="0"/>
              <w:rPr>
                <w:sz w:val="19"/>
                <w:szCs w:val="19"/>
                <w:color w:val="auto"/>
              </w:rPr>
            </w:pPr>
          </w:p>
        </w:tc>
        <w:tc>
          <w:tcPr>
            <w:tcW w:w="680" w:type="dxa"/>
            <w:vAlign w:val="bottom"/>
          </w:tcPr>
          <w:p>
            <w:pPr>
              <w:jc w:val="right"/>
              <w:ind w:right="242"/>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19"/>
                <w:szCs w:val="19"/>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0"/>
              </w:rPr>
              <w:t>Life (in years)</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87"/>
              </w:rPr>
              <w:t>(in years)</w:t>
            </w:r>
          </w:p>
        </w:tc>
        <w:tc>
          <w:tcPr>
            <w:tcW w:w="0" w:type="dxa"/>
            <w:vAlign w:val="bottom"/>
          </w:tcPr>
          <w:p>
            <w:pPr>
              <w:spacing w:after="0"/>
              <w:rPr>
                <w:sz w:val="1"/>
                <w:szCs w:val="1"/>
                <w:color w:val="auto"/>
              </w:rPr>
            </w:pPr>
          </w:p>
        </w:tc>
      </w:tr>
      <w:tr>
        <w:trPr>
          <w:trHeight w:val="173"/>
        </w:trPr>
        <w:tc>
          <w:tcPr>
            <w:tcW w:w="1980" w:type="dxa"/>
            <w:vAlign w:val="bottom"/>
            <w:tcBorders>
              <w:top w:val="single" w:sz="8" w:color="CCEEFF"/>
            </w:tcBorders>
            <w:shd w:val="clear" w:color="auto" w:fill="CCEEFF"/>
          </w:tcPr>
          <w:p>
            <w:pPr>
              <w:ind w:left="20"/>
              <w:spacing w:after="0" w:line="173" w:lineRule="exact"/>
              <w:rPr>
                <w:sz w:val="20"/>
                <w:szCs w:val="20"/>
                <w:color w:val="auto"/>
              </w:rPr>
            </w:pPr>
            <w:r>
              <w:rPr>
                <w:rFonts w:ascii="Arial" w:cs="Arial" w:eastAsia="Arial" w:hAnsi="Arial"/>
                <w:sz w:val="16"/>
                <w:szCs w:val="16"/>
                <w:color w:val="auto"/>
              </w:rPr>
              <w:t>Intangible assets with finite</w:t>
            </w:r>
          </w:p>
        </w:tc>
        <w:tc>
          <w:tcPr>
            <w:tcW w:w="1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1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lives:</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980" w:type="dxa"/>
            <w:vAlign w:val="bottom"/>
          </w:tcPr>
          <w:p>
            <w:pPr>
              <w:ind w:left="20"/>
              <w:spacing w:after="0"/>
              <w:rPr>
                <w:sz w:val="20"/>
                <w:szCs w:val="20"/>
                <w:color w:val="auto"/>
              </w:rPr>
            </w:pPr>
            <w:r>
              <w:rPr>
                <w:rFonts w:ascii="Arial" w:cs="Arial" w:eastAsia="Arial" w:hAnsi="Arial"/>
                <w:sz w:val="16"/>
                <w:szCs w:val="16"/>
                <w:color w:val="auto"/>
              </w:rPr>
              <w:t>Marketing assets</w:t>
            </w: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930</w:t>
            </w:r>
          </w:p>
        </w:tc>
        <w:tc>
          <w:tcPr>
            <w:tcW w:w="10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(876)</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7"/>
                <w:szCs w:val="17"/>
                <w:color w:val="auto"/>
              </w:rPr>
            </w:pP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930</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(806)</w:t>
            </w:r>
          </w:p>
        </w:tc>
        <w:tc>
          <w:tcPr>
            <w:tcW w:w="8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124</w:t>
            </w:r>
          </w:p>
        </w:tc>
        <w:tc>
          <w:tcPr>
            <w:tcW w:w="1220" w:type="dxa"/>
            <w:vAlign w:val="bottom"/>
            <w:gridSpan w:val="2"/>
          </w:tcPr>
          <w:p>
            <w:pPr>
              <w:jc w:val="center"/>
              <w:ind w:left="22"/>
              <w:spacing w:after="0"/>
              <w:rPr>
                <w:sz w:val="20"/>
                <w:szCs w:val="20"/>
                <w:color w:val="auto"/>
              </w:rPr>
            </w:pPr>
            <w:r>
              <w:rPr>
                <w:rFonts w:ascii="Arial" w:cs="Arial" w:eastAsia="Arial" w:hAnsi="Arial"/>
                <w:sz w:val="16"/>
                <w:szCs w:val="16"/>
                <w:color w:val="auto"/>
                <w:w w:val="89"/>
              </w:rPr>
              <w:t>10.0</w:t>
            </w:r>
          </w:p>
        </w:tc>
        <w:tc>
          <w:tcPr>
            <w:tcW w:w="10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80"/>
              </w:rPr>
              <w:t>0.6</w:t>
            </w:r>
          </w:p>
        </w:tc>
        <w:tc>
          <w:tcPr>
            <w:tcW w:w="0" w:type="dxa"/>
            <w:vAlign w:val="bottom"/>
          </w:tcPr>
          <w:p>
            <w:pPr>
              <w:spacing w:after="0"/>
              <w:rPr>
                <w:sz w:val="1"/>
                <w:szCs w:val="1"/>
                <w:color w:val="auto"/>
              </w:rPr>
            </w:pPr>
          </w:p>
        </w:tc>
      </w:tr>
      <w:tr>
        <w:trPr>
          <w:trHeight w:val="32"/>
        </w:trPr>
        <w:tc>
          <w:tcPr>
            <w:tcW w:w="1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1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Non-compete agreement</w:t>
            </w: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828</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(487)</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341</w:t>
            </w:r>
          </w:p>
        </w:tc>
        <w:tc>
          <w:tcPr>
            <w:tcW w:w="1220" w:type="dxa"/>
            <w:vAlign w:val="bottom"/>
            <w:tcBorders>
              <w:bottom w:val="single" w:sz="8" w:color="CCEEFF"/>
            </w:tcBorders>
            <w:gridSpan w:val="2"/>
            <w:shd w:val="clear" w:color="auto" w:fill="CCEEFF"/>
          </w:tcPr>
          <w:p>
            <w:pPr>
              <w:jc w:val="center"/>
              <w:ind w:left="22"/>
              <w:spacing w:after="0"/>
              <w:rPr>
                <w:sz w:val="20"/>
                <w:szCs w:val="20"/>
                <w:color w:val="auto"/>
              </w:rPr>
            </w:pPr>
            <w:r>
              <w:rPr>
                <w:rFonts w:ascii="Arial" w:cs="Arial" w:eastAsia="Arial" w:hAnsi="Arial"/>
                <w:sz w:val="16"/>
                <w:szCs w:val="16"/>
                <w:color w:val="auto"/>
                <w:w w:val="88"/>
              </w:rPr>
              <w:t>2.0 - 5.0</w:t>
            </w: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0"/>
              </w:rPr>
              <w:t>1.6</w:t>
            </w:r>
          </w:p>
        </w:tc>
        <w:tc>
          <w:tcPr>
            <w:tcW w:w="0" w:type="dxa"/>
            <w:vAlign w:val="bottom"/>
          </w:tcPr>
          <w:p>
            <w:pPr>
              <w:spacing w:after="0"/>
              <w:rPr>
                <w:sz w:val="1"/>
                <w:szCs w:val="1"/>
                <w:color w:val="auto"/>
              </w:rPr>
            </w:pPr>
          </w:p>
        </w:tc>
      </w:tr>
      <w:tr>
        <w:trPr>
          <w:trHeight w:val="203"/>
        </w:trPr>
        <w:tc>
          <w:tcPr>
            <w:tcW w:w="1980" w:type="dxa"/>
            <w:vAlign w:val="bottom"/>
          </w:tcPr>
          <w:p>
            <w:pPr>
              <w:ind w:left="20"/>
              <w:spacing w:after="0"/>
              <w:rPr>
                <w:sz w:val="20"/>
                <w:szCs w:val="20"/>
                <w:color w:val="auto"/>
              </w:rPr>
            </w:pPr>
            <w:r>
              <w:rPr>
                <w:rFonts w:ascii="Arial" w:cs="Arial" w:eastAsia="Arial" w:hAnsi="Arial"/>
                <w:sz w:val="16"/>
                <w:szCs w:val="16"/>
                <w:color w:val="auto"/>
              </w:rPr>
              <w:t>Software technology</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13,229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(7,410)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5,819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13,229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(6,383)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6,846</w:t>
            </w:r>
          </w:p>
        </w:tc>
        <w:tc>
          <w:tcPr>
            <w:tcW w:w="1220" w:type="dxa"/>
            <w:vAlign w:val="bottom"/>
            <w:gridSpan w:val="2"/>
          </w:tcPr>
          <w:p>
            <w:pPr>
              <w:jc w:val="center"/>
              <w:ind w:left="22"/>
              <w:spacing w:after="0"/>
              <w:rPr>
                <w:sz w:val="20"/>
                <w:szCs w:val="20"/>
                <w:color w:val="auto"/>
              </w:rPr>
            </w:pPr>
            <w:r>
              <w:rPr>
                <w:rFonts w:ascii="Arial" w:cs="Arial" w:eastAsia="Arial" w:hAnsi="Arial"/>
                <w:sz w:val="16"/>
                <w:szCs w:val="16"/>
                <w:color w:val="auto"/>
                <w:w w:val="89"/>
              </w:rPr>
              <w:t>10.0</w:t>
            </w:r>
          </w:p>
        </w:tc>
        <w:tc>
          <w:tcPr>
            <w:tcW w:w="10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80"/>
              </w:rPr>
              <w:t>4.3</w:t>
            </w:r>
          </w:p>
        </w:tc>
        <w:tc>
          <w:tcPr>
            <w:tcW w:w="0" w:type="dxa"/>
            <w:vAlign w:val="bottom"/>
          </w:tcPr>
          <w:p>
            <w:pPr>
              <w:spacing w:after="0"/>
              <w:rPr>
                <w:sz w:val="1"/>
                <w:szCs w:val="1"/>
                <w:color w:val="auto"/>
              </w:rPr>
            </w:pPr>
          </w:p>
        </w:tc>
      </w:tr>
      <w:tr>
        <w:trPr>
          <w:trHeight w:val="32"/>
        </w:trPr>
        <w:tc>
          <w:tcPr>
            <w:tcW w:w="1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1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Software platform</w:t>
            </w: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25,902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(5,928)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19,974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26,054</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(4,337)</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21,717</w:t>
            </w:r>
          </w:p>
        </w:tc>
        <w:tc>
          <w:tcPr>
            <w:tcW w:w="1220" w:type="dxa"/>
            <w:vAlign w:val="bottom"/>
            <w:tcBorders>
              <w:bottom w:val="single" w:sz="8" w:color="CCEEFF"/>
            </w:tcBorders>
            <w:gridSpan w:val="2"/>
            <w:shd w:val="clear" w:color="auto" w:fill="CCEEFF"/>
          </w:tcPr>
          <w:p>
            <w:pPr>
              <w:jc w:val="center"/>
              <w:ind w:left="22"/>
              <w:spacing w:after="0"/>
              <w:rPr>
                <w:sz w:val="20"/>
                <w:szCs w:val="20"/>
                <w:color w:val="auto"/>
              </w:rPr>
            </w:pPr>
            <w:r>
              <w:rPr>
                <w:rFonts w:ascii="Arial" w:cs="Arial" w:eastAsia="Arial" w:hAnsi="Arial"/>
                <w:sz w:val="16"/>
                <w:szCs w:val="16"/>
                <w:color w:val="auto"/>
                <w:w w:val="89"/>
              </w:rPr>
              <w:t>12.0</w:t>
            </w: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0"/>
              </w:rPr>
              <w:t>9.3</w:t>
            </w:r>
          </w:p>
        </w:tc>
        <w:tc>
          <w:tcPr>
            <w:tcW w:w="0" w:type="dxa"/>
            <w:vAlign w:val="bottom"/>
          </w:tcPr>
          <w:p>
            <w:pPr>
              <w:spacing w:after="0"/>
              <w:rPr>
                <w:sz w:val="1"/>
                <w:szCs w:val="1"/>
                <w:color w:val="auto"/>
              </w:rPr>
            </w:pPr>
          </w:p>
        </w:tc>
      </w:tr>
      <w:tr>
        <w:trPr>
          <w:trHeight w:val="203"/>
        </w:trPr>
        <w:tc>
          <w:tcPr>
            <w:tcW w:w="1980" w:type="dxa"/>
            <w:vAlign w:val="bottom"/>
          </w:tcPr>
          <w:p>
            <w:pPr>
              <w:ind w:left="20"/>
              <w:spacing w:after="0"/>
              <w:rPr>
                <w:sz w:val="20"/>
                <w:szCs w:val="20"/>
                <w:color w:val="auto"/>
              </w:rPr>
            </w:pPr>
            <w:r>
              <w:rPr>
                <w:rFonts w:ascii="Arial" w:cs="Arial" w:eastAsia="Arial" w:hAnsi="Arial"/>
                <w:sz w:val="16"/>
                <w:szCs w:val="16"/>
                <w:color w:val="auto"/>
              </w:rPr>
              <w:t>Tradenames</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348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350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123</w:t>
            </w:r>
          </w:p>
        </w:tc>
        <w:tc>
          <w:tcPr>
            <w:tcW w:w="1220" w:type="dxa"/>
            <w:vAlign w:val="bottom"/>
            <w:gridSpan w:val="2"/>
          </w:tcPr>
          <w:p>
            <w:pPr>
              <w:jc w:val="center"/>
              <w:ind w:left="22"/>
              <w:spacing w:after="0"/>
              <w:rPr>
                <w:sz w:val="20"/>
                <w:szCs w:val="20"/>
                <w:color w:val="auto"/>
              </w:rPr>
            </w:pPr>
            <w:r>
              <w:rPr>
                <w:rFonts w:ascii="Arial" w:cs="Arial" w:eastAsia="Arial" w:hAnsi="Arial"/>
                <w:sz w:val="16"/>
                <w:szCs w:val="16"/>
                <w:color w:val="auto"/>
                <w:w w:val="89"/>
              </w:rPr>
              <w:t>3.0</w:t>
            </w:r>
          </w:p>
        </w:tc>
        <w:tc>
          <w:tcPr>
            <w:tcW w:w="10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80"/>
              </w:rPr>
              <w:t>0.3</w:t>
            </w:r>
          </w:p>
        </w:tc>
        <w:tc>
          <w:tcPr>
            <w:tcW w:w="0" w:type="dxa"/>
            <w:vAlign w:val="bottom"/>
          </w:tcPr>
          <w:p>
            <w:pPr>
              <w:spacing w:after="0"/>
              <w:rPr>
                <w:sz w:val="1"/>
                <w:szCs w:val="1"/>
                <w:color w:val="auto"/>
              </w:rPr>
            </w:pPr>
          </w:p>
        </w:tc>
      </w:tr>
      <w:tr>
        <w:trPr>
          <w:trHeight w:val="32"/>
        </w:trPr>
        <w:tc>
          <w:tcPr>
            <w:tcW w:w="1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1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Customer relationships</w:t>
            </w:r>
          </w:p>
        </w:tc>
        <w:tc>
          <w:tcPr>
            <w:tcW w:w="1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12,185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(11,656)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12,197</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(10,098)</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2,099</w:t>
            </w:r>
          </w:p>
        </w:tc>
        <w:tc>
          <w:tcPr>
            <w:tcW w:w="1220" w:type="dxa"/>
            <w:vAlign w:val="bottom"/>
            <w:tcBorders>
              <w:bottom w:val="single" w:sz="8" w:color="CCEEFF"/>
            </w:tcBorders>
            <w:gridSpan w:val="2"/>
            <w:shd w:val="clear" w:color="auto" w:fill="CCEEFF"/>
          </w:tcPr>
          <w:p>
            <w:pPr>
              <w:jc w:val="center"/>
              <w:ind w:left="22"/>
              <w:spacing w:after="0"/>
              <w:rPr>
                <w:sz w:val="20"/>
                <w:szCs w:val="20"/>
                <w:color w:val="auto"/>
              </w:rPr>
            </w:pPr>
            <w:r>
              <w:rPr>
                <w:rFonts w:ascii="Arial" w:cs="Arial" w:eastAsia="Arial" w:hAnsi="Arial"/>
                <w:sz w:val="16"/>
                <w:szCs w:val="16"/>
                <w:color w:val="auto"/>
                <w:w w:val="88"/>
              </w:rPr>
              <w:t>3.0 - 9.0</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0"/>
              </w:rPr>
              <w:t>0.2</w:t>
            </w:r>
          </w:p>
        </w:tc>
        <w:tc>
          <w:tcPr>
            <w:tcW w:w="0" w:type="dxa"/>
            <w:vAlign w:val="bottom"/>
          </w:tcPr>
          <w:p>
            <w:pPr>
              <w:spacing w:after="0"/>
              <w:rPr>
                <w:sz w:val="1"/>
                <w:szCs w:val="1"/>
                <w:color w:val="auto"/>
              </w:rPr>
            </w:pPr>
          </w:p>
        </w:tc>
      </w:tr>
      <w:tr>
        <w:trPr>
          <w:trHeight w:val="225"/>
        </w:trPr>
        <w:tc>
          <w:tcPr>
            <w:tcW w:w="1980" w:type="dxa"/>
            <w:vAlign w:val="bottom"/>
          </w:tcPr>
          <w:p>
            <w:pPr>
              <w:ind w:left="20"/>
              <w:spacing w:after="0"/>
              <w:rPr>
                <w:sz w:val="20"/>
                <w:szCs w:val="20"/>
                <w:color w:val="auto"/>
              </w:rPr>
            </w:pPr>
            <w:r>
              <w:rPr>
                <w:rFonts w:ascii="Arial" w:cs="Arial" w:eastAsia="Arial" w:hAnsi="Arial"/>
                <w:sz w:val="16"/>
                <w:szCs w:val="16"/>
                <w:color w:val="auto"/>
              </w:rPr>
              <w:t>Total intangible assets</w:t>
            </w:r>
          </w:p>
        </w:tc>
        <w:tc>
          <w:tcPr>
            <w:tcW w:w="1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53,419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(26,751)</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26,668</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53,588</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(22,338)</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31,250</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1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4"/>
        </w:trPr>
        <w:tc>
          <w:tcPr>
            <w:tcW w:w="19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49" w:lineRule="exact"/>
        <w:rPr>
          <w:sz w:val="20"/>
          <w:szCs w:val="20"/>
          <w:color w:val="auto"/>
        </w:rPr>
      </w:pPr>
    </w:p>
    <w:p>
      <w:pPr>
        <w:ind w:right="40"/>
        <w:spacing w:after="0" w:line="307" w:lineRule="auto"/>
        <w:rPr>
          <w:sz w:val="20"/>
          <w:szCs w:val="20"/>
          <w:color w:val="auto"/>
        </w:rPr>
      </w:pPr>
      <w:r>
        <w:rPr>
          <w:rFonts w:ascii="Arial" w:cs="Arial" w:eastAsia="Arial" w:hAnsi="Arial"/>
          <w:sz w:val="15"/>
          <w:szCs w:val="15"/>
          <w:color w:val="auto"/>
        </w:rPr>
        <w:t>Intangible assets allocated to the acquired Hubs entities consisted of intangible assets of €11.6 million in Europe and $16.6 million in the United States as of the date of the acquisition. The Euro denominated intangible assets are translated at the end of each period using the current exchange rates resulting in a foreign currency translation adjustment that is recorded as a component of Other Comprehensive Income. Foreign currency losses related to intangible assets were $1.9 million and $1.7 million as of September 30, 2023 and December 31, 2022, respectively. Amortization expense for intangible assets was $1.5 million for each of the three months ended September 30, 2023 and 2022 and $4.5 million and $4.6 million for the nine months ended September 30, 2023 and 2022, respectively.</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color w:val="auto"/>
        </w:rPr>
        <w:t>Estimated aggregated amortization expense based on the current carrying value of the amortizable intangible assets and current exchange rates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156845</wp:posOffset>
            </wp:positionV>
            <wp:extent cx="71367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3"/>
              <w:spacing w:after="0"/>
              <w:rPr>
                <w:sz w:val="20"/>
                <w:szCs w:val="20"/>
                <w:color w:val="auto"/>
              </w:rPr>
            </w:pPr>
            <w:r>
              <w:rPr>
                <w:rFonts w:ascii="Arial" w:cs="Arial" w:eastAsia="Arial" w:hAnsi="Arial"/>
                <w:sz w:val="17"/>
                <w:szCs w:val="17"/>
                <w:b w:val="1"/>
                <w:bCs w:val="1"/>
                <w:color w:val="auto"/>
                <w:w w:val="93"/>
              </w:rPr>
              <w:t>Estimated</w:t>
            </w:r>
          </w:p>
        </w:tc>
      </w:tr>
      <w:tr>
        <w:trPr>
          <w:trHeight w:val="209"/>
        </w:trPr>
        <w:tc>
          <w:tcPr>
            <w:tcW w:w="9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3"/>
              <w:spacing w:after="0"/>
              <w:rPr>
                <w:sz w:val="20"/>
                <w:szCs w:val="20"/>
                <w:color w:val="auto"/>
              </w:rPr>
            </w:pPr>
            <w:r>
              <w:rPr>
                <w:rFonts w:ascii="Arial" w:cs="Arial" w:eastAsia="Arial" w:hAnsi="Arial"/>
                <w:sz w:val="17"/>
                <w:szCs w:val="17"/>
                <w:b w:val="1"/>
                <w:bCs w:val="1"/>
                <w:color w:val="auto"/>
                <w:w w:val="96"/>
              </w:rPr>
              <w:t>Amortization</w:t>
            </w:r>
          </w:p>
        </w:tc>
      </w:tr>
      <w:tr>
        <w:trPr>
          <w:trHeight w:val="247"/>
        </w:trPr>
        <w:tc>
          <w:tcPr>
            <w:tcW w:w="97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 thousands)</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right="73"/>
              <w:spacing w:after="0"/>
              <w:rPr>
                <w:sz w:val="20"/>
                <w:szCs w:val="20"/>
                <w:color w:val="auto"/>
              </w:rPr>
            </w:pPr>
            <w:r>
              <w:rPr>
                <w:rFonts w:ascii="Arial" w:cs="Arial" w:eastAsia="Arial" w:hAnsi="Arial"/>
                <w:sz w:val="17"/>
                <w:szCs w:val="17"/>
                <w:b w:val="1"/>
                <w:bCs w:val="1"/>
                <w:color w:val="auto"/>
                <w:w w:val="88"/>
              </w:rPr>
              <w:t>Expense</w:t>
            </w:r>
          </w:p>
        </w:tc>
      </w:tr>
      <w:tr>
        <w:trPr>
          <w:trHeight w:val="248"/>
        </w:trPr>
        <w:tc>
          <w:tcPr>
            <w:tcW w:w="9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Remaining 2023</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1,432</w:t>
            </w:r>
          </w:p>
        </w:tc>
      </w:tr>
      <w:tr>
        <w:trPr>
          <w:trHeight w:val="242"/>
        </w:trPr>
        <w:tc>
          <w:tcPr>
            <w:tcW w:w="9760" w:type="dxa"/>
            <w:vAlign w:val="bottom"/>
          </w:tcPr>
          <w:p>
            <w:pPr>
              <w:ind w:left="20"/>
              <w:spacing w:after="0"/>
              <w:rPr>
                <w:sz w:val="20"/>
                <w:szCs w:val="20"/>
                <w:color w:val="auto"/>
              </w:rPr>
            </w:pPr>
            <w:r>
              <w:rPr>
                <w:rFonts w:ascii="Arial" w:cs="Arial" w:eastAsia="Arial" w:hAnsi="Arial"/>
                <w:sz w:val="17"/>
                <w:szCs w:val="17"/>
                <w:color w:val="auto"/>
              </w:rPr>
              <w:t>2024</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3,713</w:t>
            </w:r>
          </w:p>
        </w:tc>
      </w:tr>
      <w:tr>
        <w:trPr>
          <w:trHeight w:val="255"/>
        </w:trPr>
        <w:tc>
          <w:tcPr>
            <w:tcW w:w="9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3,619</w:t>
            </w:r>
          </w:p>
        </w:tc>
      </w:tr>
      <w:tr>
        <w:trPr>
          <w:trHeight w:val="242"/>
        </w:trPr>
        <w:tc>
          <w:tcPr>
            <w:tcW w:w="9760" w:type="dxa"/>
            <w:vAlign w:val="bottom"/>
          </w:tcPr>
          <w:p>
            <w:pPr>
              <w:ind w:left="20"/>
              <w:spacing w:after="0"/>
              <w:rPr>
                <w:sz w:val="20"/>
                <w:szCs w:val="20"/>
                <w:color w:val="auto"/>
              </w:rPr>
            </w:pPr>
            <w:r>
              <w:rPr>
                <w:rFonts w:ascii="Arial" w:cs="Arial" w:eastAsia="Arial" w:hAnsi="Arial"/>
                <w:sz w:val="17"/>
                <w:szCs w:val="17"/>
                <w:color w:val="auto"/>
              </w:rPr>
              <w:t>2026</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3,518</w:t>
            </w:r>
          </w:p>
        </w:tc>
      </w:tr>
      <w:tr>
        <w:trPr>
          <w:trHeight w:val="255"/>
        </w:trPr>
        <w:tc>
          <w:tcPr>
            <w:tcW w:w="9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2027</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3,509</w:t>
            </w:r>
          </w:p>
        </w:tc>
      </w:tr>
      <w:tr>
        <w:trPr>
          <w:trHeight w:val="242"/>
        </w:trPr>
        <w:tc>
          <w:tcPr>
            <w:tcW w:w="97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10,877</w:t>
            </w:r>
          </w:p>
        </w:tc>
      </w:tr>
      <w:tr>
        <w:trPr>
          <w:trHeight w:val="273"/>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estimated amortization expense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26,668</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103"/>
        </w:trPr>
        <w:tc>
          <w:tcPr>
            <w:tcW w:w="97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 Fair Value Measurements</w:t>
      </w:r>
    </w:p>
    <w:p>
      <w:pPr>
        <w:spacing w:after="0" w:line="190" w:lineRule="exact"/>
        <w:rPr>
          <w:sz w:val="20"/>
          <w:szCs w:val="20"/>
          <w:color w:val="auto"/>
        </w:rPr>
      </w:pPr>
    </w:p>
    <w:p>
      <w:pPr>
        <w:jc w:val="both"/>
        <w:ind w:right="80"/>
        <w:spacing w:after="0" w:line="267" w:lineRule="auto"/>
        <w:rPr>
          <w:sz w:val="20"/>
          <w:szCs w:val="20"/>
          <w:color w:val="auto"/>
        </w:rPr>
      </w:pPr>
      <w:r>
        <w:rPr>
          <w:rFonts w:ascii="Arial" w:cs="Arial" w:eastAsia="Arial" w:hAnsi="Arial"/>
          <w:sz w:val="17"/>
          <w:szCs w:val="17"/>
          <w:color w:val="auto"/>
        </w:rPr>
        <w:t xml:space="preserve">Accounting Standards Codification, </w:t>
      </w:r>
      <w:r>
        <w:rPr>
          <w:rFonts w:ascii="Arial" w:cs="Arial" w:eastAsia="Arial" w:hAnsi="Arial"/>
          <w:sz w:val="17"/>
          <w:szCs w:val="17"/>
          <w:i w:val="1"/>
          <w:iCs w:val="1"/>
          <w:color w:val="auto"/>
        </w:rPr>
        <w:t>Fair Value Measuremen</w:t>
      </w:r>
      <w:r>
        <w:rPr>
          <w:rFonts w:ascii="Arial" w:cs="Arial" w:eastAsia="Arial" w:hAnsi="Arial"/>
          <w:sz w:val="17"/>
          <w:szCs w:val="17"/>
          <w:color w:val="auto"/>
        </w:rPr>
        <w:t>t (ASC 820),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 also establishes a fair value hierarchy that requires classification based on observable and unobservable inputs when measuring fair value. There are three levels of inputs that may be used to measure fair value:</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Level </w:t>
      </w:r>
      <w:r>
        <w:rPr>
          <w:rFonts w:ascii="Arial" w:cs="Arial" w:eastAsia="Arial" w:hAnsi="Arial"/>
          <w:sz w:val="17"/>
          <w:szCs w:val="17"/>
          <w:color w:val="auto"/>
        </w:rPr>
        <w:t>1</w:t>
      </w:r>
      <w:r>
        <w:rPr>
          <w:rFonts w:ascii="Arial" w:cs="Arial" w:eastAsia="Arial" w:hAnsi="Arial"/>
          <w:sz w:val="17"/>
          <w:szCs w:val="17"/>
          <w:i w:val="1"/>
          <w:iCs w:val="1"/>
          <w:color w:val="auto"/>
        </w:rPr>
        <w:t>—</w:t>
      </w:r>
      <w:r>
        <w:rPr>
          <w:rFonts w:ascii="Arial" w:cs="Arial" w:eastAsia="Arial" w:hAnsi="Arial"/>
          <w:sz w:val="17"/>
          <w:szCs w:val="17"/>
          <w:color w:val="auto"/>
        </w:rPr>
        <w:t>Quoted prices in active markets for identical assets or liabilities.</w:t>
      </w:r>
    </w:p>
    <w:p>
      <w:pPr>
        <w:spacing w:after="0" w:line="184" w:lineRule="exact"/>
        <w:rPr>
          <w:sz w:val="20"/>
          <w:szCs w:val="20"/>
          <w:color w:val="auto"/>
        </w:rPr>
      </w:pPr>
    </w:p>
    <w:p>
      <w:pPr>
        <w:ind w:right="180"/>
        <w:spacing w:after="0" w:line="288" w:lineRule="auto"/>
        <w:rPr>
          <w:sz w:val="20"/>
          <w:szCs w:val="20"/>
          <w:color w:val="auto"/>
        </w:rPr>
      </w:pPr>
      <w:r>
        <w:rPr>
          <w:rFonts w:ascii="Arial" w:cs="Arial" w:eastAsia="Arial" w:hAnsi="Arial"/>
          <w:sz w:val="17"/>
          <w:szCs w:val="17"/>
          <w:i w:val="1"/>
          <w:iCs w:val="1"/>
          <w:color w:val="auto"/>
        </w:rPr>
        <w:t xml:space="preserve">Level </w:t>
      </w:r>
      <w:r>
        <w:rPr>
          <w:rFonts w:ascii="Arial" w:cs="Arial" w:eastAsia="Arial" w:hAnsi="Arial"/>
          <w:sz w:val="17"/>
          <w:szCs w:val="17"/>
          <w:color w:val="auto"/>
        </w:rPr>
        <w:t>2</w:t>
      </w:r>
      <w:r>
        <w:rPr>
          <w:rFonts w:ascii="Arial" w:cs="Arial" w:eastAsia="Arial" w:hAnsi="Arial"/>
          <w:sz w:val="17"/>
          <w:szCs w:val="17"/>
          <w:i w:val="1"/>
          <w:iCs w:val="1"/>
          <w:color w:val="auto"/>
        </w:rPr>
        <w:t>—</w:t>
      </w:r>
      <w:r>
        <w:rPr>
          <w:rFonts w:ascii="Arial" w:cs="Arial" w:eastAsia="Arial" w:hAnsi="Arial"/>
          <w:sz w:val="17"/>
          <w:szCs w:val="17"/>
          <w:color w:val="auto"/>
        </w:rPr>
        <w:t>Observable inputs other than Level 1 prices such as quoted prices for similar assets or liabilities; quoted prices in markets that are</w:t>
      </w:r>
      <w:r>
        <w:rPr>
          <w:rFonts w:ascii="Arial" w:cs="Arial" w:eastAsia="Arial" w:hAnsi="Arial"/>
          <w:sz w:val="17"/>
          <w:szCs w:val="17"/>
          <w:i w:val="1"/>
          <w:iCs w:val="1"/>
          <w:color w:val="auto"/>
        </w:rPr>
        <w:t xml:space="preserve"> not </w:t>
      </w:r>
      <w:r>
        <w:rPr>
          <w:rFonts w:ascii="Arial" w:cs="Arial" w:eastAsia="Arial" w:hAnsi="Arial"/>
          <w:sz w:val="17"/>
          <w:szCs w:val="17"/>
          <w:color w:val="auto"/>
        </w:rPr>
        <w:t>active; or other</w:t>
      </w:r>
      <w:r>
        <w:rPr>
          <w:rFonts w:ascii="Arial" w:cs="Arial" w:eastAsia="Arial" w:hAnsi="Arial"/>
          <w:sz w:val="17"/>
          <w:szCs w:val="17"/>
          <w:i w:val="1"/>
          <w:iCs w:val="1"/>
          <w:color w:val="auto"/>
        </w:rPr>
        <w:t xml:space="preserve"> </w:t>
      </w:r>
      <w:r>
        <w:rPr>
          <w:rFonts w:ascii="Arial" w:cs="Arial" w:eastAsia="Arial" w:hAnsi="Arial"/>
          <w:sz w:val="17"/>
          <w:szCs w:val="17"/>
          <w:color w:val="auto"/>
        </w:rPr>
        <w:t>inputs that are observable or can be corroborated by observable market data for substantially the full term of the assets or liabilities.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Level </w:t>
      </w:r>
      <w:r>
        <w:rPr>
          <w:rFonts w:ascii="Arial" w:cs="Arial" w:eastAsia="Arial" w:hAnsi="Arial"/>
          <w:sz w:val="17"/>
          <w:szCs w:val="17"/>
          <w:color w:val="auto"/>
        </w:rPr>
        <w:t>3</w:t>
      </w:r>
      <w:r>
        <w:rPr>
          <w:rFonts w:ascii="Arial" w:cs="Arial" w:eastAsia="Arial" w:hAnsi="Arial"/>
          <w:sz w:val="17"/>
          <w:szCs w:val="17"/>
          <w:i w:val="1"/>
          <w:iCs w:val="1"/>
          <w:color w:val="auto"/>
        </w:rPr>
        <w:t>—</w:t>
      </w:r>
      <w:r>
        <w:rPr>
          <w:rFonts w:ascii="Arial" w:cs="Arial" w:eastAsia="Arial" w:hAnsi="Arial"/>
          <w:sz w:val="17"/>
          <w:szCs w:val="17"/>
          <w:color w:val="auto"/>
        </w:rPr>
        <w:t>Unobservable inputs that are supported by little or</w:t>
      </w:r>
      <w:r>
        <w:rPr>
          <w:rFonts w:ascii="Arial" w:cs="Arial" w:eastAsia="Arial" w:hAnsi="Arial"/>
          <w:sz w:val="17"/>
          <w:szCs w:val="17"/>
          <w:i w:val="1"/>
          <w:iCs w:val="1"/>
          <w:color w:val="auto"/>
        </w:rPr>
        <w:t xml:space="preserve"> no </w:t>
      </w:r>
      <w:r>
        <w:rPr>
          <w:rFonts w:ascii="Arial" w:cs="Arial" w:eastAsia="Arial" w:hAnsi="Arial"/>
          <w:sz w:val="17"/>
          <w:szCs w:val="17"/>
          <w:color w:val="auto"/>
        </w:rPr>
        <w:t>market activity and that are significant to the fair value of the assets or liabilities.</w:t>
      </w:r>
    </w:p>
    <w:p>
      <w:pPr>
        <w:spacing w:after="0" w:line="197"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The Company's assets and liabilities that are required to be measured or disclosed at fair value on a recurring basis include cash and cash equivalents and marketable securities. The Company’s cash consists of bank deposits and cash equivalents consist primarily of money market mutual funds. The Company determines the fair value of these investments using Level 1 inputs. The Company's marketable securities consist of short-term and long-term agency, municipal, corporate and other debt securities. Fair value for the corporate debt securities is primarily determined based on quoted market prices (Level 1). Fair values for the U.S. municipal securities, U.S. government agency securities, certificates of deposit and U.S. treasury securities are primarily determined using dealer quotes or quoted market prices for similar securities (Level 2).</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financial assets as of September 30, 2023 and December 31, 2022 measured at fair value on a recurring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7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80" w:type="dxa"/>
            <w:vAlign w:val="bottom"/>
            <w:gridSpan w:val="6"/>
          </w:tcPr>
          <w:p>
            <w:pPr>
              <w:jc w:val="center"/>
              <w:ind w:right="93"/>
              <w:spacing w:after="0"/>
              <w:rPr>
                <w:sz w:val="20"/>
                <w:szCs w:val="20"/>
                <w:color w:val="auto"/>
              </w:rPr>
            </w:pPr>
            <w:r>
              <w:rPr>
                <w:rFonts w:ascii="Arial" w:cs="Arial" w:eastAsia="Arial" w:hAnsi="Arial"/>
                <w:sz w:val="17"/>
                <w:szCs w:val="17"/>
                <w:b w:val="1"/>
                <w:bCs w:val="1"/>
                <w:color w:val="auto"/>
                <w:w w:val="91"/>
              </w:rPr>
              <w:t>September 30, 2023</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20" w:type="dxa"/>
            <w:vAlign w:val="bottom"/>
            <w:gridSpan w:val="4"/>
          </w:tcPr>
          <w:p>
            <w:pPr>
              <w:jc w:val="center"/>
              <w:spacing w:after="0"/>
              <w:rPr>
                <w:sz w:val="20"/>
                <w:szCs w:val="20"/>
                <w:color w:val="auto"/>
              </w:rPr>
            </w:pPr>
            <w:r>
              <w:rPr>
                <w:rFonts w:ascii="Arial" w:cs="Arial" w:eastAsia="Arial" w:hAnsi="Arial"/>
                <w:sz w:val="17"/>
                <w:szCs w:val="17"/>
                <w:b w:val="1"/>
                <w:bCs w:val="1"/>
                <w:color w:val="auto"/>
                <w:w w:val="92"/>
              </w:rPr>
              <w:t>December 31, 2022</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6"/>
        </w:trPr>
        <w:tc>
          <w:tcPr>
            <w:tcW w:w="3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8"/>
        </w:trPr>
        <w:tc>
          <w:tcPr>
            <w:tcW w:w="3380" w:type="dxa"/>
            <w:vAlign w:val="bottom"/>
          </w:tcPr>
          <w:p>
            <w:pPr>
              <w:ind w:left="20"/>
              <w:spacing w:after="0"/>
              <w:rPr>
                <w:sz w:val="20"/>
                <w:szCs w:val="20"/>
                <w:color w:val="auto"/>
              </w:rPr>
            </w:pPr>
            <w:r>
              <w:rPr>
                <w:rFonts w:ascii="Arial" w:cs="Arial" w:eastAsia="Arial" w:hAnsi="Arial"/>
                <w:sz w:val="17"/>
                <w:szCs w:val="17"/>
                <w:color w:val="auto"/>
              </w:rPr>
              <w:t>(in thousands)</w:t>
            </w:r>
          </w:p>
        </w:tc>
        <w:tc>
          <w:tcPr>
            <w:tcW w:w="220" w:type="dxa"/>
            <w:vAlign w:val="bottom"/>
          </w:tcPr>
          <w:p>
            <w:pPr>
              <w:spacing w:after="0"/>
              <w:rPr>
                <w:sz w:val="19"/>
                <w:szCs w:val="19"/>
                <w:color w:val="auto"/>
              </w:rPr>
            </w:pPr>
          </w:p>
        </w:tc>
        <w:tc>
          <w:tcPr>
            <w:tcW w:w="960" w:type="dxa"/>
            <w:vAlign w:val="bottom"/>
          </w:tcPr>
          <w:p>
            <w:pPr>
              <w:jc w:val="right"/>
              <w:ind w:right="213"/>
              <w:spacing w:after="0"/>
              <w:rPr>
                <w:sz w:val="20"/>
                <w:szCs w:val="20"/>
                <w:color w:val="auto"/>
              </w:rPr>
            </w:pPr>
            <w:r>
              <w:rPr>
                <w:rFonts w:ascii="Arial" w:cs="Arial" w:eastAsia="Arial" w:hAnsi="Arial"/>
                <w:sz w:val="17"/>
                <w:szCs w:val="17"/>
                <w:b w:val="1"/>
                <w:bCs w:val="1"/>
                <w:color w:val="auto"/>
              </w:rPr>
              <w:t>Level 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3"/>
              </w:rPr>
              <w:t>Level 2</w:t>
            </w:r>
          </w:p>
        </w:tc>
        <w:tc>
          <w:tcPr>
            <w:tcW w:w="220" w:type="dxa"/>
            <w:vAlign w:val="bottom"/>
          </w:tcPr>
          <w:p>
            <w:pPr>
              <w:spacing w:after="0"/>
              <w:rPr>
                <w:sz w:val="19"/>
                <w:szCs w:val="19"/>
                <w:color w:val="auto"/>
              </w:rPr>
            </w:pPr>
          </w:p>
        </w:tc>
        <w:tc>
          <w:tcPr>
            <w:tcW w:w="1100" w:type="dxa"/>
            <w:vAlign w:val="bottom"/>
            <w:gridSpan w:val="2"/>
          </w:tcPr>
          <w:p>
            <w:pPr>
              <w:ind w:left="120"/>
              <w:spacing w:after="0"/>
              <w:rPr>
                <w:sz w:val="20"/>
                <w:szCs w:val="20"/>
                <w:color w:val="auto"/>
              </w:rPr>
            </w:pPr>
            <w:r>
              <w:rPr>
                <w:rFonts w:ascii="Arial" w:cs="Arial" w:eastAsia="Arial" w:hAnsi="Arial"/>
                <w:sz w:val="17"/>
                <w:szCs w:val="17"/>
                <w:b w:val="1"/>
                <w:bCs w:val="1"/>
                <w:color w:val="auto"/>
              </w:rPr>
              <w:t>Level 3</w:t>
            </w:r>
          </w:p>
        </w:tc>
        <w:tc>
          <w:tcPr>
            <w:tcW w:w="220" w:type="dxa"/>
            <w:vAlign w:val="bottom"/>
          </w:tcPr>
          <w:p>
            <w:pPr>
              <w:spacing w:after="0"/>
              <w:rPr>
                <w:sz w:val="19"/>
                <w:szCs w:val="19"/>
                <w:color w:val="auto"/>
              </w:rPr>
            </w:pPr>
          </w:p>
        </w:tc>
        <w:tc>
          <w:tcPr>
            <w:tcW w:w="1020" w:type="dxa"/>
            <w:vAlign w:val="bottom"/>
          </w:tcPr>
          <w:p>
            <w:pPr>
              <w:jc w:val="right"/>
              <w:ind w:right="273"/>
              <w:spacing w:after="0"/>
              <w:rPr>
                <w:sz w:val="20"/>
                <w:szCs w:val="20"/>
                <w:color w:val="auto"/>
              </w:rPr>
            </w:pPr>
            <w:r>
              <w:rPr>
                <w:rFonts w:ascii="Arial" w:cs="Arial" w:eastAsia="Arial" w:hAnsi="Arial"/>
                <w:sz w:val="17"/>
                <w:szCs w:val="17"/>
                <w:b w:val="1"/>
                <w:bCs w:val="1"/>
                <w:color w:val="auto"/>
              </w:rPr>
              <w:t>Level 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3"/>
              </w:rPr>
              <w:t>Level 2</w:t>
            </w:r>
          </w:p>
        </w:tc>
        <w:tc>
          <w:tcPr>
            <w:tcW w:w="240" w:type="dxa"/>
            <w:vAlign w:val="bottom"/>
          </w:tcPr>
          <w:p>
            <w:pPr>
              <w:spacing w:after="0"/>
              <w:rPr>
                <w:sz w:val="19"/>
                <w:szCs w:val="19"/>
                <w:color w:val="auto"/>
              </w:rPr>
            </w:pPr>
          </w:p>
        </w:tc>
        <w:tc>
          <w:tcPr>
            <w:tcW w:w="1000" w:type="dxa"/>
            <w:vAlign w:val="bottom"/>
          </w:tcPr>
          <w:p>
            <w:pPr>
              <w:jc w:val="right"/>
              <w:ind w:right="253"/>
              <w:spacing w:after="0"/>
              <w:rPr>
                <w:sz w:val="20"/>
                <w:szCs w:val="20"/>
                <w:color w:val="auto"/>
              </w:rPr>
            </w:pPr>
            <w:r>
              <w:rPr>
                <w:rFonts w:ascii="Arial" w:cs="Arial" w:eastAsia="Arial" w:hAnsi="Arial"/>
                <w:sz w:val="17"/>
                <w:szCs w:val="17"/>
                <w:b w:val="1"/>
                <w:bCs w:val="1"/>
                <w:color w:val="auto"/>
              </w:rPr>
              <w:t>Level 3</w:t>
            </w:r>
          </w:p>
        </w:tc>
      </w:tr>
      <w:tr>
        <w:trPr>
          <w:trHeight w:val="26"/>
        </w:trPr>
        <w:tc>
          <w:tcPr>
            <w:tcW w:w="3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1"/>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Financial Assets:</w:t>
            </w:r>
          </w:p>
        </w:tc>
        <w:tc>
          <w:tcPr>
            <w:tcW w:w="2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r>
      <w:tr>
        <w:trPr>
          <w:trHeight w:val="235"/>
        </w:trPr>
        <w:tc>
          <w:tcPr>
            <w:tcW w:w="3380" w:type="dxa"/>
            <w:vAlign w:val="bottom"/>
          </w:tcPr>
          <w:p>
            <w:pPr>
              <w:ind w:left="180"/>
              <w:spacing w:after="0"/>
              <w:rPr>
                <w:sz w:val="20"/>
                <w:szCs w:val="20"/>
                <w:color w:val="auto"/>
              </w:rPr>
            </w:pPr>
            <w:r>
              <w:rPr>
                <w:rFonts w:ascii="Arial" w:cs="Arial" w:eastAsia="Arial" w:hAnsi="Arial"/>
                <w:sz w:val="17"/>
                <w:szCs w:val="17"/>
                <w:color w:val="auto"/>
              </w:rPr>
              <w:t>Cash</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77,307</w:t>
            </w:r>
          </w:p>
        </w:tc>
        <w:tc>
          <w:tcPr>
            <w:tcW w:w="36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38,862</w:t>
            </w:r>
          </w:p>
        </w:tc>
        <w:tc>
          <w:tcPr>
            <w:tcW w:w="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6"/>
        </w:trPr>
        <w:tc>
          <w:tcPr>
            <w:tcW w:w="3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1"/>
        </w:trPr>
        <w:tc>
          <w:tcPr>
            <w:tcW w:w="3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Money market mutual fund</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6,189</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17,696</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5"/>
        </w:trPr>
        <w:tc>
          <w:tcPr>
            <w:tcW w:w="3380" w:type="dxa"/>
            <w:vAlign w:val="bottom"/>
          </w:tcPr>
          <w:p>
            <w:pPr>
              <w:ind w:left="180"/>
              <w:spacing w:after="0"/>
              <w:rPr>
                <w:sz w:val="20"/>
                <w:szCs w:val="20"/>
                <w:color w:val="auto"/>
              </w:rPr>
            </w:pPr>
            <w:r>
              <w:rPr>
                <w:rFonts w:ascii="Arial" w:cs="Arial" w:eastAsia="Arial" w:hAnsi="Arial"/>
                <w:sz w:val="17"/>
                <w:szCs w:val="17"/>
                <w:color w:val="auto"/>
              </w:rPr>
              <w:t>Marketable securities</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3,965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27,451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9,881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40,106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6"/>
        </w:trPr>
        <w:tc>
          <w:tcPr>
            <w:tcW w:w="3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79"/>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87,461</w:t>
            </w:r>
          </w:p>
        </w:tc>
        <w:tc>
          <w:tcPr>
            <w:tcW w:w="3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27,451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66,439</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40,106</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103"/>
        </w:trPr>
        <w:tc>
          <w:tcPr>
            <w:tcW w:w="33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 Marketable Securities</w:t>
      </w:r>
    </w:p>
    <w:p>
      <w:pPr>
        <w:spacing w:after="0" w:line="19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Company invests in short-term and long-term agency, municipal, corporate and other debt securities. The securities are categorized as available-for-sale and are recorded at fair value. The following table summarizes information regarding the Company’s short-term and long-term marketable securities as of September 30, 2023 and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1367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0" w:type="dxa"/>
            <w:vAlign w:val="bottom"/>
            <w:gridSpan w:val="3"/>
          </w:tcPr>
          <w:p>
            <w:pPr>
              <w:jc w:val="right"/>
              <w:ind w:right="113"/>
              <w:spacing w:after="0"/>
              <w:rPr>
                <w:sz w:val="20"/>
                <w:szCs w:val="20"/>
                <w:color w:val="auto"/>
              </w:rPr>
            </w:pPr>
            <w:r>
              <w:rPr>
                <w:rFonts w:ascii="Arial" w:cs="Arial" w:eastAsia="Arial" w:hAnsi="Arial"/>
                <w:sz w:val="17"/>
                <w:szCs w:val="17"/>
                <w:b w:val="1"/>
                <w:bCs w:val="1"/>
                <w:color w:val="auto"/>
              </w:rPr>
              <w:t>September 30, 2023</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6"/>
        </w:trPr>
        <w:tc>
          <w:tcPr>
            <w:tcW w:w="5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8"/>
        </w:trPr>
        <w:tc>
          <w:tcPr>
            <w:tcW w:w="5060" w:type="dxa"/>
            <w:vAlign w:val="bottom"/>
          </w:tcPr>
          <w:p>
            <w:pPr>
              <w:ind w:left="20"/>
              <w:spacing w:after="0"/>
              <w:rPr>
                <w:sz w:val="20"/>
                <w:szCs w:val="20"/>
                <w:color w:val="auto"/>
              </w:rPr>
            </w:pPr>
            <w:r>
              <w:rPr>
                <w:rFonts w:ascii="Arial" w:cs="Arial" w:eastAsia="Arial" w:hAnsi="Arial"/>
                <w:sz w:val="17"/>
                <w:szCs w:val="17"/>
                <w:color w:val="auto"/>
              </w:rPr>
              <w:t>(in thousands)</w:t>
            </w:r>
          </w:p>
        </w:tc>
        <w:tc>
          <w:tcPr>
            <w:tcW w:w="340" w:type="dxa"/>
            <w:vAlign w:val="bottom"/>
          </w:tcPr>
          <w:p>
            <w:pPr>
              <w:spacing w:after="0"/>
              <w:rPr>
                <w:sz w:val="19"/>
                <w:szCs w:val="19"/>
                <w:color w:val="auto"/>
              </w:rPr>
            </w:pPr>
          </w:p>
        </w:tc>
        <w:tc>
          <w:tcPr>
            <w:tcW w:w="1240" w:type="dxa"/>
            <w:vAlign w:val="bottom"/>
            <w:gridSpan w:val="2"/>
          </w:tcPr>
          <w:p>
            <w:pPr>
              <w:ind w:left="240"/>
              <w:spacing w:after="0"/>
              <w:rPr>
                <w:sz w:val="20"/>
                <w:szCs w:val="20"/>
                <w:color w:val="auto"/>
              </w:rPr>
            </w:pPr>
            <w:r>
              <w:rPr>
                <w:rFonts w:ascii="Arial" w:cs="Arial" w:eastAsia="Arial" w:hAnsi="Arial"/>
                <w:sz w:val="17"/>
                <w:szCs w:val="17"/>
                <w:b w:val="1"/>
                <w:bCs w:val="1"/>
                <w:color w:val="auto"/>
              </w:rPr>
              <w:t>Cost</w:t>
            </w:r>
          </w:p>
        </w:tc>
        <w:tc>
          <w:tcPr>
            <w:tcW w:w="1560" w:type="dxa"/>
            <w:vAlign w:val="bottom"/>
            <w:gridSpan w:val="3"/>
          </w:tcPr>
          <w:p>
            <w:pPr>
              <w:ind w:left="80"/>
              <w:spacing w:after="0"/>
              <w:rPr>
                <w:sz w:val="20"/>
                <w:szCs w:val="20"/>
                <w:color w:val="auto"/>
              </w:rPr>
            </w:pPr>
            <w:r>
              <w:rPr>
                <w:rFonts w:ascii="Arial" w:cs="Arial" w:eastAsia="Arial" w:hAnsi="Arial"/>
                <w:sz w:val="17"/>
                <w:szCs w:val="17"/>
                <w:b w:val="1"/>
                <w:bCs w:val="1"/>
                <w:color w:val="auto"/>
              </w:rPr>
              <w:t>Unrealized Gains</w:t>
            </w:r>
          </w:p>
        </w:tc>
        <w:tc>
          <w:tcPr>
            <w:tcW w:w="1560" w:type="dxa"/>
            <w:vAlign w:val="bottom"/>
            <w:gridSpan w:val="3"/>
          </w:tcPr>
          <w:p>
            <w:pPr>
              <w:ind w:left="60"/>
              <w:spacing w:after="0"/>
              <w:rPr>
                <w:sz w:val="20"/>
                <w:szCs w:val="20"/>
                <w:color w:val="auto"/>
              </w:rPr>
            </w:pPr>
            <w:r>
              <w:rPr>
                <w:rFonts w:ascii="Arial" w:cs="Arial" w:eastAsia="Arial" w:hAnsi="Arial"/>
                <w:sz w:val="17"/>
                <w:szCs w:val="17"/>
                <w:b w:val="1"/>
                <w:bCs w:val="1"/>
                <w:color w:val="auto"/>
                <w:w w:val="99"/>
              </w:rPr>
              <w:t>Unrealized Losses</w:t>
            </w:r>
          </w:p>
        </w:tc>
        <w:tc>
          <w:tcPr>
            <w:tcW w:w="240" w:type="dxa"/>
            <w:vAlign w:val="bottom"/>
          </w:tcPr>
          <w:p>
            <w:pPr>
              <w:spacing w:after="0"/>
              <w:rPr>
                <w:sz w:val="19"/>
                <w:szCs w:val="19"/>
                <w:color w:val="auto"/>
              </w:rPr>
            </w:pPr>
          </w:p>
        </w:tc>
        <w:tc>
          <w:tcPr>
            <w:tcW w:w="1240" w:type="dxa"/>
            <w:vAlign w:val="bottom"/>
          </w:tcPr>
          <w:p>
            <w:pPr>
              <w:jc w:val="right"/>
              <w:ind w:right="253"/>
              <w:spacing w:after="0"/>
              <w:rPr>
                <w:sz w:val="20"/>
                <w:szCs w:val="20"/>
                <w:color w:val="auto"/>
              </w:rPr>
            </w:pPr>
            <w:r>
              <w:rPr>
                <w:rFonts w:ascii="Arial" w:cs="Arial" w:eastAsia="Arial" w:hAnsi="Arial"/>
                <w:sz w:val="17"/>
                <w:szCs w:val="17"/>
                <w:b w:val="1"/>
                <w:bCs w:val="1"/>
                <w:color w:val="auto"/>
              </w:rPr>
              <w:t>Fair Value</w:t>
            </w:r>
          </w:p>
        </w:tc>
      </w:tr>
      <w:tr>
        <w:trPr>
          <w:trHeight w:val="26"/>
        </w:trPr>
        <w:tc>
          <w:tcPr>
            <w:tcW w:w="5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4"/>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U.S. municipal securities</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8,629</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693"/>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(209)</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8,420</w:t>
            </w:r>
          </w:p>
        </w:tc>
      </w:tr>
      <w:tr>
        <w:trPr>
          <w:trHeight w:val="235"/>
        </w:trPr>
        <w:tc>
          <w:tcPr>
            <w:tcW w:w="5060" w:type="dxa"/>
            <w:vAlign w:val="bottom"/>
          </w:tcPr>
          <w:p>
            <w:pPr>
              <w:ind w:left="20"/>
              <w:spacing w:after="0"/>
              <w:rPr>
                <w:sz w:val="20"/>
                <w:szCs w:val="20"/>
                <w:color w:val="auto"/>
              </w:rPr>
            </w:pPr>
            <w:r>
              <w:rPr>
                <w:rFonts w:ascii="Arial" w:cs="Arial" w:eastAsia="Arial" w:hAnsi="Arial"/>
                <w:sz w:val="17"/>
                <w:szCs w:val="17"/>
                <w:color w:val="auto"/>
              </w:rPr>
              <w:t>Corporate debt securities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2,530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(54)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2,476</w:t>
            </w:r>
          </w:p>
        </w:tc>
      </w:tr>
      <w:tr>
        <w:trPr>
          <w:trHeight w:val="26"/>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1"/>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U.S. government agency securities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20,793</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(520)</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20,273</w:t>
            </w:r>
          </w:p>
        </w:tc>
      </w:tr>
      <w:tr>
        <w:trPr>
          <w:trHeight w:val="235"/>
        </w:trPr>
        <w:tc>
          <w:tcPr>
            <w:tcW w:w="5060" w:type="dxa"/>
            <w:vAlign w:val="bottom"/>
          </w:tcPr>
          <w:p>
            <w:pPr>
              <w:ind w:left="20"/>
              <w:spacing w:after="0"/>
              <w:rPr>
                <w:sz w:val="20"/>
                <w:szCs w:val="20"/>
                <w:color w:val="auto"/>
              </w:rPr>
            </w:pPr>
            <w:r>
              <w:rPr>
                <w:rFonts w:ascii="Arial" w:cs="Arial" w:eastAsia="Arial" w:hAnsi="Arial"/>
                <w:sz w:val="17"/>
                <w:szCs w:val="17"/>
                <w:color w:val="auto"/>
              </w:rPr>
              <w:t>Certificates of deposit/time deposits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249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247</w:t>
            </w:r>
          </w:p>
        </w:tc>
      </w:tr>
      <w:tr>
        <w:trPr>
          <w:trHeight w:val="26"/>
        </w:trPr>
        <w:tc>
          <w:tcPr>
            <w:tcW w:w="5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79"/>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marketable securities</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32,201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693"/>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(785)</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31,416</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103"/>
        </w:trPr>
        <w:tc>
          <w:tcPr>
            <w:tcW w:w="50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r>
      <w:tr>
        <w:trPr>
          <w:trHeight w:val="281"/>
        </w:trPr>
        <w:tc>
          <w:tcPr>
            <w:tcW w:w="50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bl>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00" w:type="dxa"/>
            <w:vAlign w:val="bottom"/>
            <w:gridSpan w:val="3"/>
          </w:tcPr>
          <w:p>
            <w:pPr>
              <w:jc w:val="right"/>
              <w:ind w:right="53"/>
              <w:spacing w:after="0"/>
              <w:rPr>
                <w:sz w:val="20"/>
                <w:szCs w:val="20"/>
                <w:color w:val="auto"/>
              </w:rPr>
            </w:pPr>
            <w:r>
              <w:rPr>
                <w:rFonts w:ascii="Arial" w:cs="Arial" w:eastAsia="Arial" w:hAnsi="Arial"/>
                <w:sz w:val="17"/>
                <w:szCs w:val="17"/>
                <w:b w:val="1"/>
                <w:bCs w:val="1"/>
                <w:color w:val="auto"/>
              </w:rPr>
              <w:t>December 31, 2022</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6"/>
        </w:trPr>
        <w:tc>
          <w:tcPr>
            <w:tcW w:w="5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8"/>
        </w:trPr>
        <w:tc>
          <w:tcPr>
            <w:tcW w:w="5060" w:type="dxa"/>
            <w:vAlign w:val="bottom"/>
          </w:tcPr>
          <w:p>
            <w:pPr>
              <w:ind w:left="20"/>
              <w:spacing w:after="0"/>
              <w:rPr>
                <w:sz w:val="20"/>
                <w:szCs w:val="20"/>
                <w:color w:val="auto"/>
              </w:rPr>
            </w:pPr>
            <w:r>
              <w:rPr>
                <w:rFonts w:ascii="Arial" w:cs="Arial" w:eastAsia="Arial" w:hAnsi="Arial"/>
                <w:sz w:val="17"/>
                <w:szCs w:val="17"/>
                <w:color w:val="auto"/>
              </w:rPr>
              <w:t>(in thousands)</w:t>
            </w:r>
          </w:p>
        </w:tc>
        <w:tc>
          <w:tcPr>
            <w:tcW w:w="340" w:type="dxa"/>
            <w:vAlign w:val="bottom"/>
          </w:tcPr>
          <w:p>
            <w:pPr>
              <w:spacing w:after="0"/>
              <w:rPr>
                <w:sz w:val="19"/>
                <w:szCs w:val="19"/>
                <w:color w:val="auto"/>
              </w:rPr>
            </w:pPr>
          </w:p>
        </w:tc>
        <w:tc>
          <w:tcPr>
            <w:tcW w:w="1240" w:type="dxa"/>
            <w:vAlign w:val="bottom"/>
            <w:gridSpan w:val="2"/>
          </w:tcPr>
          <w:p>
            <w:pPr>
              <w:ind w:left="240"/>
              <w:spacing w:after="0"/>
              <w:rPr>
                <w:sz w:val="20"/>
                <w:szCs w:val="20"/>
                <w:color w:val="auto"/>
              </w:rPr>
            </w:pPr>
            <w:r>
              <w:rPr>
                <w:rFonts w:ascii="Arial" w:cs="Arial" w:eastAsia="Arial" w:hAnsi="Arial"/>
                <w:sz w:val="17"/>
                <w:szCs w:val="17"/>
                <w:b w:val="1"/>
                <w:bCs w:val="1"/>
                <w:color w:val="auto"/>
              </w:rPr>
              <w:t>Cost</w:t>
            </w:r>
          </w:p>
        </w:tc>
        <w:tc>
          <w:tcPr>
            <w:tcW w:w="1560" w:type="dxa"/>
            <w:vAlign w:val="bottom"/>
            <w:gridSpan w:val="3"/>
          </w:tcPr>
          <w:p>
            <w:pPr>
              <w:ind w:left="80"/>
              <w:spacing w:after="0"/>
              <w:rPr>
                <w:sz w:val="20"/>
                <w:szCs w:val="20"/>
                <w:color w:val="auto"/>
              </w:rPr>
            </w:pPr>
            <w:r>
              <w:rPr>
                <w:rFonts w:ascii="Arial" w:cs="Arial" w:eastAsia="Arial" w:hAnsi="Arial"/>
                <w:sz w:val="17"/>
                <w:szCs w:val="17"/>
                <w:b w:val="1"/>
                <w:bCs w:val="1"/>
                <w:color w:val="auto"/>
              </w:rPr>
              <w:t>Unrealized Gains</w:t>
            </w:r>
          </w:p>
        </w:tc>
        <w:tc>
          <w:tcPr>
            <w:tcW w:w="1560" w:type="dxa"/>
            <w:vAlign w:val="bottom"/>
            <w:gridSpan w:val="3"/>
          </w:tcPr>
          <w:p>
            <w:pPr>
              <w:ind w:left="60"/>
              <w:spacing w:after="0"/>
              <w:rPr>
                <w:sz w:val="20"/>
                <w:szCs w:val="20"/>
                <w:color w:val="auto"/>
              </w:rPr>
            </w:pPr>
            <w:r>
              <w:rPr>
                <w:rFonts w:ascii="Arial" w:cs="Arial" w:eastAsia="Arial" w:hAnsi="Arial"/>
                <w:sz w:val="17"/>
                <w:szCs w:val="17"/>
                <w:b w:val="1"/>
                <w:bCs w:val="1"/>
                <w:color w:val="auto"/>
                <w:w w:val="99"/>
              </w:rPr>
              <w:t>Unrealized Losses</w:t>
            </w:r>
          </w:p>
        </w:tc>
        <w:tc>
          <w:tcPr>
            <w:tcW w:w="240" w:type="dxa"/>
            <w:vAlign w:val="bottom"/>
          </w:tcPr>
          <w:p>
            <w:pPr>
              <w:spacing w:after="0"/>
              <w:rPr>
                <w:sz w:val="19"/>
                <w:szCs w:val="19"/>
                <w:color w:val="auto"/>
              </w:rPr>
            </w:pPr>
          </w:p>
        </w:tc>
        <w:tc>
          <w:tcPr>
            <w:tcW w:w="1240" w:type="dxa"/>
            <w:vAlign w:val="bottom"/>
          </w:tcPr>
          <w:p>
            <w:pPr>
              <w:jc w:val="right"/>
              <w:ind w:right="253"/>
              <w:spacing w:after="0"/>
              <w:rPr>
                <w:sz w:val="20"/>
                <w:szCs w:val="20"/>
                <w:color w:val="auto"/>
              </w:rPr>
            </w:pPr>
            <w:r>
              <w:rPr>
                <w:rFonts w:ascii="Arial" w:cs="Arial" w:eastAsia="Arial" w:hAnsi="Arial"/>
                <w:sz w:val="17"/>
                <w:szCs w:val="17"/>
                <w:b w:val="1"/>
                <w:bCs w:val="1"/>
                <w:color w:val="auto"/>
              </w:rPr>
              <w:t>Fair Value</w:t>
            </w:r>
          </w:p>
        </w:tc>
      </w:tr>
      <w:tr>
        <w:trPr>
          <w:trHeight w:val="26"/>
        </w:trPr>
        <w:tc>
          <w:tcPr>
            <w:tcW w:w="5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4"/>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U.S. municipal securities</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15,574</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613"/>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(417)</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15,157</w:t>
            </w:r>
          </w:p>
        </w:tc>
      </w:tr>
      <w:tr>
        <w:trPr>
          <w:trHeight w:val="235"/>
        </w:trPr>
        <w:tc>
          <w:tcPr>
            <w:tcW w:w="5060" w:type="dxa"/>
            <w:vAlign w:val="bottom"/>
          </w:tcPr>
          <w:p>
            <w:pPr>
              <w:ind w:left="20"/>
              <w:spacing w:after="0"/>
              <w:rPr>
                <w:sz w:val="20"/>
                <w:szCs w:val="20"/>
                <w:color w:val="auto"/>
              </w:rPr>
            </w:pPr>
            <w:r>
              <w:rPr>
                <w:rFonts w:ascii="Arial" w:cs="Arial" w:eastAsia="Arial" w:hAnsi="Arial"/>
                <w:sz w:val="17"/>
                <w:szCs w:val="17"/>
                <w:color w:val="auto"/>
              </w:rPr>
              <w:t>Corporate debt securities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9,578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(205)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9,373</w:t>
            </w:r>
          </w:p>
        </w:tc>
      </w:tr>
      <w:tr>
        <w:trPr>
          <w:trHeight w:val="26"/>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1"/>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U.S. government agency securities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25,275</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(750)</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24,525</w:t>
            </w:r>
          </w:p>
        </w:tc>
      </w:tr>
      <w:tr>
        <w:trPr>
          <w:trHeight w:val="235"/>
        </w:trPr>
        <w:tc>
          <w:tcPr>
            <w:tcW w:w="5060" w:type="dxa"/>
            <w:vAlign w:val="bottom"/>
          </w:tcPr>
          <w:p>
            <w:pPr>
              <w:ind w:left="20"/>
              <w:spacing w:after="0"/>
              <w:rPr>
                <w:sz w:val="20"/>
                <w:szCs w:val="20"/>
                <w:color w:val="auto"/>
              </w:rPr>
            </w:pPr>
            <w:r>
              <w:rPr>
                <w:rFonts w:ascii="Arial" w:cs="Arial" w:eastAsia="Arial" w:hAnsi="Arial"/>
                <w:sz w:val="17"/>
                <w:szCs w:val="17"/>
                <w:color w:val="auto"/>
              </w:rPr>
              <w:t>Certificates of deposit/time deposits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939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932</w:t>
            </w:r>
          </w:p>
        </w:tc>
      </w:tr>
      <w:tr>
        <w:trPr>
          <w:trHeight w:val="26"/>
        </w:trPr>
        <w:tc>
          <w:tcPr>
            <w:tcW w:w="5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79"/>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marketable securities</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51,366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613"/>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(1,379)</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49,987</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103"/>
        </w:trPr>
        <w:tc>
          <w:tcPr>
            <w:tcW w:w="50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r>
    </w:tbl>
    <w:p>
      <w:pPr>
        <w:spacing w:after="0" w:line="24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Fair values for the corporate debt securities are primarily determined based on quoted market prices (Level 1). Fair values for the U.S. municipal securities, U.S. government agency securities, certificates of deposit and U.S. treasury securities are primarily determined using dealer quotes or quoted market prices for similar securities (Level 2).</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Classification of marketable securities as current or non-current is based upon the security’s maturity date as of the date of these financial statements.</w:t>
      </w:r>
    </w:p>
    <w:p>
      <w:pPr>
        <w:spacing w:after="0" w:line="195" w:lineRule="exact"/>
        <w:rPr>
          <w:sz w:val="20"/>
          <w:szCs w:val="20"/>
          <w:color w:val="auto"/>
        </w:rPr>
      </w:pPr>
    </w:p>
    <w:p>
      <w:pPr>
        <w:ind w:right="80"/>
        <w:spacing w:after="0" w:line="321" w:lineRule="auto"/>
        <w:rPr>
          <w:sz w:val="20"/>
          <w:szCs w:val="20"/>
          <w:color w:val="auto"/>
        </w:rPr>
      </w:pPr>
      <w:r>
        <w:rPr>
          <w:rFonts w:ascii="Arial" w:cs="Arial" w:eastAsia="Arial" w:hAnsi="Arial"/>
          <w:sz w:val="16"/>
          <w:szCs w:val="16"/>
          <w:color w:val="auto"/>
        </w:rPr>
        <w:t>The September 30, 2023 balance of available-for-sale debt securities by contractual maturity is shown in the following table at fair value. Actual maturities may differ from contractual maturities because the issuers of the securities may have the right to prepay obligations without prepayment penalties.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1367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tcPr>
          <w:p>
            <w:pPr>
              <w:jc w:val="right"/>
              <w:ind w:right="373"/>
              <w:spacing w:after="0"/>
              <w:rPr>
                <w:sz w:val="20"/>
                <w:szCs w:val="20"/>
                <w:color w:val="auto"/>
              </w:rPr>
            </w:pPr>
            <w:r>
              <w:rPr>
                <w:rFonts w:ascii="Arial" w:cs="Arial" w:eastAsia="Arial" w:hAnsi="Arial"/>
                <w:sz w:val="17"/>
                <w:szCs w:val="17"/>
                <w:b w:val="1"/>
                <w:bCs w:val="1"/>
                <w:color w:val="auto"/>
              </w:rPr>
              <w:t>September 30,</w:t>
            </w:r>
          </w:p>
        </w:tc>
      </w:tr>
      <w:tr>
        <w:trPr>
          <w:trHeight w:val="227"/>
        </w:trPr>
        <w:tc>
          <w:tcPr>
            <w:tcW w:w="9280" w:type="dxa"/>
            <w:vAlign w:val="bottom"/>
          </w:tcPr>
          <w:p>
            <w:pPr>
              <w:ind w:left="20"/>
              <w:spacing w:after="0"/>
              <w:rPr>
                <w:sz w:val="20"/>
                <w:szCs w:val="20"/>
                <w:color w:val="auto"/>
              </w:rPr>
            </w:pPr>
            <w:r>
              <w:rPr>
                <w:rFonts w:ascii="Arial" w:cs="Arial" w:eastAsia="Arial" w:hAnsi="Arial"/>
                <w:sz w:val="17"/>
                <w:szCs w:val="17"/>
                <w:color w:val="auto"/>
              </w:rPr>
              <w:t>(in thousands)</w:t>
            </w:r>
          </w:p>
        </w:tc>
        <w:tc>
          <w:tcPr>
            <w:tcW w:w="260" w:type="dxa"/>
            <w:vAlign w:val="bottom"/>
          </w:tcPr>
          <w:p>
            <w:pPr>
              <w:spacing w:after="0"/>
              <w:rPr>
                <w:sz w:val="19"/>
                <w:szCs w:val="19"/>
                <w:color w:val="auto"/>
              </w:rPr>
            </w:pPr>
          </w:p>
        </w:tc>
        <w:tc>
          <w:tcPr>
            <w:tcW w:w="1700" w:type="dxa"/>
            <w:vAlign w:val="bottom"/>
          </w:tcPr>
          <w:p>
            <w:pPr>
              <w:jc w:val="right"/>
              <w:ind w:right="713"/>
              <w:spacing w:after="0"/>
              <w:rPr>
                <w:sz w:val="20"/>
                <w:szCs w:val="20"/>
                <w:color w:val="auto"/>
              </w:rPr>
            </w:pPr>
            <w:r>
              <w:rPr>
                <w:rFonts w:ascii="Arial" w:cs="Arial" w:eastAsia="Arial" w:hAnsi="Arial"/>
                <w:sz w:val="17"/>
                <w:szCs w:val="17"/>
                <w:b w:val="1"/>
                <w:bCs w:val="1"/>
                <w:color w:val="auto"/>
              </w:rPr>
              <w:t>2023</w:t>
            </w:r>
          </w:p>
        </w:tc>
      </w:tr>
      <w:tr>
        <w:trPr>
          <w:trHeight w:val="26"/>
        </w:trPr>
        <w:tc>
          <w:tcPr>
            <w:tcW w:w="9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4"/>
        </w:trPr>
        <w:tc>
          <w:tcPr>
            <w:tcW w:w="9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Due in one year or less</w:t>
            </w: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19,204</w:t>
            </w:r>
          </w:p>
        </w:tc>
      </w:tr>
      <w:tr>
        <w:trPr>
          <w:trHeight w:val="235"/>
        </w:trPr>
        <w:tc>
          <w:tcPr>
            <w:tcW w:w="9280" w:type="dxa"/>
            <w:vAlign w:val="bottom"/>
          </w:tcPr>
          <w:p>
            <w:pPr>
              <w:ind w:left="20"/>
              <w:spacing w:after="0"/>
              <w:rPr>
                <w:sz w:val="20"/>
                <w:szCs w:val="20"/>
                <w:color w:val="auto"/>
              </w:rPr>
            </w:pPr>
            <w:r>
              <w:rPr>
                <w:rFonts w:ascii="Arial" w:cs="Arial" w:eastAsia="Arial" w:hAnsi="Arial"/>
                <w:sz w:val="17"/>
                <w:szCs w:val="17"/>
                <w:color w:val="auto"/>
              </w:rPr>
              <w:t>Due after one year through five years</w:t>
            </w:r>
          </w:p>
        </w:tc>
        <w:tc>
          <w:tcPr>
            <w:tcW w:w="26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12,212</w:t>
            </w:r>
          </w:p>
        </w:tc>
      </w:tr>
      <w:tr>
        <w:trPr>
          <w:trHeight w:val="26"/>
        </w:trPr>
        <w:tc>
          <w:tcPr>
            <w:tcW w:w="9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79"/>
        </w:trPr>
        <w:tc>
          <w:tcPr>
            <w:tcW w:w="9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marketable securities</w:t>
            </w: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31,416</w:t>
            </w:r>
          </w:p>
        </w:tc>
      </w:tr>
      <w:tr>
        <w:trPr>
          <w:trHeight w:val="20"/>
        </w:trPr>
        <w:tc>
          <w:tcPr>
            <w:tcW w:w="9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r>
        <w:trPr>
          <w:trHeight w:val="103"/>
        </w:trPr>
        <w:tc>
          <w:tcPr>
            <w:tcW w:w="92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r>
    </w:tbl>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 Inventory</w:t>
      </w:r>
    </w:p>
    <w:p>
      <w:pPr>
        <w:spacing w:after="0" w:line="190" w:lineRule="exact"/>
        <w:rPr>
          <w:sz w:val="20"/>
          <w:szCs w:val="20"/>
          <w:color w:val="auto"/>
        </w:rPr>
      </w:pPr>
    </w:p>
    <w:p>
      <w:pPr>
        <w:ind w:right="300"/>
        <w:spacing w:after="0" w:line="272" w:lineRule="auto"/>
        <w:rPr>
          <w:sz w:val="20"/>
          <w:szCs w:val="20"/>
          <w:color w:val="auto"/>
        </w:rPr>
      </w:pPr>
      <w:r>
        <w:rPr>
          <w:rFonts w:ascii="Arial" w:cs="Arial" w:eastAsia="Arial" w:hAnsi="Arial"/>
          <w:sz w:val="17"/>
          <w:szCs w:val="17"/>
          <w:color w:val="auto"/>
        </w:rPr>
        <w:t>Inventory consists primarily of raw materials, which are recorded at the lower of cost and net realizable value using the standard cost method, which approximates first-in, first-out (FIFO) cost. The Company periodically reviews its inventory for slow-moving, damaged and discontinued items and provides allowances to reduce such items identified to their recoverable amounts.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color w:val="auto"/>
        </w:rPr>
        <w:t>The Company’s inventory consisted of the following as of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71367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ind w:left="140"/>
              <w:spacing w:after="0"/>
              <w:rPr>
                <w:sz w:val="20"/>
                <w:szCs w:val="20"/>
                <w:color w:val="auto"/>
              </w:rPr>
            </w:pPr>
            <w:r>
              <w:rPr>
                <w:rFonts w:ascii="Arial" w:cs="Arial" w:eastAsia="Arial" w:hAnsi="Arial"/>
                <w:sz w:val="17"/>
                <w:szCs w:val="17"/>
                <w:b w:val="1"/>
                <w:bCs w:val="1"/>
                <w:color w:val="auto"/>
              </w:rPr>
              <w:t>September 30,</w:t>
            </w:r>
          </w:p>
        </w:tc>
        <w:tc>
          <w:tcPr>
            <w:tcW w:w="180" w:type="dxa"/>
            <w:vAlign w:val="bottom"/>
          </w:tcPr>
          <w:p>
            <w:pPr>
              <w:spacing w:after="0"/>
              <w:rPr>
                <w:sz w:val="18"/>
                <w:szCs w:val="18"/>
                <w:color w:val="auto"/>
              </w:rPr>
            </w:pPr>
          </w:p>
        </w:tc>
        <w:tc>
          <w:tcPr>
            <w:tcW w:w="1300" w:type="dxa"/>
            <w:vAlign w:val="bottom"/>
          </w:tcPr>
          <w:p>
            <w:pPr>
              <w:jc w:val="right"/>
              <w:ind w:right="133"/>
              <w:spacing w:after="0"/>
              <w:rPr>
                <w:sz w:val="20"/>
                <w:szCs w:val="20"/>
                <w:color w:val="auto"/>
              </w:rPr>
            </w:pPr>
            <w:r>
              <w:rPr>
                <w:rFonts w:ascii="Arial" w:cs="Arial" w:eastAsia="Arial" w:hAnsi="Arial"/>
                <w:sz w:val="17"/>
                <w:szCs w:val="17"/>
                <w:b w:val="1"/>
                <w:bCs w:val="1"/>
                <w:color w:val="auto"/>
                <w:w w:val="95"/>
              </w:rPr>
              <w:t>December 31,</w:t>
            </w:r>
          </w:p>
        </w:tc>
      </w:tr>
      <w:tr>
        <w:trPr>
          <w:trHeight w:val="227"/>
        </w:trPr>
        <w:tc>
          <w:tcPr>
            <w:tcW w:w="7880" w:type="dxa"/>
            <w:vAlign w:val="bottom"/>
          </w:tcPr>
          <w:p>
            <w:pPr>
              <w:ind w:left="20"/>
              <w:spacing w:after="0"/>
              <w:rPr>
                <w:sz w:val="20"/>
                <w:szCs w:val="20"/>
                <w:color w:val="auto"/>
              </w:rPr>
            </w:pPr>
            <w:r>
              <w:rPr>
                <w:rFonts w:ascii="Arial" w:cs="Arial" w:eastAsia="Arial" w:hAnsi="Arial"/>
                <w:sz w:val="17"/>
                <w:szCs w:val="17"/>
                <w:color w:val="auto"/>
              </w:rPr>
              <w:t>(in thousands)</w:t>
            </w:r>
          </w:p>
        </w:tc>
        <w:tc>
          <w:tcPr>
            <w:tcW w:w="220" w:type="dxa"/>
            <w:vAlign w:val="bottom"/>
          </w:tcPr>
          <w:p>
            <w:pPr>
              <w:spacing w:after="0"/>
              <w:rPr>
                <w:sz w:val="19"/>
                <w:szCs w:val="19"/>
                <w:color w:val="auto"/>
              </w:rPr>
            </w:pPr>
          </w:p>
        </w:tc>
        <w:tc>
          <w:tcPr>
            <w:tcW w:w="1580" w:type="dxa"/>
            <w:vAlign w:val="bottom"/>
          </w:tcPr>
          <w:p>
            <w:pPr>
              <w:jc w:val="right"/>
              <w:ind w:right="653"/>
              <w:spacing w:after="0"/>
              <w:rPr>
                <w:sz w:val="20"/>
                <w:szCs w:val="20"/>
                <w:color w:val="auto"/>
              </w:rPr>
            </w:pPr>
            <w:r>
              <w:rPr>
                <w:rFonts w:ascii="Arial" w:cs="Arial" w:eastAsia="Arial" w:hAnsi="Arial"/>
                <w:sz w:val="17"/>
                <w:szCs w:val="17"/>
                <w:b w:val="1"/>
                <w:bCs w:val="1"/>
                <w:color w:val="auto"/>
              </w:rPr>
              <w:t>2023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473"/>
              <w:spacing w:after="0"/>
              <w:rPr>
                <w:sz w:val="20"/>
                <w:szCs w:val="20"/>
                <w:color w:val="auto"/>
              </w:rPr>
            </w:pPr>
            <w:r>
              <w:rPr>
                <w:rFonts w:ascii="Arial" w:cs="Arial" w:eastAsia="Arial" w:hAnsi="Arial"/>
                <w:sz w:val="17"/>
                <w:szCs w:val="17"/>
                <w:b w:val="1"/>
                <w:bCs w:val="1"/>
                <w:color w:val="auto"/>
              </w:rPr>
              <w:t>2022</w:t>
            </w:r>
          </w:p>
        </w:tc>
      </w:tr>
      <w:tr>
        <w:trPr>
          <w:trHeight w:val="26"/>
        </w:trPr>
        <w:tc>
          <w:tcPr>
            <w:tcW w:w="7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4"/>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inventory</w:t>
            </w: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14,435</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13,965</w:t>
            </w:r>
          </w:p>
        </w:tc>
      </w:tr>
      <w:tr>
        <w:trPr>
          <w:trHeight w:val="235"/>
        </w:trPr>
        <w:tc>
          <w:tcPr>
            <w:tcW w:w="7880" w:type="dxa"/>
            <w:vAlign w:val="bottom"/>
          </w:tcPr>
          <w:p>
            <w:pPr>
              <w:ind w:left="20"/>
              <w:spacing w:after="0"/>
              <w:rPr>
                <w:sz w:val="20"/>
                <w:szCs w:val="20"/>
                <w:color w:val="auto"/>
              </w:rPr>
            </w:pPr>
            <w:r>
              <w:rPr>
                <w:rFonts w:ascii="Arial" w:cs="Arial" w:eastAsia="Arial" w:hAnsi="Arial"/>
                <w:sz w:val="17"/>
                <w:szCs w:val="17"/>
                <w:color w:val="auto"/>
              </w:rPr>
              <w:t>Allowance for obsolescence</w:t>
            </w:r>
          </w:p>
        </w:tc>
        <w:tc>
          <w:tcPr>
            <w:tcW w:w="2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(632)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(387)</w:t>
            </w:r>
          </w:p>
        </w:tc>
      </w:tr>
      <w:tr>
        <w:trPr>
          <w:trHeight w:val="26"/>
        </w:trPr>
        <w:tc>
          <w:tcPr>
            <w:tcW w:w="7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79"/>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Inventory, net of allowance</w:t>
            </w: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13,803</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13,578</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103"/>
        </w:trPr>
        <w:tc>
          <w:tcPr>
            <w:tcW w:w="78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 Stock-Based Compensation</w:t>
      </w:r>
    </w:p>
    <w:p>
      <w:pPr>
        <w:spacing w:after="0" w:line="190"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Under the Company’s 2012 Long-Term Incentive Plan, as amended (the 2012 Plan), the Company had the ability to grant stock options, stock appreciation rights (SARs), restricted stock, restricted stock units, other stock-based awards and cash incentive awards through February 23, 2022</w:t>
      </w:r>
      <w:r>
        <w:rPr>
          <w:rFonts w:ascii="Arial" w:cs="Arial" w:eastAsia="Arial" w:hAnsi="Arial"/>
          <w:sz w:val="16"/>
          <w:szCs w:val="16"/>
          <w:i w:val="1"/>
          <w:iCs w:val="1"/>
          <w:color w:val="auto"/>
        </w:rPr>
        <w:t>.</w:t>
      </w:r>
      <w:r>
        <w:rPr>
          <w:rFonts w:ascii="Arial" w:cs="Arial" w:eastAsia="Arial" w:hAnsi="Arial"/>
          <w:sz w:val="16"/>
          <w:szCs w:val="16"/>
          <w:color w:val="auto"/>
        </w:rPr>
        <w:t xml:space="preserve"> On July 8, 2022</w:t>
      </w:r>
      <w:r>
        <w:rPr>
          <w:rFonts w:ascii="Arial" w:cs="Arial" w:eastAsia="Arial" w:hAnsi="Arial"/>
          <w:sz w:val="16"/>
          <w:szCs w:val="16"/>
          <w:i w:val="1"/>
          <w:iCs w:val="1"/>
          <w:color w:val="auto"/>
        </w:rPr>
        <w:t>,</w:t>
      </w:r>
      <w:r>
        <w:rPr>
          <w:rFonts w:ascii="Arial" w:cs="Arial" w:eastAsia="Arial" w:hAnsi="Arial"/>
          <w:sz w:val="16"/>
          <w:szCs w:val="16"/>
          <w:color w:val="auto"/>
        </w:rPr>
        <w:t xml:space="preserve"> the board of directors approved the Proto Labs, Inc. 2022 Long-Term Incentive Plan (the 2022 Plan), which was approved by the Company's shareholders at a Special Meeting of Shareholders on August 29, 2022</w:t>
      </w:r>
      <w:r>
        <w:rPr>
          <w:rFonts w:ascii="Arial" w:cs="Arial" w:eastAsia="Arial" w:hAnsi="Arial"/>
          <w:sz w:val="16"/>
          <w:szCs w:val="16"/>
          <w:i w:val="1"/>
          <w:iCs w:val="1"/>
          <w:color w:val="auto"/>
        </w:rPr>
        <w:t>.</w:t>
      </w:r>
      <w:r>
        <w:rPr>
          <w:rFonts w:ascii="Arial" w:cs="Arial" w:eastAsia="Arial" w:hAnsi="Arial"/>
          <w:sz w:val="16"/>
          <w:szCs w:val="16"/>
          <w:color w:val="auto"/>
        </w:rPr>
        <w:t xml:space="preserve"> No awards were granted from February 23, 2022 to August 29, 2022</w:t>
      </w:r>
      <w:r>
        <w:rPr>
          <w:rFonts w:ascii="Arial" w:cs="Arial" w:eastAsia="Arial" w:hAnsi="Arial"/>
          <w:sz w:val="16"/>
          <w:szCs w:val="16"/>
          <w:i w:val="1"/>
          <w:iCs w:val="1"/>
          <w:color w:val="auto"/>
        </w:rPr>
        <w:t>.</w:t>
      </w:r>
      <w:r>
        <w:rPr>
          <w:rFonts w:ascii="Arial" w:cs="Arial" w:eastAsia="Arial" w:hAnsi="Arial"/>
          <w:sz w:val="16"/>
          <w:szCs w:val="16"/>
          <w:color w:val="auto"/>
        </w:rPr>
        <w:t xml:space="preserve"> Awards outstanding under the 2012 Plan as of August 29, 2022 will continue to be subject to the terms of the 2012 Plan, but if those awards subsequently expire, are forfeited or cancelled or are settled in cash, the shares subject to those awards will become available for awards under the 2022 Plan. Under the 2022 Plan, the Company has the ability to grant stock options, stock appreciation rights (SARs), restricted stock, restricted stock units, other stock-based awards and cash incentive awards. Awards under the 2022 Plan have a maximum term of ten years from the date of grant. The compensation committee may provide that the vesting or payment of any award will be subject to the attainment of specified performance measures in addition to the satisfaction of any continued service requirements and the compensation committee will determine whether such measures have been achieved. The per-share exercise price of stock options and SARs granted under the 2022 Plan generally may not be less than the fair market value of a share of our common stock on the date of the grant.</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 Stock Purchase Plan</w:t>
      </w:r>
    </w:p>
    <w:p>
      <w:pPr>
        <w:spacing w:after="0" w:line="190"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The Company’s 2012 Employee Stock Purchase Plan (ESPP) allows eligible employees to purchase a variable number of shares of the Company’s common stock each offering period at a discount through payroll deductions of up to 15 percent of their eligible compensation, subject to plan limitations. The ESPP provides for six-month offering periods with a single purchase period ending May 15 and November 15, respectively. At the end of each offering period, employees are able to purchase shares at 85 percent of the lower of the fair market value of the Company’s common stock on the first trading day of the offering period or on the last trading day of the offering period.</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Stock-Based Compensation Expense</w:t>
      </w:r>
    </w:p>
    <w:p>
      <w:pPr>
        <w:spacing w:after="0" w:line="203" w:lineRule="exact"/>
        <w:rPr>
          <w:sz w:val="20"/>
          <w:szCs w:val="20"/>
          <w:color w:val="auto"/>
        </w:rPr>
      </w:pPr>
    </w:p>
    <w:p>
      <w:pPr>
        <w:ind w:right="100"/>
        <w:spacing w:after="0" w:line="288" w:lineRule="auto"/>
        <w:rPr>
          <w:sz w:val="20"/>
          <w:szCs w:val="20"/>
          <w:color w:val="auto"/>
        </w:rPr>
      </w:pPr>
      <w:r>
        <w:rPr>
          <w:rFonts w:ascii="Arial" w:cs="Arial" w:eastAsia="Arial" w:hAnsi="Arial"/>
          <w:sz w:val="17"/>
          <w:szCs w:val="17"/>
          <w:color w:val="auto"/>
        </w:rPr>
        <w:t>Stock-based compensation expense was $4.4 million and $4.9 million for the three months ended September 30, 2023 and 2022, respectively, and $11.8 million and $13.3 million for the nine months ended September 30, 2023 and 2022.</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Options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stock option activity during the nine months ended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7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3"/>
              <w:spacing w:after="0"/>
              <w:rPr>
                <w:sz w:val="20"/>
                <w:szCs w:val="20"/>
                <w:color w:val="auto"/>
              </w:rPr>
            </w:pPr>
            <w:r>
              <w:rPr>
                <w:rFonts w:ascii="Arial" w:cs="Arial" w:eastAsia="Arial" w:hAnsi="Arial"/>
                <w:sz w:val="17"/>
                <w:szCs w:val="17"/>
                <w:b w:val="1"/>
                <w:bCs w:val="1"/>
                <w:color w:val="auto"/>
                <w:w w:val="92"/>
              </w:rPr>
              <w:t>Weighted-</w:t>
            </w:r>
          </w:p>
        </w:tc>
      </w:tr>
      <w:tr>
        <w:trPr>
          <w:trHeight w:val="209"/>
        </w:trPr>
        <w:tc>
          <w:tcPr>
            <w:tcW w:w="8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3"/>
              <w:spacing w:after="0"/>
              <w:rPr>
                <w:sz w:val="20"/>
                <w:szCs w:val="20"/>
                <w:color w:val="auto"/>
              </w:rPr>
            </w:pPr>
            <w:r>
              <w:rPr>
                <w:rFonts w:ascii="Arial" w:cs="Arial" w:eastAsia="Arial" w:hAnsi="Arial"/>
                <w:sz w:val="17"/>
                <w:szCs w:val="17"/>
                <w:b w:val="1"/>
                <w:bCs w:val="1"/>
                <w:color w:val="auto"/>
                <w:w w:val="89"/>
              </w:rPr>
              <w:t>Average</w:t>
            </w:r>
          </w:p>
        </w:tc>
      </w:tr>
      <w:tr>
        <w:trPr>
          <w:trHeight w:val="227"/>
        </w:trPr>
        <w:tc>
          <w:tcPr>
            <w:tcW w:w="8200" w:type="dxa"/>
            <w:vAlign w:val="bottom"/>
          </w:tcPr>
          <w:p>
            <w:pPr>
              <w:spacing w:after="0"/>
              <w:rPr>
                <w:sz w:val="19"/>
                <w:szCs w:val="19"/>
                <w:color w:val="auto"/>
              </w:rPr>
            </w:pPr>
          </w:p>
        </w:tc>
        <w:tc>
          <w:tcPr>
            <w:tcW w:w="1480" w:type="dxa"/>
            <w:vAlign w:val="bottom"/>
          </w:tcPr>
          <w:p>
            <w:pPr>
              <w:jc w:val="right"/>
              <w:ind w:right="133"/>
              <w:spacing w:after="0"/>
              <w:rPr>
                <w:sz w:val="20"/>
                <w:szCs w:val="20"/>
                <w:color w:val="auto"/>
              </w:rPr>
            </w:pPr>
            <w:r>
              <w:rPr>
                <w:rFonts w:ascii="Arial" w:cs="Arial" w:eastAsia="Arial" w:hAnsi="Arial"/>
                <w:sz w:val="17"/>
                <w:szCs w:val="17"/>
                <w:b w:val="1"/>
                <w:bCs w:val="1"/>
                <w:color w:val="auto"/>
              </w:rPr>
              <w:t>Stock Options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center"/>
              <w:ind w:right="53"/>
              <w:spacing w:after="0"/>
              <w:rPr>
                <w:sz w:val="20"/>
                <w:szCs w:val="20"/>
                <w:color w:val="auto"/>
              </w:rPr>
            </w:pPr>
            <w:r>
              <w:rPr>
                <w:rFonts w:ascii="Arial" w:cs="Arial" w:eastAsia="Arial" w:hAnsi="Arial"/>
                <w:sz w:val="17"/>
                <w:szCs w:val="17"/>
                <w:b w:val="1"/>
                <w:bCs w:val="1"/>
                <w:color w:val="auto"/>
                <w:w w:val="91"/>
              </w:rPr>
              <w:t>Exercise Price</w:t>
            </w:r>
          </w:p>
        </w:tc>
      </w:tr>
      <w:tr>
        <w:trPr>
          <w:trHeight w:val="26"/>
        </w:trPr>
        <w:tc>
          <w:tcPr>
            <w:tcW w:w="8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4"/>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Options outstanding at December 31, 2022</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263,992</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79.07</w:t>
            </w:r>
          </w:p>
        </w:tc>
      </w:tr>
      <w:tr>
        <w:trPr>
          <w:trHeight w:val="235"/>
        </w:trPr>
        <w:tc>
          <w:tcPr>
            <w:tcW w:w="8200" w:type="dxa"/>
            <w:vAlign w:val="bottom"/>
          </w:tcPr>
          <w:p>
            <w:pPr>
              <w:ind w:left="20"/>
              <w:spacing w:after="0"/>
              <w:rPr>
                <w:sz w:val="20"/>
                <w:szCs w:val="20"/>
                <w:color w:val="auto"/>
              </w:rPr>
            </w:pPr>
            <w:r>
              <w:rPr>
                <w:rFonts w:ascii="Arial" w:cs="Arial" w:eastAsia="Arial" w:hAnsi="Arial"/>
                <w:sz w:val="17"/>
                <w:szCs w:val="17"/>
                <w:color w:val="auto"/>
              </w:rPr>
              <w:t>Granted</w:t>
            </w:r>
          </w:p>
        </w:tc>
        <w:tc>
          <w:tcPr>
            <w:tcW w:w="1480" w:type="dxa"/>
            <w:vAlign w:val="bottom"/>
          </w:tcPr>
          <w:p>
            <w:pPr>
              <w:jc w:val="right"/>
              <w:spacing w:after="0"/>
              <w:rPr>
                <w:sz w:val="20"/>
                <w:szCs w:val="20"/>
                <w:color w:val="auto"/>
              </w:rPr>
            </w:pPr>
            <w:r>
              <w:rPr>
                <w:rFonts w:ascii="Arial" w:cs="Arial" w:eastAsia="Arial" w:hAnsi="Arial"/>
                <w:sz w:val="17"/>
                <w:szCs w:val="17"/>
                <w:color w:val="auto"/>
              </w:rPr>
              <w:t>186,804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33.36</w:t>
            </w:r>
          </w:p>
        </w:tc>
      </w:tr>
      <w:tr>
        <w:trPr>
          <w:trHeight w:val="26"/>
        </w:trPr>
        <w:tc>
          <w:tcPr>
            <w:tcW w:w="8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Exercised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5"/>
        </w:trPr>
        <w:tc>
          <w:tcPr>
            <w:tcW w:w="8200" w:type="dxa"/>
            <w:vAlign w:val="bottom"/>
          </w:tcPr>
          <w:p>
            <w:pPr>
              <w:ind w:left="20"/>
              <w:spacing w:after="0"/>
              <w:rPr>
                <w:sz w:val="20"/>
                <w:szCs w:val="20"/>
                <w:color w:val="auto"/>
              </w:rPr>
            </w:pPr>
            <w:r>
              <w:rPr>
                <w:rFonts w:ascii="Arial" w:cs="Arial" w:eastAsia="Arial" w:hAnsi="Arial"/>
                <w:sz w:val="17"/>
                <w:szCs w:val="17"/>
                <w:color w:val="auto"/>
              </w:rPr>
              <w:t>Forfeited</w:t>
            </w:r>
          </w:p>
        </w:tc>
        <w:tc>
          <w:tcPr>
            <w:tcW w:w="1480" w:type="dxa"/>
            <w:vAlign w:val="bottom"/>
          </w:tcPr>
          <w:p>
            <w:pPr>
              <w:jc w:val="right"/>
              <w:spacing w:after="0"/>
              <w:rPr>
                <w:sz w:val="20"/>
                <w:szCs w:val="20"/>
                <w:color w:val="auto"/>
              </w:rPr>
            </w:pPr>
            <w:r>
              <w:rPr>
                <w:rFonts w:ascii="Arial" w:cs="Arial" w:eastAsia="Arial" w:hAnsi="Arial"/>
                <w:sz w:val="17"/>
                <w:szCs w:val="17"/>
                <w:color w:val="auto"/>
              </w:rPr>
              <w:t>(46,619)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63.57</w:t>
            </w:r>
          </w:p>
        </w:tc>
      </w:tr>
      <w:tr>
        <w:trPr>
          <w:trHeight w:val="26"/>
        </w:trPr>
        <w:tc>
          <w:tcPr>
            <w:tcW w:w="8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1"/>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Expired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(15,848)</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55.67</w:t>
            </w:r>
          </w:p>
        </w:tc>
      </w:tr>
      <w:tr>
        <w:trPr>
          <w:trHeight w:val="254"/>
        </w:trPr>
        <w:tc>
          <w:tcPr>
            <w:tcW w:w="8200" w:type="dxa"/>
            <w:vAlign w:val="bottom"/>
          </w:tcPr>
          <w:p>
            <w:pPr>
              <w:ind w:left="20"/>
              <w:spacing w:after="0"/>
              <w:rPr>
                <w:sz w:val="20"/>
                <w:szCs w:val="20"/>
                <w:color w:val="auto"/>
              </w:rPr>
            </w:pPr>
            <w:r>
              <w:rPr>
                <w:rFonts w:ascii="Arial" w:cs="Arial" w:eastAsia="Arial" w:hAnsi="Arial"/>
                <w:sz w:val="17"/>
                <w:szCs w:val="17"/>
                <w:color w:val="auto"/>
              </w:rPr>
              <w:t>Options outstanding at September 30, 2023</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388,329</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59.90</w:t>
            </w: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r>
      <w:tr>
        <w:trPr>
          <w:trHeight w:val="175"/>
        </w:trPr>
        <w:tc>
          <w:tcPr>
            <w:tcW w:w="82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61"/>
        </w:trPr>
        <w:tc>
          <w:tcPr>
            <w:tcW w:w="8200" w:type="dxa"/>
            <w:vAlign w:val="bottom"/>
          </w:tcPr>
          <w:p>
            <w:pPr>
              <w:ind w:left="20"/>
              <w:spacing w:after="0"/>
              <w:rPr>
                <w:sz w:val="20"/>
                <w:szCs w:val="20"/>
                <w:color w:val="auto"/>
              </w:rPr>
            </w:pPr>
            <w:r>
              <w:rPr>
                <w:rFonts w:ascii="Arial" w:cs="Arial" w:eastAsia="Arial" w:hAnsi="Arial"/>
                <w:sz w:val="17"/>
                <w:szCs w:val="17"/>
                <w:color w:val="auto"/>
              </w:rPr>
              <w:t>Exercisable at September 30, 2023</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121,083</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90.88</w:t>
            </w:r>
          </w:p>
        </w:tc>
      </w:tr>
      <w:tr>
        <w:trPr>
          <w:trHeight w:val="20"/>
        </w:trPr>
        <w:tc>
          <w:tcPr>
            <w:tcW w:w="82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23"/>
        </w:trPr>
        <w:tc>
          <w:tcPr>
            <w:tcW w:w="820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r>
    </w:tbl>
    <w:p>
      <w:pPr>
        <w:spacing w:after="0" w:line="249" w:lineRule="exact"/>
        <w:rPr>
          <w:sz w:val="20"/>
          <w:szCs w:val="20"/>
          <w:color w:val="auto"/>
        </w:rPr>
      </w:pPr>
    </w:p>
    <w:p>
      <w:pPr>
        <w:ind w:right="600"/>
        <w:spacing w:after="0" w:line="358" w:lineRule="auto"/>
        <w:rPr>
          <w:sz w:val="20"/>
          <w:szCs w:val="20"/>
          <w:color w:val="auto"/>
        </w:rPr>
      </w:pPr>
      <w:r>
        <w:rPr>
          <w:rFonts w:ascii="Arial" w:cs="Arial" w:eastAsia="Arial" w:hAnsi="Arial"/>
          <w:sz w:val="15"/>
          <w:szCs w:val="15"/>
          <w:color w:val="auto"/>
        </w:rPr>
        <w:t>The outstanding options generally have a term of ten years. For employees, options granted become exercisable ratably over the vesting period, which is generally a period of four years, beginning on the first anniversary of the grant date, subject to the employee’s continuing service to the Company.</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The weighted-average grant date fair value of options that were granted during the nine months ended September 30, 2023 was $16.36.</w:t>
      </w:r>
    </w:p>
    <w:p>
      <w:pPr>
        <w:spacing w:after="0" w:line="197" w:lineRule="exact"/>
        <w:rPr>
          <w:sz w:val="20"/>
          <w:szCs w:val="20"/>
          <w:color w:val="auto"/>
        </w:rPr>
      </w:pPr>
    </w:p>
    <w:p>
      <w:pPr>
        <w:ind w:right="200"/>
        <w:spacing w:after="0" w:line="288" w:lineRule="auto"/>
        <w:rPr>
          <w:sz w:val="20"/>
          <w:szCs w:val="20"/>
          <w:color w:val="auto"/>
        </w:rPr>
      </w:pPr>
      <w:r>
        <w:rPr>
          <w:rFonts w:ascii="Arial" w:cs="Arial" w:eastAsia="Arial" w:hAnsi="Arial"/>
          <w:sz w:val="17"/>
          <w:szCs w:val="17"/>
          <w:color w:val="auto"/>
        </w:rPr>
        <w:t>The following table provides the assumptions used in the Black-Scholes pricing model valuation of options during the nine months ended September 30,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1367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200" w:type="dxa"/>
            <w:vAlign w:val="bottom"/>
          </w:tcPr>
          <w:p>
            <w:pPr>
              <w:spacing w:after="0"/>
              <w:rPr>
                <w:sz w:val="19"/>
                <w:szCs w:val="19"/>
                <w:color w:val="auto"/>
              </w:rPr>
            </w:pPr>
          </w:p>
        </w:tc>
        <w:tc>
          <w:tcPr>
            <w:tcW w:w="3040" w:type="dxa"/>
            <w:vAlign w:val="bottom"/>
            <w:gridSpan w:val="4"/>
          </w:tcPr>
          <w:p>
            <w:pPr>
              <w:ind w:left="220"/>
              <w:spacing w:after="0"/>
              <w:rPr>
                <w:sz w:val="20"/>
                <w:szCs w:val="20"/>
                <w:color w:val="auto"/>
              </w:rPr>
            </w:pPr>
            <w:r>
              <w:rPr>
                <w:rFonts w:ascii="Arial" w:cs="Arial" w:eastAsia="Arial" w:hAnsi="Arial"/>
                <w:sz w:val="17"/>
                <w:szCs w:val="17"/>
                <w:b w:val="1"/>
                <w:bCs w:val="1"/>
                <w:color w:val="auto"/>
              </w:rPr>
              <w:t>Nine Months Ended September 30,</w:t>
            </w:r>
          </w:p>
        </w:tc>
      </w:tr>
      <w:tr>
        <w:trPr>
          <w:trHeight w:val="26"/>
        </w:trPr>
        <w:tc>
          <w:tcPr>
            <w:tcW w:w="82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8"/>
        </w:trPr>
        <w:tc>
          <w:tcPr>
            <w:tcW w:w="8200" w:type="dxa"/>
            <w:vAlign w:val="bottom"/>
          </w:tcPr>
          <w:p>
            <w:pPr>
              <w:spacing w:after="0"/>
              <w:rPr>
                <w:sz w:val="19"/>
                <w:szCs w:val="19"/>
                <w:color w:val="auto"/>
              </w:rPr>
            </w:pPr>
          </w:p>
        </w:tc>
        <w:tc>
          <w:tcPr>
            <w:tcW w:w="1480" w:type="dxa"/>
            <w:vAlign w:val="bottom"/>
            <w:gridSpan w:val="2"/>
          </w:tcPr>
          <w:p>
            <w:pPr>
              <w:jc w:val="right"/>
              <w:ind w:right="473"/>
              <w:spacing w:after="0"/>
              <w:rPr>
                <w:sz w:val="20"/>
                <w:szCs w:val="20"/>
                <w:color w:val="auto"/>
              </w:rPr>
            </w:pPr>
            <w:r>
              <w:rPr>
                <w:rFonts w:ascii="Arial" w:cs="Arial" w:eastAsia="Arial" w:hAnsi="Arial"/>
                <w:sz w:val="17"/>
                <w:szCs w:val="17"/>
                <w:b w:val="1"/>
                <w:bCs w:val="1"/>
                <w:color w:val="auto"/>
              </w:rPr>
              <w:t>2023</w:t>
            </w:r>
          </w:p>
        </w:tc>
        <w:tc>
          <w:tcPr>
            <w:tcW w:w="8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7"/>
                <w:szCs w:val="17"/>
                <w:b w:val="1"/>
                <w:bCs w:val="1"/>
                <w:color w:val="auto"/>
                <w:w w:val="89"/>
              </w:rPr>
              <w:t>2022</w:t>
            </w:r>
          </w:p>
        </w:tc>
      </w:tr>
      <w:tr>
        <w:trPr>
          <w:trHeight w:val="26"/>
        </w:trPr>
        <w:tc>
          <w:tcPr>
            <w:tcW w:w="82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4"/>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Risk-free interest rate</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3.55%</w:t>
            </w:r>
          </w:p>
        </w:tc>
        <w:tc>
          <w:tcPr>
            <w:tcW w:w="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- 4.55%</w:t>
            </w:r>
          </w:p>
        </w:tc>
        <w:tc>
          <w:tcPr>
            <w:tcW w:w="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3"/>
              </w:rPr>
              <w:t>1.94% - 3.40%</w:t>
            </w:r>
          </w:p>
        </w:tc>
      </w:tr>
      <w:tr>
        <w:trPr>
          <w:trHeight w:val="235"/>
        </w:trPr>
        <w:tc>
          <w:tcPr>
            <w:tcW w:w="8200" w:type="dxa"/>
            <w:vAlign w:val="bottom"/>
          </w:tcPr>
          <w:p>
            <w:pPr>
              <w:ind w:left="20"/>
              <w:spacing w:after="0"/>
              <w:rPr>
                <w:sz w:val="20"/>
                <w:szCs w:val="20"/>
                <w:color w:val="auto"/>
              </w:rPr>
            </w:pPr>
            <w:r>
              <w:rPr>
                <w:rFonts w:ascii="Arial" w:cs="Arial" w:eastAsia="Arial" w:hAnsi="Arial"/>
                <w:sz w:val="17"/>
                <w:szCs w:val="17"/>
                <w:color w:val="auto"/>
              </w:rPr>
              <w:t>Expected life (years)</w:t>
            </w:r>
          </w:p>
        </w:tc>
        <w:tc>
          <w:tcPr>
            <w:tcW w:w="680" w:type="dxa"/>
            <w:vAlign w:val="bottom"/>
          </w:tcPr>
          <w:p>
            <w:pPr>
              <w:jc w:val="right"/>
              <w:spacing w:after="0"/>
              <w:rPr>
                <w:sz w:val="20"/>
                <w:szCs w:val="20"/>
                <w:color w:val="auto"/>
              </w:rPr>
            </w:pPr>
            <w:r>
              <w:rPr>
                <w:rFonts w:ascii="Arial" w:cs="Arial" w:eastAsia="Arial" w:hAnsi="Arial"/>
                <w:sz w:val="17"/>
                <w:szCs w:val="17"/>
                <w:color w:val="auto"/>
              </w:rPr>
              <w:t>2.00</w:t>
            </w:r>
          </w:p>
        </w:tc>
        <w:tc>
          <w:tcPr>
            <w:tcW w:w="800" w:type="dxa"/>
            <w:vAlign w:val="bottom"/>
          </w:tcPr>
          <w:p>
            <w:pPr>
              <w:ind w:left="20"/>
              <w:spacing w:after="0"/>
              <w:rPr>
                <w:sz w:val="20"/>
                <w:szCs w:val="20"/>
                <w:color w:val="auto"/>
              </w:rPr>
            </w:pPr>
            <w:r>
              <w:rPr>
                <w:rFonts w:ascii="Arial" w:cs="Arial" w:eastAsia="Arial" w:hAnsi="Arial"/>
                <w:sz w:val="17"/>
                <w:szCs w:val="17"/>
                <w:color w:val="auto"/>
              </w:rPr>
              <w:t>- 6.25</w:t>
            </w:r>
          </w:p>
        </w:tc>
        <w:tc>
          <w:tcPr>
            <w:tcW w:w="8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90"/>
              </w:rPr>
              <w:t>6.25</w:t>
            </w:r>
          </w:p>
        </w:tc>
      </w:tr>
      <w:tr>
        <w:trPr>
          <w:trHeight w:val="26"/>
        </w:trPr>
        <w:tc>
          <w:tcPr>
            <w:tcW w:w="8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Expected volatility</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49.23%</w:t>
            </w:r>
          </w:p>
        </w:tc>
        <w:tc>
          <w:tcPr>
            <w:tcW w:w="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- 55.92%</w:t>
            </w:r>
          </w:p>
        </w:tc>
        <w:tc>
          <w:tcPr>
            <w:tcW w:w="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3"/>
              </w:rPr>
              <w:t>45.95% - 46.03%</w:t>
            </w:r>
          </w:p>
        </w:tc>
      </w:tr>
      <w:tr>
        <w:trPr>
          <w:trHeight w:val="235"/>
        </w:trPr>
        <w:tc>
          <w:tcPr>
            <w:tcW w:w="8200" w:type="dxa"/>
            <w:vAlign w:val="bottom"/>
          </w:tcPr>
          <w:p>
            <w:pPr>
              <w:ind w:left="20"/>
              <w:spacing w:after="0"/>
              <w:rPr>
                <w:sz w:val="20"/>
                <w:szCs w:val="20"/>
                <w:color w:val="auto"/>
              </w:rPr>
            </w:pPr>
            <w:r>
              <w:rPr>
                <w:rFonts w:ascii="Arial" w:cs="Arial" w:eastAsia="Arial" w:hAnsi="Arial"/>
                <w:sz w:val="17"/>
                <w:szCs w:val="17"/>
                <w:color w:val="auto"/>
              </w:rPr>
              <w:t>Expected dividend yield</w:t>
            </w:r>
          </w:p>
        </w:tc>
        <w:tc>
          <w:tcPr>
            <w:tcW w:w="1480" w:type="dxa"/>
            <w:vAlign w:val="bottom"/>
            <w:gridSpan w:val="2"/>
          </w:tcPr>
          <w:p>
            <w:pPr>
              <w:jc w:val="right"/>
              <w:ind w:right="533"/>
              <w:spacing w:after="0"/>
              <w:rPr>
                <w:sz w:val="20"/>
                <w:szCs w:val="20"/>
                <w:color w:val="auto"/>
              </w:rPr>
            </w:pPr>
            <w:r>
              <w:rPr>
                <w:rFonts w:ascii="Arial" w:cs="Arial" w:eastAsia="Arial" w:hAnsi="Arial"/>
                <w:sz w:val="17"/>
                <w:szCs w:val="17"/>
                <w:color w:val="auto"/>
              </w:rPr>
              <w:t>0%</w:t>
            </w:r>
          </w:p>
        </w:tc>
        <w:tc>
          <w:tcPr>
            <w:tcW w:w="8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97"/>
              </w:rPr>
              <w:t>0%</w:t>
            </w:r>
          </w:p>
        </w:tc>
      </w:tr>
      <w:tr>
        <w:trPr>
          <w:trHeight w:val="183"/>
        </w:trPr>
        <w:tc>
          <w:tcPr>
            <w:tcW w:w="8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r>
    </w:tbl>
    <w:p>
      <w:pPr>
        <w:spacing w:after="0" w:line="249" w:lineRule="exact"/>
        <w:rPr>
          <w:sz w:val="20"/>
          <w:szCs w:val="20"/>
          <w:color w:val="auto"/>
        </w:rPr>
      </w:pPr>
    </w:p>
    <w:p>
      <w:pPr>
        <w:jc w:val="both"/>
        <w:ind w:right="120"/>
        <w:spacing w:after="0" w:line="288" w:lineRule="auto"/>
        <w:rPr>
          <w:sz w:val="20"/>
          <w:szCs w:val="20"/>
          <w:color w:val="auto"/>
        </w:rPr>
      </w:pPr>
      <w:r>
        <w:rPr>
          <w:rFonts w:ascii="Arial" w:cs="Arial" w:eastAsia="Arial" w:hAnsi="Arial"/>
          <w:sz w:val="17"/>
          <w:szCs w:val="17"/>
          <w:color w:val="auto"/>
        </w:rPr>
        <w:t>As of September 30, 2023, there was $4.5 million of unrecognized compensation expense related to unvested stock options, which is expected to be recognized over a weighted-average period of 2.6 years.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Restricted Stock</w:t>
      </w:r>
    </w:p>
    <w:p>
      <w:pPr>
        <w:spacing w:after="0" w:line="203" w:lineRule="exact"/>
        <w:rPr>
          <w:sz w:val="20"/>
          <w:szCs w:val="20"/>
          <w:color w:val="auto"/>
        </w:rPr>
      </w:pPr>
    </w:p>
    <w:p>
      <w:pPr>
        <w:ind w:right="460"/>
        <w:spacing w:after="0" w:line="272" w:lineRule="auto"/>
        <w:rPr>
          <w:sz w:val="20"/>
          <w:szCs w:val="20"/>
          <w:color w:val="auto"/>
        </w:rPr>
      </w:pPr>
      <w:r>
        <w:rPr>
          <w:rFonts w:ascii="Arial" w:cs="Arial" w:eastAsia="Arial" w:hAnsi="Arial"/>
          <w:sz w:val="17"/>
          <w:szCs w:val="17"/>
          <w:color w:val="auto"/>
        </w:rPr>
        <w:t>Restricted stock awards are share-settled awards and restrictions lapse ratably over the vesting period, which is generally a period from three to four years, beginning on the first anniversary of the grant date, subject to the employee's continuing service to the Company. For the board of directors, restrictions generally lapse in full on the first anniversary of the grant date.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restricted stock activity during the nine months ended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71367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33"/>
              <w:spacing w:after="0"/>
              <w:rPr>
                <w:sz w:val="20"/>
                <w:szCs w:val="20"/>
                <w:color w:val="auto"/>
              </w:rPr>
            </w:pPr>
            <w:r>
              <w:rPr>
                <w:rFonts w:ascii="Arial" w:cs="Arial" w:eastAsia="Arial" w:hAnsi="Arial"/>
                <w:sz w:val="17"/>
                <w:szCs w:val="17"/>
                <w:b w:val="1"/>
                <w:bCs w:val="1"/>
                <w:color w:val="auto"/>
                <w:w w:val="92"/>
              </w:rPr>
              <w:t>Weighted-</w:t>
            </w:r>
          </w:p>
        </w:tc>
      </w:tr>
      <w:tr>
        <w:trPr>
          <w:trHeight w:val="209"/>
        </w:trPr>
        <w:tc>
          <w:tcPr>
            <w:tcW w:w="8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33"/>
              <w:spacing w:after="0"/>
              <w:rPr>
                <w:sz w:val="20"/>
                <w:szCs w:val="20"/>
                <w:color w:val="auto"/>
              </w:rPr>
            </w:pPr>
            <w:r>
              <w:rPr>
                <w:rFonts w:ascii="Arial" w:cs="Arial" w:eastAsia="Arial" w:hAnsi="Arial"/>
                <w:sz w:val="17"/>
                <w:szCs w:val="17"/>
                <w:b w:val="1"/>
                <w:bCs w:val="1"/>
                <w:color w:val="auto"/>
                <w:w w:val="89"/>
              </w:rPr>
              <w:t>Average</w:t>
            </w:r>
          </w:p>
        </w:tc>
      </w:tr>
      <w:tr>
        <w:trPr>
          <w:trHeight w:val="209"/>
        </w:trPr>
        <w:tc>
          <w:tcPr>
            <w:tcW w:w="8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33"/>
              <w:spacing w:after="0"/>
              <w:rPr>
                <w:sz w:val="20"/>
                <w:szCs w:val="20"/>
                <w:color w:val="auto"/>
              </w:rPr>
            </w:pPr>
            <w:r>
              <w:rPr>
                <w:rFonts w:ascii="Arial" w:cs="Arial" w:eastAsia="Arial" w:hAnsi="Arial"/>
                <w:sz w:val="17"/>
                <w:szCs w:val="17"/>
                <w:b w:val="1"/>
                <w:bCs w:val="1"/>
                <w:color w:val="auto"/>
                <w:w w:val="96"/>
              </w:rPr>
              <w:t>Grant Date</w:t>
            </w:r>
          </w:p>
        </w:tc>
      </w:tr>
      <w:tr>
        <w:trPr>
          <w:trHeight w:val="209"/>
        </w:trPr>
        <w:tc>
          <w:tcPr>
            <w:tcW w:w="8200" w:type="dxa"/>
            <w:vAlign w:val="bottom"/>
          </w:tcPr>
          <w:p>
            <w:pPr>
              <w:spacing w:after="0"/>
              <w:rPr>
                <w:sz w:val="18"/>
                <w:szCs w:val="18"/>
                <w:color w:val="auto"/>
              </w:rPr>
            </w:pPr>
          </w:p>
        </w:tc>
        <w:tc>
          <w:tcPr>
            <w:tcW w:w="1480" w:type="dxa"/>
            <w:vAlign w:val="bottom"/>
          </w:tcPr>
          <w:p>
            <w:pPr>
              <w:jc w:val="right"/>
              <w:ind w:right="273"/>
              <w:spacing w:after="0"/>
              <w:rPr>
                <w:sz w:val="20"/>
                <w:szCs w:val="20"/>
                <w:color w:val="auto"/>
              </w:rPr>
            </w:pPr>
            <w:r>
              <w:rPr>
                <w:rFonts w:ascii="Arial" w:cs="Arial" w:eastAsia="Arial" w:hAnsi="Arial"/>
                <w:sz w:val="17"/>
                <w:szCs w:val="17"/>
                <w:b w:val="1"/>
                <w:bCs w:val="1"/>
                <w:color w:val="auto"/>
              </w:rPr>
              <w:t>Restricted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13"/>
              <w:spacing w:after="0"/>
              <w:rPr>
                <w:sz w:val="20"/>
                <w:szCs w:val="20"/>
                <w:color w:val="auto"/>
              </w:rPr>
            </w:pPr>
            <w:r>
              <w:rPr>
                <w:rFonts w:ascii="Arial" w:cs="Arial" w:eastAsia="Arial" w:hAnsi="Arial"/>
                <w:sz w:val="17"/>
                <w:szCs w:val="17"/>
                <w:b w:val="1"/>
                <w:bCs w:val="1"/>
                <w:color w:val="auto"/>
                <w:w w:val="95"/>
              </w:rPr>
              <w:t>Fair Value</w:t>
            </w:r>
          </w:p>
        </w:tc>
      </w:tr>
      <w:tr>
        <w:trPr>
          <w:trHeight w:val="227"/>
        </w:trPr>
        <w:tc>
          <w:tcPr>
            <w:tcW w:w="8200" w:type="dxa"/>
            <w:vAlign w:val="bottom"/>
          </w:tcPr>
          <w:p>
            <w:pPr>
              <w:spacing w:after="0"/>
              <w:rPr>
                <w:sz w:val="19"/>
                <w:szCs w:val="19"/>
                <w:color w:val="auto"/>
              </w:rPr>
            </w:pPr>
          </w:p>
        </w:tc>
        <w:tc>
          <w:tcPr>
            <w:tcW w:w="1480" w:type="dxa"/>
            <w:vAlign w:val="bottom"/>
          </w:tcPr>
          <w:p>
            <w:pPr>
              <w:jc w:val="right"/>
              <w:ind w:right="453"/>
              <w:spacing w:after="0"/>
              <w:rPr>
                <w:sz w:val="20"/>
                <w:szCs w:val="20"/>
                <w:color w:val="auto"/>
              </w:rPr>
            </w:pPr>
            <w:r>
              <w:rPr>
                <w:rFonts w:ascii="Arial" w:cs="Arial" w:eastAsia="Arial" w:hAnsi="Arial"/>
                <w:sz w:val="17"/>
                <w:szCs w:val="17"/>
                <w:b w:val="1"/>
                <w:bCs w:val="1"/>
                <w:color w:val="auto"/>
              </w:rPr>
              <w:t>Stock</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center"/>
              <w:ind w:right="113"/>
              <w:spacing w:after="0"/>
              <w:rPr>
                <w:sz w:val="20"/>
                <w:szCs w:val="20"/>
                <w:color w:val="auto"/>
              </w:rPr>
            </w:pPr>
            <w:r>
              <w:rPr>
                <w:rFonts w:ascii="Arial" w:cs="Arial" w:eastAsia="Arial" w:hAnsi="Arial"/>
                <w:sz w:val="17"/>
                <w:szCs w:val="17"/>
                <w:b w:val="1"/>
                <w:bCs w:val="1"/>
                <w:color w:val="auto"/>
                <w:w w:val="93"/>
              </w:rPr>
              <w:t>Per Share</w:t>
            </w:r>
          </w:p>
        </w:tc>
      </w:tr>
      <w:tr>
        <w:trPr>
          <w:trHeight w:val="26"/>
        </w:trPr>
        <w:tc>
          <w:tcPr>
            <w:tcW w:w="8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4"/>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Restricted stock at December 31, 2022</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478,596</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70.36</w:t>
            </w:r>
          </w:p>
        </w:tc>
      </w:tr>
      <w:tr>
        <w:trPr>
          <w:trHeight w:val="235"/>
        </w:trPr>
        <w:tc>
          <w:tcPr>
            <w:tcW w:w="8200" w:type="dxa"/>
            <w:vAlign w:val="bottom"/>
          </w:tcPr>
          <w:p>
            <w:pPr>
              <w:ind w:left="20"/>
              <w:spacing w:after="0"/>
              <w:rPr>
                <w:sz w:val="20"/>
                <w:szCs w:val="20"/>
                <w:color w:val="auto"/>
              </w:rPr>
            </w:pPr>
            <w:r>
              <w:rPr>
                <w:rFonts w:ascii="Arial" w:cs="Arial" w:eastAsia="Arial" w:hAnsi="Arial"/>
                <w:sz w:val="17"/>
                <w:szCs w:val="17"/>
                <w:color w:val="auto"/>
              </w:rPr>
              <w:t>Granted</w:t>
            </w:r>
          </w:p>
        </w:tc>
        <w:tc>
          <w:tcPr>
            <w:tcW w:w="1480" w:type="dxa"/>
            <w:vAlign w:val="bottom"/>
          </w:tcPr>
          <w:p>
            <w:pPr>
              <w:jc w:val="right"/>
              <w:spacing w:after="0"/>
              <w:rPr>
                <w:sz w:val="20"/>
                <w:szCs w:val="20"/>
                <w:color w:val="auto"/>
              </w:rPr>
            </w:pPr>
            <w:r>
              <w:rPr>
                <w:rFonts w:ascii="Arial" w:cs="Arial" w:eastAsia="Arial" w:hAnsi="Arial"/>
                <w:sz w:val="17"/>
                <w:szCs w:val="17"/>
                <w:color w:val="auto"/>
              </w:rPr>
              <w:t>410,682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32.46</w:t>
            </w:r>
          </w:p>
        </w:tc>
      </w:tr>
      <w:tr>
        <w:trPr>
          <w:trHeight w:val="26"/>
        </w:trPr>
        <w:tc>
          <w:tcPr>
            <w:tcW w:w="8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Restrictions lapsed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(137,053)</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79.61</w:t>
            </w:r>
          </w:p>
        </w:tc>
      </w:tr>
      <w:tr>
        <w:trPr>
          <w:trHeight w:val="235"/>
        </w:trPr>
        <w:tc>
          <w:tcPr>
            <w:tcW w:w="8200" w:type="dxa"/>
            <w:vAlign w:val="bottom"/>
          </w:tcPr>
          <w:p>
            <w:pPr>
              <w:ind w:left="20"/>
              <w:spacing w:after="0"/>
              <w:rPr>
                <w:sz w:val="20"/>
                <w:szCs w:val="20"/>
                <w:color w:val="auto"/>
              </w:rPr>
            </w:pPr>
            <w:r>
              <w:rPr>
                <w:rFonts w:ascii="Arial" w:cs="Arial" w:eastAsia="Arial" w:hAnsi="Arial"/>
                <w:sz w:val="17"/>
                <w:szCs w:val="17"/>
                <w:color w:val="auto"/>
              </w:rPr>
              <w:t>Forfeited</w:t>
            </w:r>
          </w:p>
        </w:tc>
        <w:tc>
          <w:tcPr>
            <w:tcW w:w="1480" w:type="dxa"/>
            <w:vAlign w:val="bottom"/>
          </w:tcPr>
          <w:p>
            <w:pPr>
              <w:jc w:val="right"/>
              <w:spacing w:after="0"/>
              <w:rPr>
                <w:sz w:val="20"/>
                <w:szCs w:val="20"/>
                <w:color w:val="auto"/>
              </w:rPr>
            </w:pPr>
            <w:r>
              <w:rPr>
                <w:rFonts w:ascii="Arial" w:cs="Arial" w:eastAsia="Arial" w:hAnsi="Arial"/>
                <w:sz w:val="17"/>
                <w:szCs w:val="17"/>
                <w:color w:val="auto"/>
              </w:rPr>
              <w:t>(78,769)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65.65</w:t>
            </w:r>
          </w:p>
        </w:tc>
      </w:tr>
      <w:tr>
        <w:trPr>
          <w:trHeight w:val="26"/>
        </w:trPr>
        <w:tc>
          <w:tcPr>
            <w:tcW w:w="8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r>
      <w:tr>
        <w:trPr>
          <w:trHeight w:val="279"/>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Restricted stock at September 30, 2023</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673,456</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45.83</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r>
        <w:trPr>
          <w:trHeight w:val="103"/>
        </w:trPr>
        <w:tc>
          <w:tcPr>
            <w:tcW w:w="820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r>
    </w:tbl>
    <w:p>
      <w:pPr>
        <w:spacing w:after="0" w:line="249" w:lineRule="exact"/>
        <w:rPr>
          <w:sz w:val="20"/>
          <w:szCs w:val="20"/>
          <w:color w:val="auto"/>
        </w:rPr>
      </w:pPr>
    </w:p>
    <w:p>
      <w:pPr>
        <w:ind w:right="560"/>
        <w:spacing w:after="0" w:line="288" w:lineRule="auto"/>
        <w:rPr>
          <w:sz w:val="20"/>
          <w:szCs w:val="20"/>
          <w:color w:val="auto"/>
        </w:rPr>
      </w:pPr>
      <w:r>
        <w:rPr>
          <w:rFonts w:ascii="Arial" w:cs="Arial" w:eastAsia="Arial" w:hAnsi="Arial"/>
          <w:sz w:val="17"/>
          <w:szCs w:val="17"/>
          <w:color w:val="auto"/>
        </w:rPr>
        <w:t>As of September 30, 2023, there was $22.0 million of unrecognized compensation expense related to non-vested restricted stock, which is expected to be recognized over a weighted-average period of 2.7 years.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Performance Stock</w:t>
      </w:r>
    </w:p>
    <w:p>
      <w:pPr>
        <w:spacing w:after="0" w:line="190"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Performance stock units (PSUs) are expressed in terms of a target number of PSUs, with anywhere between 0 percent and 200 percent of that target number capable of being earned and vesting at the end of a three-year performance period depending on the Company’s performance in the final year of the performance period and the award recipient’s continued employment. Certain PSUs granted by the Company in 2021 are based on performance conditions and the related compensation cost is based on the probability that the performance conditions will be achieved. The Company’s PSUs granted in 2020, 2022, 2023 and certain PSUs granted in 2021 are based on market conditions and the related compensation cost is based on the fair value at grant date calculated using a Monte Carlo pricing model.</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performance stock activity during the nine months ended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7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33"/>
              <w:spacing w:after="0"/>
              <w:rPr>
                <w:sz w:val="20"/>
                <w:szCs w:val="20"/>
                <w:color w:val="auto"/>
              </w:rPr>
            </w:pPr>
            <w:r>
              <w:rPr>
                <w:rFonts w:ascii="Arial" w:cs="Arial" w:eastAsia="Arial" w:hAnsi="Arial"/>
                <w:sz w:val="17"/>
                <w:szCs w:val="17"/>
                <w:b w:val="1"/>
                <w:bCs w:val="1"/>
                <w:color w:val="auto"/>
                <w:w w:val="92"/>
              </w:rPr>
              <w:t>Weighted-</w:t>
            </w:r>
          </w:p>
        </w:tc>
      </w:tr>
      <w:tr>
        <w:trPr>
          <w:trHeight w:val="209"/>
        </w:trPr>
        <w:tc>
          <w:tcPr>
            <w:tcW w:w="8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33"/>
              <w:spacing w:after="0"/>
              <w:rPr>
                <w:sz w:val="20"/>
                <w:szCs w:val="20"/>
                <w:color w:val="auto"/>
              </w:rPr>
            </w:pPr>
            <w:r>
              <w:rPr>
                <w:rFonts w:ascii="Arial" w:cs="Arial" w:eastAsia="Arial" w:hAnsi="Arial"/>
                <w:sz w:val="17"/>
                <w:szCs w:val="17"/>
                <w:b w:val="1"/>
                <w:bCs w:val="1"/>
                <w:color w:val="auto"/>
                <w:w w:val="89"/>
              </w:rPr>
              <w:t>Average</w:t>
            </w:r>
          </w:p>
        </w:tc>
      </w:tr>
      <w:tr>
        <w:trPr>
          <w:trHeight w:val="209"/>
        </w:trPr>
        <w:tc>
          <w:tcPr>
            <w:tcW w:w="8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33"/>
              <w:spacing w:after="0"/>
              <w:rPr>
                <w:sz w:val="20"/>
                <w:szCs w:val="20"/>
                <w:color w:val="auto"/>
              </w:rPr>
            </w:pPr>
            <w:r>
              <w:rPr>
                <w:rFonts w:ascii="Arial" w:cs="Arial" w:eastAsia="Arial" w:hAnsi="Arial"/>
                <w:sz w:val="17"/>
                <w:szCs w:val="17"/>
                <w:b w:val="1"/>
                <w:bCs w:val="1"/>
                <w:color w:val="auto"/>
                <w:w w:val="96"/>
              </w:rPr>
              <w:t>Grant Date</w:t>
            </w:r>
          </w:p>
        </w:tc>
      </w:tr>
      <w:tr>
        <w:trPr>
          <w:trHeight w:val="209"/>
        </w:trPr>
        <w:tc>
          <w:tcPr>
            <w:tcW w:w="8200" w:type="dxa"/>
            <w:vAlign w:val="bottom"/>
          </w:tcPr>
          <w:p>
            <w:pPr>
              <w:spacing w:after="0"/>
              <w:rPr>
                <w:sz w:val="18"/>
                <w:szCs w:val="18"/>
                <w:color w:val="auto"/>
              </w:rPr>
            </w:pPr>
          </w:p>
        </w:tc>
        <w:tc>
          <w:tcPr>
            <w:tcW w:w="1480" w:type="dxa"/>
            <w:vAlign w:val="bottom"/>
          </w:tcPr>
          <w:p>
            <w:pPr>
              <w:jc w:val="right"/>
              <w:ind w:right="173"/>
              <w:spacing w:after="0"/>
              <w:rPr>
                <w:sz w:val="20"/>
                <w:szCs w:val="20"/>
                <w:color w:val="auto"/>
              </w:rPr>
            </w:pPr>
            <w:r>
              <w:rPr>
                <w:rFonts w:ascii="Arial" w:cs="Arial" w:eastAsia="Arial" w:hAnsi="Arial"/>
                <w:sz w:val="17"/>
                <w:szCs w:val="17"/>
                <w:b w:val="1"/>
                <w:bCs w:val="1"/>
                <w:color w:val="auto"/>
              </w:rPr>
              <w:t>Performance</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13"/>
              <w:spacing w:after="0"/>
              <w:rPr>
                <w:sz w:val="20"/>
                <w:szCs w:val="20"/>
                <w:color w:val="auto"/>
              </w:rPr>
            </w:pPr>
            <w:r>
              <w:rPr>
                <w:rFonts w:ascii="Arial" w:cs="Arial" w:eastAsia="Arial" w:hAnsi="Arial"/>
                <w:sz w:val="17"/>
                <w:szCs w:val="17"/>
                <w:b w:val="1"/>
                <w:bCs w:val="1"/>
                <w:color w:val="auto"/>
                <w:w w:val="95"/>
              </w:rPr>
              <w:t>Fair Value</w:t>
            </w:r>
          </w:p>
        </w:tc>
      </w:tr>
      <w:tr>
        <w:trPr>
          <w:trHeight w:val="227"/>
        </w:trPr>
        <w:tc>
          <w:tcPr>
            <w:tcW w:w="8200" w:type="dxa"/>
            <w:vAlign w:val="bottom"/>
          </w:tcPr>
          <w:p>
            <w:pPr>
              <w:spacing w:after="0"/>
              <w:rPr>
                <w:sz w:val="19"/>
                <w:szCs w:val="19"/>
                <w:color w:val="auto"/>
              </w:rPr>
            </w:pPr>
          </w:p>
        </w:tc>
        <w:tc>
          <w:tcPr>
            <w:tcW w:w="1480" w:type="dxa"/>
            <w:vAlign w:val="bottom"/>
          </w:tcPr>
          <w:p>
            <w:pPr>
              <w:jc w:val="right"/>
              <w:ind w:right="453"/>
              <w:spacing w:after="0"/>
              <w:rPr>
                <w:sz w:val="20"/>
                <w:szCs w:val="20"/>
                <w:color w:val="auto"/>
              </w:rPr>
            </w:pPr>
            <w:r>
              <w:rPr>
                <w:rFonts w:ascii="Arial" w:cs="Arial" w:eastAsia="Arial" w:hAnsi="Arial"/>
                <w:sz w:val="17"/>
                <w:szCs w:val="17"/>
                <w:b w:val="1"/>
                <w:bCs w:val="1"/>
                <w:color w:val="auto"/>
              </w:rPr>
              <w:t>Stock</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center"/>
              <w:ind w:right="113"/>
              <w:spacing w:after="0"/>
              <w:rPr>
                <w:sz w:val="20"/>
                <w:szCs w:val="20"/>
                <w:color w:val="auto"/>
              </w:rPr>
            </w:pPr>
            <w:r>
              <w:rPr>
                <w:rFonts w:ascii="Arial" w:cs="Arial" w:eastAsia="Arial" w:hAnsi="Arial"/>
                <w:sz w:val="17"/>
                <w:szCs w:val="17"/>
                <w:b w:val="1"/>
                <w:bCs w:val="1"/>
                <w:color w:val="auto"/>
                <w:w w:val="93"/>
              </w:rPr>
              <w:t>Per Share</w:t>
            </w:r>
          </w:p>
        </w:tc>
      </w:tr>
      <w:tr>
        <w:trPr>
          <w:trHeight w:val="26"/>
        </w:trPr>
        <w:tc>
          <w:tcPr>
            <w:tcW w:w="8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4"/>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Performance stock at December 31, 2022</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35,802</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77.91</w:t>
            </w:r>
          </w:p>
        </w:tc>
      </w:tr>
      <w:tr>
        <w:trPr>
          <w:trHeight w:val="235"/>
        </w:trPr>
        <w:tc>
          <w:tcPr>
            <w:tcW w:w="8200" w:type="dxa"/>
            <w:vAlign w:val="bottom"/>
          </w:tcPr>
          <w:p>
            <w:pPr>
              <w:ind w:left="20"/>
              <w:spacing w:after="0"/>
              <w:rPr>
                <w:sz w:val="20"/>
                <w:szCs w:val="20"/>
                <w:color w:val="auto"/>
              </w:rPr>
            </w:pPr>
            <w:r>
              <w:rPr>
                <w:rFonts w:ascii="Arial" w:cs="Arial" w:eastAsia="Arial" w:hAnsi="Arial"/>
                <w:sz w:val="17"/>
                <w:szCs w:val="17"/>
                <w:color w:val="auto"/>
              </w:rPr>
              <w:t>Granted</w:t>
            </w:r>
          </w:p>
        </w:tc>
        <w:tc>
          <w:tcPr>
            <w:tcW w:w="1480" w:type="dxa"/>
            <w:vAlign w:val="bottom"/>
          </w:tcPr>
          <w:p>
            <w:pPr>
              <w:jc w:val="right"/>
              <w:spacing w:after="0"/>
              <w:rPr>
                <w:sz w:val="20"/>
                <w:szCs w:val="20"/>
                <w:color w:val="auto"/>
              </w:rPr>
            </w:pPr>
            <w:r>
              <w:rPr>
                <w:rFonts w:ascii="Arial" w:cs="Arial" w:eastAsia="Arial" w:hAnsi="Arial"/>
                <w:sz w:val="17"/>
                <w:szCs w:val="17"/>
                <w:color w:val="auto"/>
              </w:rPr>
              <w:t>71,295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57.79</w:t>
            </w:r>
          </w:p>
        </w:tc>
      </w:tr>
      <w:tr>
        <w:trPr>
          <w:trHeight w:val="26"/>
        </w:trPr>
        <w:tc>
          <w:tcPr>
            <w:tcW w:w="8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Restrictions lapsed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5"/>
        </w:trPr>
        <w:tc>
          <w:tcPr>
            <w:tcW w:w="8200" w:type="dxa"/>
            <w:vAlign w:val="bottom"/>
          </w:tcPr>
          <w:p>
            <w:pPr>
              <w:ind w:left="20"/>
              <w:spacing w:after="0"/>
              <w:rPr>
                <w:sz w:val="20"/>
                <w:szCs w:val="20"/>
                <w:color w:val="auto"/>
              </w:rPr>
            </w:pPr>
            <w:r>
              <w:rPr>
                <w:rFonts w:ascii="Arial" w:cs="Arial" w:eastAsia="Arial" w:hAnsi="Arial"/>
                <w:sz w:val="17"/>
                <w:szCs w:val="17"/>
                <w:color w:val="auto"/>
              </w:rPr>
              <w:t>Performance change</w:t>
            </w:r>
          </w:p>
        </w:tc>
        <w:tc>
          <w:tcPr>
            <w:tcW w:w="14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6"/>
        </w:trPr>
        <w:tc>
          <w:tcPr>
            <w:tcW w:w="8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61"/>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Forfeited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54"/>
        </w:trPr>
        <w:tc>
          <w:tcPr>
            <w:tcW w:w="8200" w:type="dxa"/>
            <w:vAlign w:val="bottom"/>
          </w:tcPr>
          <w:p>
            <w:pPr>
              <w:ind w:left="20"/>
              <w:spacing w:after="0"/>
              <w:rPr>
                <w:sz w:val="20"/>
                <w:szCs w:val="20"/>
                <w:color w:val="auto"/>
              </w:rPr>
            </w:pPr>
            <w:r>
              <w:rPr>
                <w:rFonts w:ascii="Arial" w:cs="Arial" w:eastAsia="Arial" w:hAnsi="Arial"/>
                <w:sz w:val="17"/>
                <w:szCs w:val="17"/>
                <w:color w:val="auto"/>
              </w:rPr>
              <w:t>Performance stock at September 30, 2023</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107,097</w:t>
            </w:r>
          </w:p>
        </w:tc>
        <w:tc>
          <w:tcPr>
            <w:tcW w:w="3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74.08</w:t>
            </w:r>
          </w:p>
        </w:tc>
      </w:tr>
      <w:tr>
        <w:trPr>
          <w:trHeight w:val="20"/>
        </w:trPr>
        <w:tc>
          <w:tcPr>
            <w:tcW w:w="82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23"/>
        </w:trPr>
        <w:tc>
          <w:tcPr>
            <w:tcW w:w="820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160"/>
        <w:spacing w:after="0" w:line="288" w:lineRule="auto"/>
        <w:rPr>
          <w:sz w:val="20"/>
          <w:szCs w:val="20"/>
          <w:color w:val="auto"/>
        </w:rPr>
      </w:pPr>
      <w:r>
        <w:rPr>
          <w:rFonts w:ascii="Arial" w:cs="Arial" w:eastAsia="Arial" w:hAnsi="Arial"/>
          <w:sz w:val="17"/>
          <w:szCs w:val="17"/>
          <w:color w:val="auto"/>
        </w:rPr>
        <w:t>The following table provides the assumptions used in the Monte Carlo pricing model valuation of PSUs during the nine months ended September 30,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1367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15" w:lineRule="exact"/>
        <w:rPr>
          <w:sz w:val="20"/>
          <w:szCs w:val="20"/>
          <w:color w:val="auto"/>
        </w:rPr>
      </w:pPr>
    </w:p>
    <w:p>
      <w:pPr>
        <w:jc w:val="center"/>
        <w:ind w:left="8180"/>
        <w:spacing w:after="0"/>
        <w:rPr>
          <w:sz w:val="20"/>
          <w:szCs w:val="20"/>
          <w:color w:val="auto"/>
        </w:rPr>
      </w:pPr>
      <w:r>
        <w:rPr>
          <w:rFonts w:ascii="Arial" w:cs="Arial" w:eastAsia="Arial" w:hAnsi="Arial"/>
          <w:sz w:val="17"/>
          <w:szCs w:val="17"/>
          <w:b w:val="1"/>
          <w:bCs w:val="1"/>
          <w:color w:val="auto"/>
        </w:rPr>
        <w:t>Nine Months Ended</w:t>
      </w:r>
    </w:p>
    <w:p>
      <w:pPr>
        <w:spacing w:after="0" w:line="32" w:lineRule="exact"/>
        <w:rPr>
          <w:sz w:val="20"/>
          <w:szCs w:val="20"/>
          <w:color w:val="auto"/>
        </w:rPr>
      </w:pPr>
    </w:p>
    <w:p>
      <w:pPr>
        <w:jc w:val="center"/>
        <w:ind w:left="8180"/>
        <w:spacing w:after="0"/>
        <w:rPr>
          <w:sz w:val="20"/>
          <w:szCs w:val="20"/>
          <w:color w:val="auto"/>
        </w:rPr>
      </w:pPr>
      <w:r>
        <w:rPr>
          <w:rFonts w:ascii="Arial" w:cs="Arial" w:eastAsia="Arial" w:hAnsi="Arial"/>
          <w:sz w:val="17"/>
          <w:szCs w:val="17"/>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5205730</wp:posOffset>
            </wp:positionH>
            <wp:positionV relativeFrom="paragraph">
              <wp:posOffset>25400</wp:posOffset>
            </wp:positionV>
            <wp:extent cx="193357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933575" cy="8255"/>
                    </a:xfrm>
                    <a:prstGeom prst="rect">
                      <a:avLst/>
                    </a:prstGeom>
                    <a:noFill/>
                  </pic:spPr>
                </pic:pic>
              </a:graphicData>
            </a:graphic>
          </wp:anchor>
        </w:drawing>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2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7"/>
                <w:szCs w:val="17"/>
                <w:b w:val="1"/>
                <w:bCs w:val="1"/>
                <w:color w:val="auto"/>
                <w:w w:val="95"/>
              </w:rPr>
              <w:t>2023</w:t>
            </w:r>
          </w:p>
        </w:tc>
        <w:tc>
          <w:tcPr>
            <w:tcW w:w="80" w:type="dxa"/>
            <w:vAlign w:val="bottom"/>
          </w:tcPr>
          <w:p>
            <w:pPr>
              <w:spacing w:after="0"/>
              <w:rPr>
                <w:sz w:val="19"/>
                <w:szCs w:val="19"/>
                <w:color w:val="auto"/>
              </w:rPr>
            </w:pPr>
          </w:p>
        </w:tc>
        <w:tc>
          <w:tcPr>
            <w:tcW w:w="1480" w:type="dxa"/>
            <w:vAlign w:val="bottom"/>
            <w:gridSpan w:val="2"/>
          </w:tcPr>
          <w:p>
            <w:pPr>
              <w:jc w:val="right"/>
              <w:ind w:right="473"/>
              <w:spacing w:after="0"/>
              <w:rPr>
                <w:sz w:val="20"/>
                <w:szCs w:val="20"/>
                <w:color w:val="auto"/>
              </w:rPr>
            </w:pPr>
            <w:r>
              <w:rPr>
                <w:rFonts w:ascii="Arial" w:cs="Arial" w:eastAsia="Arial" w:hAnsi="Arial"/>
                <w:sz w:val="17"/>
                <w:szCs w:val="17"/>
                <w:b w:val="1"/>
                <w:bCs w:val="1"/>
                <w:color w:val="auto"/>
              </w:rPr>
              <w:t>2022</w:t>
            </w:r>
          </w:p>
        </w:tc>
      </w:tr>
      <w:tr>
        <w:trPr>
          <w:trHeight w:val="26"/>
        </w:trPr>
        <w:tc>
          <w:tcPr>
            <w:tcW w:w="8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4"/>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Risk-free interest rate</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1"/>
              </w:rPr>
              <w:t>4.35%</w:t>
            </w:r>
          </w:p>
        </w:tc>
        <w:tc>
          <w:tcPr>
            <w:tcW w:w="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1.76%</w:t>
            </w:r>
          </w:p>
        </w:tc>
        <w:tc>
          <w:tcPr>
            <w:tcW w:w="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- 3.40%</w:t>
            </w:r>
          </w:p>
        </w:tc>
      </w:tr>
      <w:tr>
        <w:trPr>
          <w:trHeight w:val="235"/>
        </w:trPr>
        <w:tc>
          <w:tcPr>
            <w:tcW w:w="8200" w:type="dxa"/>
            <w:vAlign w:val="bottom"/>
          </w:tcPr>
          <w:p>
            <w:pPr>
              <w:ind w:left="20"/>
              <w:spacing w:after="0"/>
              <w:rPr>
                <w:sz w:val="20"/>
                <w:szCs w:val="20"/>
                <w:color w:val="auto"/>
              </w:rPr>
            </w:pPr>
            <w:r>
              <w:rPr>
                <w:rFonts w:ascii="Arial" w:cs="Arial" w:eastAsia="Arial" w:hAnsi="Arial"/>
                <w:sz w:val="17"/>
                <w:szCs w:val="17"/>
                <w:color w:val="auto"/>
              </w:rPr>
              <w:t>Expected life (years)</w:t>
            </w:r>
          </w:p>
        </w:tc>
        <w:tc>
          <w:tcPr>
            <w:tcW w:w="1480" w:type="dxa"/>
            <w:vAlign w:val="bottom"/>
          </w:tcPr>
          <w:p>
            <w:pPr>
              <w:jc w:val="center"/>
              <w:spacing w:after="0"/>
              <w:rPr>
                <w:sz w:val="20"/>
                <w:szCs w:val="20"/>
                <w:color w:val="auto"/>
              </w:rPr>
            </w:pPr>
            <w:r>
              <w:rPr>
                <w:rFonts w:ascii="Arial" w:cs="Arial" w:eastAsia="Arial" w:hAnsi="Arial"/>
                <w:sz w:val="17"/>
                <w:szCs w:val="17"/>
                <w:color w:val="auto"/>
                <w:w w:val="90"/>
              </w:rPr>
              <w:t>2.88</w:t>
            </w: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2.34</w:t>
            </w:r>
          </w:p>
        </w:tc>
        <w:tc>
          <w:tcPr>
            <w:tcW w:w="780" w:type="dxa"/>
            <w:vAlign w:val="bottom"/>
          </w:tcPr>
          <w:p>
            <w:pPr>
              <w:ind w:left="20"/>
              <w:spacing w:after="0"/>
              <w:rPr>
                <w:sz w:val="20"/>
                <w:szCs w:val="20"/>
                <w:color w:val="auto"/>
              </w:rPr>
            </w:pPr>
            <w:r>
              <w:rPr>
                <w:rFonts w:ascii="Arial" w:cs="Arial" w:eastAsia="Arial" w:hAnsi="Arial"/>
                <w:sz w:val="17"/>
                <w:szCs w:val="17"/>
                <w:color w:val="auto"/>
              </w:rPr>
              <w:t>- 2.87</w:t>
            </w:r>
          </w:p>
        </w:tc>
      </w:tr>
      <w:tr>
        <w:trPr>
          <w:trHeight w:val="26"/>
        </w:trPr>
        <w:tc>
          <w:tcPr>
            <w:tcW w:w="8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Expected volatility</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3"/>
              </w:rPr>
              <w:t>58.00%</w:t>
            </w:r>
          </w:p>
        </w:tc>
        <w:tc>
          <w:tcPr>
            <w:tcW w:w="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53.50%</w:t>
            </w:r>
          </w:p>
        </w:tc>
        <w:tc>
          <w:tcPr>
            <w:tcW w:w="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- 53.60%</w:t>
            </w:r>
          </w:p>
        </w:tc>
      </w:tr>
      <w:tr>
        <w:trPr>
          <w:trHeight w:val="235"/>
        </w:trPr>
        <w:tc>
          <w:tcPr>
            <w:tcW w:w="8200" w:type="dxa"/>
            <w:vAlign w:val="bottom"/>
          </w:tcPr>
          <w:p>
            <w:pPr>
              <w:ind w:left="20"/>
              <w:spacing w:after="0"/>
              <w:rPr>
                <w:sz w:val="20"/>
                <w:szCs w:val="20"/>
                <w:color w:val="auto"/>
              </w:rPr>
            </w:pPr>
            <w:r>
              <w:rPr>
                <w:rFonts w:ascii="Arial" w:cs="Arial" w:eastAsia="Arial" w:hAnsi="Arial"/>
                <w:sz w:val="17"/>
                <w:szCs w:val="17"/>
                <w:color w:val="auto"/>
              </w:rPr>
              <w:t>Expected dividend yield</w:t>
            </w:r>
          </w:p>
        </w:tc>
        <w:tc>
          <w:tcPr>
            <w:tcW w:w="1480" w:type="dxa"/>
            <w:vAlign w:val="bottom"/>
          </w:tcPr>
          <w:p>
            <w:pPr>
              <w:jc w:val="center"/>
              <w:spacing w:after="0"/>
              <w:rPr>
                <w:sz w:val="20"/>
                <w:szCs w:val="20"/>
                <w:color w:val="auto"/>
              </w:rPr>
            </w:pPr>
            <w:r>
              <w:rPr>
                <w:rFonts w:ascii="Arial" w:cs="Arial" w:eastAsia="Arial" w:hAnsi="Arial"/>
                <w:sz w:val="17"/>
                <w:szCs w:val="17"/>
                <w:color w:val="auto"/>
                <w:w w:val="97"/>
              </w:rPr>
              <w:t>0%</w:t>
            </w:r>
          </w:p>
        </w:tc>
        <w:tc>
          <w:tcPr>
            <w:tcW w:w="80" w:type="dxa"/>
            <w:vAlign w:val="bottom"/>
          </w:tcPr>
          <w:p>
            <w:pPr>
              <w:spacing w:after="0"/>
              <w:rPr>
                <w:sz w:val="20"/>
                <w:szCs w:val="20"/>
                <w:color w:val="auto"/>
              </w:rPr>
            </w:pPr>
          </w:p>
        </w:tc>
        <w:tc>
          <w:tcPr>
            <w:tcW w:w="1480" w:type="dxa"/>
            <w:vAlign w:val="bottom"/>
            <w:gridSpan w:val="2"/>
          </w:tcPr>
          <w:p>
            <w:pPr>
              <w:jc w:val="right"/>
              <w:ind w:right="533"/>
              <w:spacing w:after="0"/>
              <w:rPr>
                <w:sz w:val="20"/>
                <w:szCs w:val="20"/>
                <w:color w:val="auto"/>
              </w:rPr>
            </w:pPr>
            <w:r>
              <w:rPr>
                <w:rFonts w:ascii="Arial" w:cs="Arial" w:eastAsia="Arial" w:hAnsi="Arial"/>
                <w:sz w:val="17"/>
                <w:szCs w:val="17"/>
                <w:color w:val="auto"/>
              </w:rPr>
              <w:t>0%</w:t>
            </w:r>
          </w:p>
        </w:tc>
      </w:tr>
      <w:tr>
        <w:trPr>
          <w:trHeight w:val="183"/>
        </w:trPr>
        <w:tc>
          <w:tcPr>
            <w:tcW w:w="8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r>
    </w:tbl>
    <w:p>
      <w:pPr>
        <w:spacing w:after="0" w:line="249" w:lineRule="exact"/>
        <w:rPr>
          <w:sz w:val="20"/>
          <w:szCs w:val="20"/>
          <w:color w:val="auto"/>
        </w:rPr>
      </w:pPr>
    </w:p>
    <w:p>
      <w:pPr>
        <w:ind w:right="420"/>
        <w:spacing w:after="0" w:line="288" w:lineRule="auto"/>
        <w:rPr>
          <w:sz w:val="20"/>
          <w:szCs w:val="20"/>
          <w:color w:val="auto"/>
        </w:rPr>
      </w:pPr>
      <w:r>
        <w:rPr>
          <w:rFonts w:ascii="Arial" w:cs="Arial" w:eastAsia="Arial" w:hAnsi="Arial"/>
          <w:sz w:val="17"/>
          <w:szCs w:val="17"/>
          <w:color w:val="auto"/>
        </w:rPr>
        <w:t>As of September 30, 2023, there was $4.8 million of unrecognized compensation expense related to non-vested performance stock, which is expected to be recognized over a weighted-average period of 2.0 years.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 Stock Purchase Plan</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assumptions used to estimate the fair value of the ESPP during the nine months ended September 30,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156845</wp:posOffset>
            </wp:positionV>
            <wp:extent cx="713676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0" w:type="dxa"/>
            <w:vAlign w:val="bottom"/>
            <w:gridSpan w:val="3"/>
          </w:tcPr>
          <w:p>
            <w:pPr>
              <w:jc w:val="center"/>
              <w:ind w:left="33"/>
              <w:spacing w:after="0"/>
              <w:rPr>
                <w:sz w:val="20"/>
                <w:szCs w:val="20"/>
                <w:color w:val="auto"/>
              </w:rPr>
            </w:pPr>
            <w:r>
              <w:rPr>
                <w:rFonts w:ascii="Arial" w:cs="Arial" w:eastAsia="Arial" w:hAnsi="Arial"/>
                <w:sz w:val="17"/>
                <w:szCs w:val="17"/>
                <w:b w:val="1"/>
                <w:bCs w:val="1"/>
                <w:color w:val="auto"/>
                <w:w w:val="93"/>
              </w:rPr>
              <w:t>Nine Months Ended</w:t>
            </w:r>
          </w:p>
        </w:tc>
        <w:tc>
          <w:tcPr>
            <w:tcW w:w="900" w:type="dxa"/>
            <w:vAlign w:val="bottom"/>
          </w:tcPr>
          <w:p>
            <w:pPr>
              <w:spacing w:after="0"/>
              <w:rPr>
                <w:sz w:val="18"/>
                <w:szCs w:val="18"/>
                <w:color w:val="auto"/>
              </w:rPr>
            </w:pPr>
          </w:p>
        </w:tc>
      </w:tr>
      <w:tr>
        <w:trPr>
          <w:trHeight w:val="227"/>
        </w:trPr>
        <w:tc>
          <w:tcPr>
            <w:tcW w:w="7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0" w:type="dxa"/>
            <w:vAlign w:val="bottom"/>
            <w:gridSpan w:val="3"/>
          </w:tcPr>
          <w:p>
            <w:pPr>
              <w:jc w:val="center"/>
              <w:ind w:left="33"/>
              <w:spacing w:after="0"/>
              <w:rPr>
                <w:sz w:val="20"/>
                <w:szCs w:val="20"/>
                <w:color w:val="auto"/>
              </w:rPr>
            </w:pPr>
            <w:r>
              <w:rPr>
                <w:rFonts w:ascii="Arial" w:cs="Arial" w:eastAsia="Arial" w:hAnsi="Arial"/>
                <w:sz w:val="17"/>
                <w:szCs w:val="17"/>
                <w:b w:val="1"/>
                <w:bCs w:val="1"/>
                <w:color w:val="auto"/>
                <w:w w:val="92"/>
              </w:rPr>
              <w:t>September 30,</w:t>
            </w:r>
          </w:p>
        </w:tc>
        <w:tc>
          <w:tcPr>
            <w:tcW w:w="900" w:type="dxa"/>
            <w:vAlign w:val="bottom"/>
          </w:tcPr>
          <w:p>
            <w:pPr>
              <w:spacing w:after="0"/>
              <w:rPr>
                <w:sz w:val="19"/>
                <w:szCs w:val="19"/>
                <w:color w:val="auto"/>
              </w:rPr>
            </w:pPr>
          </w:p>
        </w:tc>
      </w:tr>
      <w:tr>
        <w:trPr>
          <w:trHeight w:val="26"/>
        </w:trPr>
        <w:tc>
          <w:tcPr>
            <w:tcW w:w="7760" w:type="dxa"/>
            <w:vAlign w:val="bottom"/>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r>
      <w:tr>
        <w:trPr>
          <w:trHeight w:val="228"/>
        </w:trPr>
        <w:tc>
          <w:tcPr>
            <w:tcW w:w="7760" w:type="dxa"/>
            <w:vAlign w:val="bottom"/>
          </w:tcPr>
          <w:p>
            <w:pPr>
              <w:spacing w:after="0"/>
              <w:rPr>
                <w:sz w:val="19"/>
                <w:szCs w:val="19"/>
                <w:color w:val="auto"/>
              </w:rPr>
            </w:pPr>
          </w:p>
        </w:tc>
        <w:tc>
          <w:tcPr>
            <w:tcW w:w="1840" w:type="dxa"/>
            <w:vAlign w:val="bottom"/>
            <w:gridSpan w:val="2"/>
          </w:tcPr>
          <w:p>
            <w:pPr>
              <w:jc w:val="center"/>
              <w:spacing w:after="0"/>
              <w:rPr>
                <w:sz w:val="20"/>
                <w:szCs w:val="20"/>
                <w:color w:val="auto"/>
              </w:rPr>
            </w:pPr>
            <w:r>
              <w:rPr>
                <w:rFonts w:ascii="Arial" w:cs="Arial" w:eastAsia="Arial" w:hAnsi="Arial"/>
                <w:sz w:val="17"/>
                <w:szCs w:val="17"/>
                <w:b w:val="1"/>
                <w:bCs w:val="1"/>
                <w:color w:val="auto"/>
                <w:w w:val="89"/>
              </w:rPr>
              <w:t>2023</w:t>
            </w:r>
          </w:p>
        </w:tc>
        <w:tc>
          <w:tcPr>
            <w:tcW w:w="80" w:type="dxa"/>
            <w:vAlign w:val="bottom"/>
          </w:tcPr>
          <w:p>
            <w:pPr>
              <w:spacing w:after="0"/>
              <w:rPr>
                <w:sz w:val="19"/>
                <w:szCs w:val="19"/>
                <w:color w:val="auto"/>
              </w:rPr>
            </w:pPr>
          </w:p>
        </w:tc>
        <w:tc>
          <w:tcPr>
            <w:tcW w:w="1560" w:type="dxa"/>
            <w:vAlign w:val="bottom"/>
            <w:gridSpan w:val="2"/>
          </w:tcPr>
          <w:p>
            <w:pPr>
              <w:jc w:val="center"/>
              <w:spacing w:after="0"/>
              <w:rPr>
                <w:sz w:val="20"/>
                <w:szCs w:val="20"/>
                <w:color w:val="auto"/>
              </w:rPr>
            </w:pPr>
            <w:r>
              <w:rPr>
                <w:rFonts w:ascii="Arial" w:cs="Arial" w:eastAsia="Arial" w:hAnsi="Arial"/>
                <w:sz w:val="17"/>
                <w:szCs w:val="17"/>
                <w:b w:val="1"/>
                <w:bCs w:val="1"/>
                <w:color w:val="auto"/>
                <w:w w:val="89"/>
              </w:rPr>
              <w:t>2022</w:t>
            </w:r>
          </w:p>
        </w:tc>
      </w:tr>
      <w:tr>
        <w:trPr>
          <w:trHeight w:val="26"/>
        </w:trPr>
        <w:tc>
          <w:tcPr>
            <w:tcW w:w="77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4"/>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Risk-free interest rate</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4.60</w:t>
            </w:r>
          </w:p>
        </w:tc>
        <w:tc>
          <w:tcPr>
            <w:tcW w:w="1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- 4.82%</w:t>
            </w: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0.17</w:t>
            </w:r>
          </w:p>
        </w:tc>
        <w:tc>
          <w:tcPr>
            <w:tcW w:w="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- 2.06%</w:t>
            </w:r>
          </w:p>
        </w:tc>
      </w:tr>
      <w:tr>
        <w:trPr>
          <w:trHeight w:val="235"/>
        </w:trPr>
        <w:tc>
          <w:tcPr>
            <w:tcW w:w="7760" w:type="dxa"/>
            <w:vAlign w:val="bottom"/>
          </w:tcPr>
          <w:p>
            <w:pPr>
              <w:ind w:left="20"/>
              <w:spacing w:after="0"/>
              <w:rPr>
                <w:sz w:val="20"/>
                <w:szCs w:val="20"/>
                <w:color w:val="auto"/>
              </w:rPr>
            </w:pPr>
            <w:r>
              <w:rPr>
                <w:rFonts w:ascii="Arial" w:cs="Arial" w:eastAsia="Arial" w:hAnsi="Arial"/>
                <w:sz w:val="17"/>
                <w:szCs w:val="17"/>
                <w:color w:val="auto"/>
              </w:rPr>
              <w:t>Expected life (months)</w:t>
            </w:r>
          </w:p>
        </w:tc>
        <w:tc>
          <w:tcPr>
            <w:tcW w:w="1840" w:type="dxa"/>
            <w:vAlign w:val="bottom"/>
            <w:gridSpan w:val="2"/>
          </w:tcPr>
          <w:p>
            <w:pPr>
              <w:jc w:val="center"/>
              <w:spacing w:after="0"/>
              <w:rPr>
                <w:sz w:val="20"/>
                <w:szCs w:val="20"/>
                <w:color w:val="auto"/>
              </w:rPr>
            </w:pPr>
            <w:r>
              <w:rPr>
                <w:rFonts w:ascii="Arial" w:cs="Arial" w:eastAsia="Arial" w:hAnsi="Arial"/>
                <w:sz w:val="17"/>
                <w:szCs w:val="17"/>
                <w:color w:val="auto"/>
                <w:w w:val="90"/>
              </w:rPr>
              <w:t>6.00</w:t>
            </w:r>
          </w:p>
        </w:tc>
        <w:tc>
          <w:tcPr>
            <w:tcW w:w="80" w:type="dxa"/>
            <w:vAlign w:val="bottom"/>
          </w:tcPr>
          <w:p>
            <w:pPr>
              <w:spacing w:after="0"/>
              <w:rPr>
                <w:sz w:val="20"/>
                <w:szCs w:val="20"/>
                <w:color w:val="auto"/>
              </w:rPr>
            </w:pPr>
          </w:p>
        </w:tc>
        <w:tc>
          <w:tcPr>
            <w:tcW w:w="1560" w:type="dxa"/>
            <w:vAlign w:val="bottom"/>
            <w:gridSpan w:val="2"/>
          </w:tcPr>
          <w:p>
            <w:pPr>
              <w:jc w:val="center"/>
              <w:spacing w:after="0"/>
              <w:rPr>
                <w:sz w:val="20"/>
                <w:szCs w:val="20"/>
                <w:color w:val="auto"/>
              </w:rPr>
            </w:pPr>
            <w:r>
              <w:rPr>
                <w:rFonts w:ascii="Arial" w:cs="Arial" w:eastAsia="Arial" w:hAnsi="Arial"/>
                <w:sz w:val="17"/>
                <w:szCs w:val="17"/>
                <w:color w:val="auto"/>
                <w:w w:val="90"/>
              </w:rPr>
              <w:t>6.00</w:t>
            </w:r>
          </w:p>
        </w:tc>
      </w:tr>
      <w:tr>
        <w:trPr>
          <w:trHeight w:val="26"/>
        </w:trPr>
        <w:tc>
          <w:tcPr>
            <w:tcW w:w="7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1"/>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Expected volatility</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47.38</w:t>
            </w:r>
          </w:p>
        </w:tc>
        <w:tc>
          <w:tcPr>
            <w:tcW w:w="1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- 67.84%</w:t>
            </w: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47.05</w:t>
            </w:r>
          </w:p>
        </w:tc>
        <w:tc>
          <w:tcPr>
            <w:tcW w:w="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- 53.44%</w:t>
            </w:r>
          </w:p>
        </w:tc>
      </w:tr>
      <w:tr>
        <w:trPr>
          <w:trHeight w:val="235"/>
        </w:trPr>
        <w:tc>
          <w:tcPr>
            <w:tcW w:w="7760" w:type="dxa"/>
            <w:vAlign w:val="bottom"/>
          </w:tcPr>
          <w:p>
            <w:pPr>
              <w:ind w:left="20"/>
              <w:spacing w:after="0"/>
              <w:rPr>
                <w:sz w:val="20"/>
                <w:szCs w:val="20"/>
                <w:color w:val="auto"/>
              </w:rPr>
            </w:pPr>
            <w:r>
              <w:rPr>
                <w:rFonts w:ascii="Arial" w:cs="Arial" w:eastAsia="Arial" w:hAnsi="Arial"/>
                <w:sz w:val="17"/>
                <w:szCs w:val="17"/>
                <w:color w:val="auto"/>
              </w:rPr>
              <w:t>Expected dividend yield</w:t>
            </w:r>
          </w:p>
        </w:tc>
        <w:tc>
          <w:tcPr>
            <w:tcW w:w="780" w:type="dxa"/>
            <w:vAlign w:val="bottom"/>
          </w:tcPr>
          <w:p>
            <w:pPr>
              <w:spacing w:after="0"/>
              <w:rPr>
                <w:sz w:val="20"/>
                <w:szCs w:val="20"/>
                <w:color w:val="auto"/>
              </w:rPr>
            </w:pPr>
          </w:p>
        </w:tc>
        <w:tc>
          <w:tcPr>
            <w:tcW w:w="1060" w:type="dxa"/>
            <w:vAlign w:val="bottom"/>
          </w:tcPr>
          <w:p>
            <w:pPr>
              <w:jc w:val="center"/>
              <w:ind w:right="693"/>
              <w:spacing w:after="0"/>
              <w:rPr>
                <w:sz w:val="20"/>
                <w:szCs w:val="20"/>
                <w:color w:val="auto"/>
              </w:rPr>
            </w:pPr>
            <w:r>
              <w:rPr>
                <w:rFonts w:ascii="Arial" w:cs="Arial" w:eastAsia="Arial" w:hAnsi="Arial"/>
                <w:sz w:val="17"/>
                <w:szCs w:val="17"/>
                <w:color w:val="auto"/>
                <w:w w:val="97"/>
              </w:rPr>
              <w:t>0%</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00" w:type="dxa"/>
            <w:vAlign w:val="bottom"/>
          </w:tcPr>
          <w:p>
            <w:pPr>
              <w:jc w:val="center"/>
              <w:ind w:right="573"/>
              <w:spacing w:after="0"/>
              <w:rPr>
                <w:sz w:val="20"/>
                <w:szCs w:val="20"/>
                <w:color w:val="auto"/>
              </w:rPr>
            </w:pPr>
            <w:r>
              <w:rPr>
                <w:rFonts w:ascii="Arial" w:cs="Arial" w:eastAsia="Arial" w:hAnsi="Arial"/>
                <w:sz w:val="17"/>
                <w:szCs w:val="17"/>
                <w:color w:val="auto"/>
                <w:w w:val="97"/>
              </w:rPr>
              <w:t>0%</w:t>
            </w:r>
          </w:p>
        </w:tc>
      </w:tr>
      <w:tr>
        <w:trPr>
          <w:trHeight w:val="183"/>
        </w:trPr>
        <w:tc>
          <w:tcPr>
            <w:tcW w:w="77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 Accumulated Other Comprehensive Income (Loss)</w:t>
      </w:r>
    </w:p>
    <w:p>
      <w:pPr>
        <w:spacing w:after="0" w:line="19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Other comprehensive income (loss) is comprised of foreign currency translation adjustments and net unrealized gains (losses) on investments in securities. During the nine months ended September 30, 2023 we recognized a $3.9 million foreign currency translation loss from the substantial completion on the closure of our Japan business.</w:t>
      </w:r>
    </w:p>
    <w:p>
      <w:pPr>
        <w:spacing w:after="0" w:line="133" w:lineRule="exact"/>
        <w:rPr>
          <w:sz w:val="20"/>
          <w:szCs w:val="20"/>
          <w:color w:val="auto"/>
        </w:rPr>
      </w:pPr>
    </w:p>
    <w:p>
      <w:pPr>
        <w:ind w:right="300"/>
        <w:spacing w:after="0" w:line="288" w:lineRule="auto"/>
        <w:rPr>
          <w:sz w:val="20"/>
          <w:szCs w:val="20"/>
          <w:color w:val="auto"/>
        </w:rPr>
      </w:pPr>
      <w:r>
        <w:rPr>
          <w:rFonts w:ascii="Arial" w:cs="Arial" w:eastAsia="Arial" w:hAnsi="Arial"/>
          <w:sz w:val="17"/>
          <w:szCs w:val="17"/>
          <w:color w:val="auto"/>
        </w:rPr>
        <w:t>The following table presents the changes in accumulated other comprehensive income (loss) balances during the three and nine months ended September 30,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1367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0" w:type="dxa"/>
            <w:vAlign w:val="bottom"/>
            <w:gridSpan w:val="5"/>
          </w:tcPr>
          <w:p>
            <w:pPr>
              <w:ind w:left="380"/>
              <w:spacing w:after="0"/>
              <w:rPr>
                <w:sz w:val="20"/>
                <w:szCs w:val="20"/>
                <w:color w:val="auto"/>
              </w:rPr>
            </w:pPr>
            <w:r>
              <w:rPr>
                <w:rFonts w:ascii="Arial" w:cs="Arial" w:eastAsia="Arial" w:hAnsi="Arial"/>
                <w:sz w:val="17"/>
                <w:szCs w:val="17"/>
                <w:b w:val="1"/>
                <w:bCs w:val="1"/>
                <w:color w:val="auto"/>
              </w:rPr>
              <w:t>Three Months Ended</w:t>
            </w:r>
          </w:p>
        </w:tc>
        <w:tc>
          <w:tcPr>
            <w:tcW w:w="380" w:type="dxa"/>
            <w:vAlign w:val="bottom"/>
          </w:tcPr>
          <w:p>
            <w:pPr>
              <w:spacing w:after="0"/>
              <w:rPr>
                <w:sz w:val="18"/>
                <w:szCs w:val="18"/>
                <w:color w:val="auto"/>
              </w:rPr>
            </w:pPr>
          </w:p>
        </w:tc>
        <w:tc>
          <w:tcPr>
            <w:tcW w:w="3100" w:type="dxa"/>
            <w:vAlign w:val="bottom"/>
            <w:gridSpan w:val="4"/>
          </w:tcPr>
          <w:p>
            <w:pPr>
              <w:jc w:val="right"/>
              <w:ind w:right="913"/>
              <w:spacing w:after="0"/>
              <w:rPr>
                <w:sz w:val="20"/>
                <w:szCs w:val="20"/>
                <w:color w:val="auto"/>
              </w:rPr>
            </w:pPr>
            <w:r>
              <w:rPr>
                <w:rFonts w:ascii="Arial" w:cs="Arial" w:eastAsia="Arial" w:hAnsi="Arial"/>
                <w:sz w:val="17"/>
                <w:szCs w:val="17"/>
                <w:b w:val="1"/>
                <w:bCs w:val="1"/>
                <w:color w:val="auto"/>
              </w:rPr>
              <w:t>Nine Months Ended</w:t>
            </w:r>
          </w:p>
        </w:tc>
      </w:tr>
      <w:tr>
        <w:trPr>
          <w:trHeight w:val="227"/>
        </w:trPr>
        <w:tc>
          <w:tcPr>
            <w:tcW w:w="4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60" w:type="dxa"/>
            <w:vAlign w:val="bottom"/>
            <w:gridSpan w:val="3"/>
          </w:tcPr>
          <w:p>
            <w:pPr>
              <w:jc w:val="right"/>
              <w:spacing w:after="0"/>
              <w:rPr>
                <w:sz w:val="20"/>
                <w:szCs w:val="20"/>
                <w:color w:val="auto"/>
              </w:rPr>
            </w:pPr>
            <w:r>
              <w:rPr>
                <w:rFonts w:ascii="Arial" w:cs="Arial" w:eastAsia="Arial" w:hAnsi="Arial"/>
                <w:sz w:val="17"/>
                <w:szCs w:val="17"/>
                <w:b w:val="1"/>
                <w:bCs w:val="1"/>
                <w:color w:val="auto"/>
              </w:rPr>
              <w:t>September 30,</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80" w:type="dxa"/>
            <w:vAlign w:val="bottom"/>
            <w:gridSpan w:val="3"/>
          </w:tcPr>
          <w:p>
            <w:pPr>
              <w:jc w:val="right"/>
              <w:spacing w:after="0"/>
              <w:rPr>
                <w:sz w:val="20"/>
                <w:szCs w:val="20"/>
                <w:color w:val="auto"/>
              </w:rPr>
            </w:pPr>
            <w:r>
              <w:rPr>
                <w:rFonts w:ascii="Arial" w:cs="Arial" w:eastAsia="Arial" w:hAnsi="Arial"/>
                <w:sz w:val="17"/>
                <w:szCs w:val="17"/>
                <w:b w:val="1"/>
                <w:bCs w:val="1"/>
                <w:color w:val="auto"/>
              </w:rPr>
              <w:t>September 30,</w:t>
            </w:r>
          </w:p>
        </w:tc>
        <w:tc>
          <w:tcPr>
            <w:tcW w:w="1120" w:type="dxa"/>
            <w:vAlign w:val="bottom"/>
          </w:tcPr>
          <w:p>
            <w:pPr>
              <w:spacing w:after="0"/>
              <w:rPr>
                <w:sz w:val="19"/>
                <w:szCs w:val="19"/>
                <w:color w:val="auto"/>
              </w:rPr>
            </w:pPr>
          </w:p>
        </w:tc>
      </w:tr>
      <w:tr>
        <w:trPr>
          <w:trHeight w:val="26"/>
        </w:trPr>
        <w:tc>
          <w:tcPr>
            <w:tcW w:w="46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8"/>
        </w:trPr>
        <w:tc>
          <w:tcPr>
            <w:tcW w:w="4620" w:type="dxa"/>
            <w:vAlign w:val="bottom"/>
          </w:tcPr>
          <w:p>
            <w:pPr>
              <w:ind w:left="20"/>
              <w:spacing w:after="0"/>
              <w:rPr>
                <w:sz w:val="20"/>
                <w:szCs w:val="20"/>
                <w:color w:val="auto"/>
              </w:rPr>
            </w:pPr>
            <w:r>
              <w:rPr>
                <w:rFonts w:ascii="Arial" w:cs="Arial" w:eastAsia="Arial" w:hAnsi="Arial"/>
                <w:sz w:val="17"/>
                <w:szCs w:val="17"/>
                <w:color w:val="auto"/>
              </w:rPr>
              <w:t>(in thousands)</w:t>
            </w:r>
          </w:p>
        </w:tc>
        <w:tc>
          <w:tcPr>
            <w:tcW w:w="340" w:type="dxa"/>
            <w:vAlign w:val="bottom"/>
          </w:tcPr>
          <w:p>
            <w:pPr>
              <w:spacing w:after="0"/>
              <w:rPr>
                <w:sz w:val="19"/>
                <w:szCs w:val="19"/>
                <w:color w:val="auto"/>
              </w:rPr>
            </w:pPr>
          </w:p>
        </w:tc>
        <w:tc>
          <w:tcPr>
            <w:tcW w:w="1140" w:type="dxa"/>
            <w:vAlign w:val="bottom"/>
          </w:tcPr>
          <w:p>
            <w:pPr>
              <w:jc w:val="right"/>
              <w:ind w:right="473"/>
              <w:spacing w:after="0"/>
              <w:rPr>
                <w:sz w:val="20"/>
                <w:szCs w:val="20"/>
                <w:color w:val="auto"/>
              </w:rPr>
            </w:pPr>
            <w:r>
              <w:rPr>
                <w:rFonts w:ascii="Arial" w:cs="Arial" w:eastAsia="Arial" w:hAnsi="Arial"/>
                <w:sz w:val="17"/>
                <w:szCs w:val="17"/>
                <w:b w:val="1"/>
                <w:bCs w:val="1"/>
                <w:color w:val="auto"/>
              </w:rPr>
              <w:t>2023</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ind w:right="473"/>
              <w:spacing w:after="0"/>
              <w:rPr>
                <w:sz w:val="20"/>
                <w:szCs w:val="20"/>
                <w:color w:val="auto"/>
              </w:rPr>
            </w:pPr>
            <w:r>
              <w:rPr>
                <w:rFonts w:ascii="Arial" w:cs="Arial" w:eastAsia="Arial" w:hAnsi="Arial"/>
                <w:sz w:val="17"/>
                <w:szCs w:val="17"/>
                <w:b w:val="1"/>
                <w:bCs w:val="1"/>
                <w:color w:val="auto"/>
                <w:w w:val="95"/>
              </w:rPr>
              <w:t>2022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593"/>
              <w:spacing w:after="0"/>
              <w:rPr>
                <w:sz w:val="20"/>
                <w:szCs w:val="20"/>
                <w:color w:val="auto"/>
              </w:rPr>
            </w:pPr>
            <w:r>
              <w:rPr>
                <w:rFonts w:ascii="Arial" w:cs="Arial" w:eastAsia="Arial" w:hAnsi="Arial"/>
                <w:sz w:val="17"/>
                <w:szCs w:val="17"/>
                <w:b w:val="1"/>
                <w:bCs w:val="1"/>
                <w:color w:val="auto"/>
              </w:rPr>
              <w:t>2023</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jc w:val="right"/>
              <w:ind w:right="593"/>
              <w:spacing w:after="0"/>
              <w:rPr>
                <w:sz w:val="20"/>
                <w:szCs w:val="20"/>
                <w:color w:val="auto"/>
              </w:rPr>
            </w:pPr>
            <w:r>
              <w:rPr>
                <w:rFonts w:ascii="Arial" w:cs="Arial" w:eastAsia="Arial" w:hAnsi="Arial"/>
                <w:sz w:val="17"/>
                <w:szCs w:val="17"/>
                <w:b w:val="1"/>
                <w:bCs w:val="1"/>
                <w:color w:val="auto"/>
              </w:rPr>
              <w:t>2022</w:t>
            </w:r>
          </w:p>
        </w:tc>
      </w:tr>
      <w:tr>
        <w:trPr>
          <w:trHeight w:val="26"/>
        </w:trPr>
        <w:tc>
          <w:tcPr>
            <w:tcW w:w="46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9"/>
        </w:trPr>
        <w:tc>
          <w:tcPr>
            <w:tcW w:w="4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41"/>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beginning of period</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(29,221)</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33"/>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(36,149)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(34,355)</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93"/>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(16,817)</w:t>
            </w:r>
          </w:p>
        </w:tc>
      </w:tr>
      <w:tr>
        <w:trPr>
          <w:trHeight w:val="235"/>
        </w:trPr>
        <w:tc>
          <w:tcPr>
            <w:tcW w:w="4620" w:type="dxa"/>
            <w:vAlign w:val="bottom"/>
          </w:tcPr>
          <w:p>
            <w:pPr>
              <w:ind w:left="180"/>
              <w:spacing w:after="0"/>
              <w:rPr>
                <w:sz w:val="20"/>
                <w:szCs w:val="20"/>
                <w:color w:val="auto"/>
              </w:rPr>
            </w:pPr>
            <w:r>
              <w:rPr>
                <w:rFonts w:ascii="Arial" w:cs="Arial" w:eastAsia="Arial" w:hAnsi="Arial"/>
                <w:sz w:val="17"/>
                <w:szCs w:val="17"/>
                <w:i w:val="1"/>
                <w:iCs w:val="1"/>
                <w:color w:val="auto"/>
              </w:rPr>
              <w:t>Foreign currency translation adjustments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6"/>
        </w:trPr>
        <w:tc>
          <w:tcPr>
            <w:tcW w:w="4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1"/>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comprehensive income (loss) before reclassifications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(1,307)</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(10,287)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(432)</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(28,774)</w:t>
            </w:r>
          </w:p>
        </w:tc>
      </w:tr>
      <w:tr>
        <w:trPr>
          <w:trHeight w:val="223"/>
        </w:trPr>
        <w:tc>
          <w:tcPr>
            <w:tcW w:w="4620" w:type="dxa"/>
            <w:vAlign w:val="bottom"/>
          </w:tcPr>
          <w:p>
            <w:pPr>
              <w:ind w:left="500"/>
              <w:spacing w:after="0"/>
              <w:rPr>
                <w:sz w:val="20"/>
                <w:szCs w:val="20"/>
                <w:color w:val="auto"/>
              </w:rPr>
            </w:pPr>
            <w:r>
              <w:rPr>
                <w:rFonts w:ascii="Arial" w:cs="Arial" w:eastAsia="Arial" w:hAnsi="Arial"/>
                <w:sz w:val="17"/>
                <w:szCs w:val="17"/>
                <w:color w:val="auto"/>
              </w:rPr>
              <w:t>Amounts reclassified from accumulated other</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1"/>
        </w:trPr>
        <w:tc>
          <w:tcPr>
            <w:tcW w:w="4620" w:type="dxa"/>
            <w:vAlign w:val="bottom"/>
          </w:tcPr>
          <w:p>
            <w:pPr>
              <w:ind w:left="500"/>
              <w:spacing w:after="0"/>
              <w:rPr>
                <w:sz w:val="20"/>
                <w:szCs w:val="20"/>
                <w:color w:val="auto"/>
              </w:rPr>
            </w:pPr>
            <w:r>
              <w:rPr>
                <w:rFonts w:ascii="Arial" w:cs="Arial" w:eastAsia="Arial" w:hAnsi="Arial"/>
                <w:sz w:val="17"/>
                <w:szCs w:val="17"/>
                <w:color w:val="auto"/>
              </w:rPr>
              <w:t>comprehensive loss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3,906</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6"/>
        </w:trPr>
        <w:tc>
          <w:tcPr>
            <w:tcW w:w="46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4"/>
        </w:trPr>
        <w:tc>
          <w:tcPr>
            <w:tcW w:w="46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w w:val="97"/>
              </w:rPr>
              <w:t>Net current-period other comprehensive income (loss)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(1,307)</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(10,287)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3,474</w:t>
            </w: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(28,774)</w:t>
            </w:r>
          </w:p>
        </w:tc>
      </w:tr>
      <w:tr>
        <w:trPr>
          <w:trHeight w:val="215"/>
        </w:trPr>
        <w:tc>
          <w:tcPr>
            <w:tcW w:w="4620" w:type="dxa"/>
            <w:vAlign w:val="bottom"/>
          </w:tcPr>
          <w:p>
            <w:pPr>
              <w:ind w:left="180"/>
              <w:spacing w:after="0"/>
              <w:rPr>
                <w:sz w:val="20"/>
                <w:szCs w:val="20"/>
                <w:color w:val="auto"/>
              </w:rPr>
            </w:pPr>
            <w:r>
              <w:rPr>
                <w:rFonts w:ascii="Arial" w:cs="Arial" w:eastAsia="Arial" w:hAnsi="Arial"/>
                <w:sz w:val="17"/>
                <w:szCs w:val="17"/>
                <w:i w:val="1"/>
                <w:iCs w:val="1"/>
                <w:color w:val="auto"/>
              </w:rPr>
              <w:t>Net unrealized gains (losses) on investments in securities</w:t>
            </w: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r>
      <w:tr>
        <w:trPr>
          <w:trHeight w:val="26"/>
        </w:trPr>
        <w:tc>
          <w:tcPr>
            <w:tcW w:w="4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1"/>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comprehensive income (loss) before reclassifications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240</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(588)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593</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(1,433)</w:t>
            </w:r>
          </w:p>
        </w:tc>
      </w:tr>
      <w:tr>
        <w:trPr>
          <w:trHeight w:val="223"/>
        </w:trPr>
        <w:tc>
          <w:tcPr>
            <w:tcW w:w="4620" w:type="dxa"/>
            <w:vAlign w:val="bottom"/>
          </w:tcPr>
          <w:p>
            <w:pPr>
              <w:ind w:left="500"/>
              <w:spacing w:after="0"/>
              <w:rPr>
                <w:sz w:val="20"/>
                <w:szCs w:val="20"/>
                <w:color w:val="auto"/>
              </w:rPr>
            </w:pPr>
            <w:r>
              <w:rPr>
                <w:rFonts w:ascii="Arial" w:cs="Arial" w:eastAsia="Arial" w:hAnsi="Arial"/>
                <w:sz w:val="17"/>
                <w:szCs w:val="17"/>
                <w:color w:val="auto"/>
              </w:rPr>
              <w:t>Amounts reclassified from accumulated other</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1"/>
        </w:trPr>
        <w:tc>
          <w:tcPr>
            <w:tcW w:w="4620" w:type="dxa"/>
            <w:vAlign w:val="bottom"/>
          </w:tcPr>
          <w:p>
            <w:pPr>
              <w:ind w:left="500"/>
              <w:spacing w:after="0"/>
              <w:rPr>
                <w:sz w:val="20"/>
                <w:szCs w:val="20"/>
                <w:color w:val="auto"/>
              </w:rPr>
            </w:pPr>
            <w:r>
              <w:rPr>
                <w:rFonts w:ascii="Arial" w:cs="Arial" w:eastAsia="Arial" w:hAnsi="Arial"/>
                <w:sz w:val="17"/>
                <w:szCs w:val="17"/>
                <w:color w:val="auto"/>
              </w:rPr>
              <w:t>comprehensive loss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6"/>
        </w:trPr>
        <w:tc>
          <w:tcPr>
            <w:tcW w:w="46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4"/>
        </w:trPr>
        <w:tc>
          <w:tcPr>
            <w:tcW w:w="46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w w:val="97"/>
              </w:rPr>
              <w:t>Net current-period other comprehensive income (loss)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240</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(588)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593</w:t>
            </w: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(1,433)</w:t>
            </w:r>
          </w:p>
        </w:tc>
      </w:tr>
      <w:tr>
        <w:trPr>
          <w:trHeight w:val="228"/>
        </w:trPr>
        <w:tc>
          <w:tcPr>
            <w:tcW w:w="4620" w:type="dxa"/>
            <w:vAlign w:val="bottom"/>
          </w:tcPr>
          <w:p>
            <w:pPr>
              <w:ind w:left="20"/>
              <w:spacing w:after="0"/>
              <w:rPr>
                <w:sz w:val="20"/>
                <w:szCs w:val="20"/>
                <w:color w:val="auto"/>
              </w:rPr>
            </w:pPr>
            <w:r>
              <w:rPr>
                <w:rFonts w:ascii="Arial" w:cs="Arial" w:eastAsia="Arial" w:hAnsi="Arial"/>
                <w:sz w:val="17"/>
                <w:szCs w:val="17"/>
                <w:color w:val="auto"/>
              </w:rPr>
              <w:t>Balance at end of period</w:t>
            </w:r>
          </w:p>
        </w:tc>
        <w:tc>
          <w:tcPr>
            <w:tcW w:w="340" w:type="dxa"/>
            <w:vAlign w:val="bottom"/>
            <w:tcBorders>
              <w:top w:val="single" w:sz="8" w:color="auto"/>
            </w:tcBorders>
          </w:tcPr>
          <w:p>
            <w:pPr>
              <w:jc w:val="right"/>
              <w:ind w:right="153"/>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(30,288)</w:t>
            </w:r>
          </w:p>
        </w:tc>
        <w:tc>
          <w:tcPr>
            <w:tcW w:w="80" w:type="dxa"/>
            <w:vAlign w:val="bottom"/>
          </w:tcPr>
          <w:p>
            <w:pPr>
              <w:spacing w:after="0"/>
              <w:rPr>
                <w:sz w:val="19"/>
                <w:szCs w:val="19"/>
                <w:color w:val="auto"/>
              </w:rPr>
            </w:pPr>
          </w:p>
        </w:tc>
        <w:tc>
          <w:tcPr>
            <w:tcW w:w="540" w:type="dxa"/>
            <w:vAlign w:val="bottom"/>
            <w:tcBorders>
              <w:top w:val="single" w:sz="8" w:color="auto"/>
            </w:tcBorders>
          </w:tcPr>
          <w:p>
            <w:pPr>
              <w:jc w:val="right"/>
              <w:ind w:right="333"/>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(47,024)</w:t>
            </w:r>
          </w:p>
        </w:tc>
        <w:tc>
          <w:tcPr>
            <w:tcW w:w="100" w:type="dxa"/>
            <w:vAlign w:val="bottom"/>
          </w:tcPr>
          <w:p>
            <w:pPr>
              <w:spacing w:after="0"/>
              <w:rPr>
                <w:sz w:val="19"/>
                <w:szCs w:val="19"/>
                <w:color w:val="auto"/>
              </w:rPr>
            </w:pPr>
          </w:p>
        </w:tc>
        <w:tc>
          <w:tcPr>
            <w:tcW w:w="380" w:type="dxa"/>
            <w:vAlign w:val="bottom"/>
            <w:tcBorders>
              <w:top w:val="single" w:sz="8" w:color="auto"/>
            </w:tcBorders>
          </w:tcPr>
          <w:p>
            <w:pPr>
              <w:jc w:val="right"/>
              <w:ind w:right="193"/>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(30,288)</w:t>
            </w: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393"/>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(47,024)</w:t>
            </w:r>
          </w:p>
        </w:tc>
      </w:tr>
      <w:tr>
        <w:trPr>
          <w:trHeight w:val="26"/>
        </w:trPr>
        <w:tc>
          <w:tcPr>
            <w:tcW w:w="46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4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23"/>
        </w:trPr>
        <w:tc>
          <w:tcPr>
            <w:tcW w:w="46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 Income Taxes</w:t>
      </w:r>
    </w:p>
    <w:p>
      <w:pPr>
        <w:spacing w:after="0" w:line="21" w:lineRule="exact"/>
        <w:rPr>
          <w:sz w:val="20"/>
          <w:szCs w:val="20"/>
          <w:color w:val="auto"/>
        </w:rPr>
      </w:pPr>
    </w:p>
    <w:p>
      <w:pPr>
        <w:ind w:right="60"/>
        <w:spacing w:after="0" w:line="263" w:lineRule="auto"/>
        <w:rPr>
          <w:sz w:val="20"/>
          <w:szCs w:val="20"/>
          <w:color w:val="auto"/>
        </w:rPr>
      </w:pPr>
      <w:r>
        <w:rPr>
          <w:rFonts w:ascii="Arial" w:cs="Arial" w:eastAsia="Arial" w:hAnsi="Arial"/>
          <w:sz w:val="15"/>
          <w:szCs w:val="15"/>
          <w:color w:val="auto"/>
        </w:rPr>
        <w:t>The Company is subject to income tax in multiple jurisdictions and the use of estimates is required to determine the provision for income taxes. For the three months ended September 30, 2023 and 2022, the Company recorded an income tax provision of $2.8 million and $2.1 million, respectively. For the nine months ended September 30, 2023 and 2022, the Company recorded an income tax provision of $7.8 million and $7.2 million, respectively. The income tax provision is based on the estimated annual effective tax rate for the year applied to pre-tax income. The effective income tax rate for the three months ended September 30, 2023 was 25.9 percent compared to 34.5 percent in the same period of the prior year. The effective tax rate decreased by 8.6 percent for the three months ended September 30, 2023 when compared to the same period in 2022, primarily due to a decrease in losses in jurisdictions that are not eligible for tax benefits due to</w:t>
      </w:r>
    </w:p>
    <w:p>
      <w:pPr>
        <w:jc w:val="both"/>
        <w:ind w:right="360"/>
        <w:spacing w:after="0" w:line="288" w:lineRule="auto"/>
        <w:rPr>
          <w:sz w:val="20"/>
          <w:szCs w:val="20"/>
          <w:color w:val="auto"/>
        </w:rPr>
      </w:pPr>
      <w:r>
        <w:rPr>
          <w:rFonts w:ascii="Arial" w:cs="Arial" w:eastAsia="Arial" w:hAnsi="Arial"/>
          <w:sz w:val="15"/>
          <w:szCs w:val="15"/>
          <w:color w:val="auto"/>
        </w:rPr>
        <w:t xml:space="preserve">valuation allowances. </w:t>
      </w:r>
      <w:r>
        <w:rPr>
          <w:rFonts w:ascii="Arial" w:cs="Arial" w:eastAsia="Arial" w:hAnsi="Arial"/>
          <w:sz w:val="16"/>
          <w:szCs w:val="16"/>
          <w:color w:val="auto"/>
        </w:rPr>
        <w:t>Th</w:t>
      </w:r>
      <w:r>
        <w:rPr>
          <w:rFonts w:ascii="Arial" w:cs="Arial" w:eastAsia="Arial" w:hAnsi="Arial"/>
          <w:sz w:val="15"/>
          <w:szCs w:val="15"/>
          <w:color w:val="auto"/>
        </w:rPr>
        <w:t>e effective income tax rate for the nine months ended September 30, 2023 was 43.2 percent compared to 38.4 percent in the same period of the prior year. The effective tax rate increased by 4.8 percent for the nine months ended September 30, 2023 when compared to the same period in 2022, primarily due to the tax impact of the foreign currency translation loss from the substantial completion on the closure of our Japan business.</w:t>
      </w:r>
    </w:p>
    <w:p>
      <w:pPr>
        <w:spacing w:after="0" w:line="125" w:lineRule="exact"/>
        <w:rPr>
          <w:sz w:val="20"/>
          <w:szCs w:val="20"/>
          <w:color w:val="auto"/>
        </w:rPr>
      </w:pPr>
    </w:p>
    <w:p>
      <w:pPr>
        <w:ind w:right="120"/>
        <w:spacing w:after="0" w:line="288" w:lineRule="auto"/>
        <w:rPr>
          <w:sz w:val="20"/>
          <w:szCs w:val="20"/>
          <w:color w:val="auto"/>
        </w:rPr>
      </w:pPr>
      <w:r>
        <w:rPr>
          <w:rFonts w:ascii="Arial" w:cs="Arial" w:eastAsia="Arial" w:hAnsi="Arial"/>
          <w:sz w:val="17"/>
          <w:szCs w:val="17"/>
          <w:color w:val="auto"/>
        </w:rPr>
        <w:t>The effective income tax rate for the three and nine months ended September 30, 2023 differs from the U.S. federal statutory rate of 21.0 percent due to various factors, including operating in multiple state and foreign jurisdictions and tax credits for which the Company qualifies.</w:t>
      </w:r>
    </w:p>
    <w:p>
      <w:pPr>
        <w:spacing w:after="0" w:line="119" w:lineRule="exact"/>
        <w:rPr>
          <w:sz w:val="20"/>
          <w:szCs w:val="20"/>
          <w:color w:val="auto"/>
        </w:rPr>
      </w:pPr>
    </w:p>
    <w:p>
      <w:pPr>
        <w:ind w:right="420"/>
        <w:spacing w:after="0" w:line="267" w:lineRule="auto"/>
        <w:rPr>
          <w:sz w:val="20"/>
          <w:szCs w:val="20"/>
          <w:color w:val="auto"/>
        </w:rPr>
      </w:pPr>
      <w:r>
        <w:rPr>
          <w:rFonts w:ascii="Arial" w:cs="Arial" w:eastAsia="Arial" w:hAnsi="Arial"/>
          <w:sz w:val="17"/>
          <w:szCs w:val="17"/>
          <w:color w:val="auto"/>
        </w:rPr>
        <w:t>The Company had unrecognized tax benefits totaling $3.9 million as of September 30, 2023 and $3.2 million as of December 31, 2022, respectively, that if recognized would result in a reduction of the Company’s effective tax rate. The liabilities are classified as other long-term liabilities in the accompanying consolidated balance sheets. The Company recognizes interest and penalties related to income tax matters in income tax expense and reports the liability in current or long-term income taxes payable as appropriate.</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 Segment Reporting</w:t>
      </w:r>
    </w:p>
    <w:p>
      <w:pPr>
        <w:spacing w:after="0" w:line="190"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The Company’s reportable segments are based on the internal reporting used by the Company’s Chief Executive Officer, who is the chief operating decision maker (CODM), to assess operating performance and make decisions about the allocation of resources. The Corporate Unallocated and Japan category includes non-reportable segments, as well as research and development and general and administrative costs, that the Company does not allocate directly to its operating segments.</w:t>
      </w:r>
    </w:p>
    <w:p>
      <w:pPr>
        <w:spacing w:after="0" w:line="136"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Intercompany transactions primarily relate to intercontinental activity and have been eliminated and are excluded from the reported amounts. The difference between income from operations and pre-tax income relates to foreign currency-related gains and losses and interest income on cash balances and investments, which are not allocated to business segments.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Revenue and income from operations by reportable segment for the three and nine months ended September 30, 2023 and 2022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7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0" w:type="dxa"/>
            <w:vAlign w:val="bottom"/>
            <w:gridSpan w:val="5"/>
          </w:tcPr>
          <w:p>
            <w:pPr>
              <w:ind w:left="380"/>
              <w:spacing w:after="0"/>
              <w:rPr>
                <w:sz w:val="20"/>
                <w:szCs w:val="20"/>
                <w:color w:val="auto"/>
              </w:rPr>
            </w:pPr>
            <w:r>
              <w:rPr>
                <w:rFonts w:ascii="Arial" w:cs="Arial" w:eastAsia="Arial" w:hAnsi="Arial"/>
                <w:sz w:val="17"/>
                <w:szCs w:val="17"/>
                <w:b w:val="1"/>
                <w:bCs w:val="1"/>
                <w:color w:val="auto"/>
              </w:rPr>
              <w:t>Three Months Ended</w:t>
            </w:r>
          </w:p>
        </w:tc>
        <w:tc>
          <w:tcPr>
            <w:tcW w:w="380" w:type="dxa"/>
            <w:vAlign w:val="bottom"/>
          </w:tcPr>
          <w:p>
            <w:pPr>
              <w:spacing w:after="0"/>
              <w:rPr>
                <w:sz w:val="18"/>
                <w:szCs w:val="18"/>
                <w:color w:val="auto"/>
              </w:rPr>
            </w:pPr>
          </w:p>
        </w:tc>
        <w:tc>
          <w:tcPr>
            <w:tcW w:w="3100" w:type="dxa"/>
            <w:vAlign w:val="bottom"/>
            <w:gridSpan w:val="4"/>
          </w:tcPr>
          <w:p>
            <w:pPr>
              <w:jc w:val="right"/>
              <w:ind w:right="913"/>
              <w:spacing w:after="0"/>
              <w:rPr>
                <w:sz w:val="20"/>
                <w:szCs w:val="20"/>
                <w:color w:val="auto"/>
              </w:rPr>
            </w:pPr>
            <w:r>
              <w:rPr>
                <w:rFonts w:ascii="Arial" w:cs="Arial" w:eastAsia="Arial" w:hAnsi="Arial"/>
                <w:sz w:val="17"/>
                <w:szCs w:val="17"/>
                <w:b w:val="1"/>
                <w:bCs w:val="1"/>
                <w:color w:val="auto"/>
              </w:rPr>
              <w:t>Nine Months Ended</w:t>
            </w:r>
          </w:p>
        </w:tc>
      </w:tr>
      <w:tr>
        <w:trPr>
          <w:trHeight w:val="227"/>
        </w:trPr>
        <w:tc>
          <w:tcPr>
            <w:tcW w:w="4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60" w:type="dxa"/>
            <w:vAlign w:val="bottom"/>
            <w:gridSpan w:val="3"/>
          </w:tcPr>
          <w:p>
            <w:pPr>
              <w:jc w:val="right"/>
              <w:spacing w:after="0"/>
              <w:rPr>
                <w:sz w:val="20"/>
                <w:szCs w:val="20"/>
                <w:color w:val="auto"/>
              </w:rPr>
            </w:pPr>
            <w:r>
              <w:rPr>
                <w:rFonts w:ascii="Arial" w:cs="Arial" w:eastAsia="Arial" w:hAnsi="Arial"/>
                <w:sz w:val="17"/>
                <w:szCs w:val="17"/>
                <w:b w:val="1"/>
                <w:bCs w:val="1"/>
                <w:color w:val="auto"/>
              </w:rPr>
              <w:t>September 30,</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80" w:type="dxa"/>
            <w:vAlign w:val="bottom"/>
            <w:gridSpan w:val="3"/>
          </w:tcPr>
          <w:p>
            <w:pPr>
              <w:jc w:val="right"/>
              <w:spacing w:after="0"/>
              <w:rPr>
                <w:sz w:val="20"/>
                <w:szCs w:val="20"/>
                <w:color w:val="auto"/>
              </w:rPr>
            </w:pPr>
            <w:r>
              <w:rPr>
                <w:rFonts w:ascii="Arial" w:cs="Arial" w:eastAsia="Arial" w:hAnsi="Arial"/>
                <w:sz w:val="17"/>
                <w:szCs w:val="17"/>
                <w:b w:val="1"/>
                <w:bCs w:val="1"/>
                <w:color w:val="auto"/>
              </w:rPr>
              <w:t>September 30,</w:t>
            </w:r>
          </w:p>
        </w:tc>
        <w:tc>
          <w:tcPr>
            <w:tcW w:w="1120" w:type="dxa"/>
            <w:vAlign w:val="bottom"/>
          </w:tcPr>
          <w:p>
            <w:pPr>
              <w:spacing w:after="0"/>
              <w:rPr>
                <w:sz w:val="19"/>
                <w:szCs w:val="19"/>
                <w:color w:val="auto"/>
              </w:rPr>
            </w:pPr>
          </w:p>
        </w:tc>
      </w:tr>
      <w:tr>
        <w:trPr>
          <w:trHeight w:val="26"/>
        </w:trPr>
        <w:tc>
          <w:tcPr>
            <w:tcW w:w="46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8"/>
        </w:trPr>
        <w:tc>
          <w:tcPr>
            <w:tcW w:w="4620" w:type="dxa"/>
            <w:vAlign w:val="bottom"/>
          </w:tcPr>
          <w:p>
            <w:pPr>
              <w:ind w:left="20"/>
              <w:spacing w:after="0"/>
              <w:rPr>
                <w:sz w:val="20"/>
                <w:szCs w:val="20"/>
                <w:color w:val="auto"/>
              </w:rPr>
            </w:pPr>
            <w:r>
              <w:rPr>
                <w:rFonts w:ascii="Arial" w:cs="Arial" w:eastAsia="Arial" w:hAnsi="Arial"/>
                <w:sz w:val="17"/>
                <w:szCs w:val="17"/>
                <w:color w:val="auto"/>
              </w:rPr>
              <w:t>(dollars in thousands)</w:t>
            </w:r>
          </w:p>
        </w:tc>
        <w:tc>
          <w:tcPr>
            <w:tcW w:w="340" w:type="dxa"/>
            <w:vAlign w:val="bottom"/>
          </w:tcPr>
          <w:p>
            <w:pPr>
              <w:spacing w:after="0"/>
              <w:rPr>
                <w:sz w:val="19"/>
                <w:szCs w:val="19"/>
                <w:color w:val="auto"/>
              </w:rPr>
            </w:pPr>
          </w:p>
        </w:tc>
        <w:tc>
          <w:tcPr>
            <w:tcW w:w="1140" w:type="dxa"/>
            <w:vAlign w:val="bottom"/>
          </w:tcPr>
          <w:p>
            <w:pPr>
              <w:jc w:val="right"/>
              <w:ind w:right="473"/>
              <w:spacing w:after="0"/>
              <w:rPr>
                <w:sz w:val="20"/>
                <w:szCs w:val="20"/>
                <w:color w:val="auto"/>
              </w:rPr>
            </w:pPr>
            <w:r>
              <w:rPr>
                <w:rFonts w:ascii="Arial" w:cs="Arial" w:eastAsia="Arial" w:hAnsi="Arial"/>
                <w:sz w:val="17"/>
                <w:szCs w:val="17"/>
                <w:b w:val="1"/>
                <w:bCs w:val="1"/>
                <w:color w:val="auto"/>
              </w:rPr>
              <w:t>2023</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ind w:right="473"/>
              <w:spacing w:after="0"/>
              <w:rPr>
                <w:sz w:val="20"/>
                <w:szCs w:val="20"/>
                <w:color w:val="auto"/>
              </w:rPr>
            </w:pPr>
            <w:r>
              <w:rPr>
                <w:rFonts w:ascii="Arial" w:cs="Arial" w:eastAsia="Arial" w:hAnsi="Arial"/>
                <w:sz w:val="17"/>
                <w:szCs w:val="17"/>
                <w:b w:val="1"/>
                <w:bCs w:val="1"/>
                <w:color w:val="auto"/>
                <w:w w:val="95"/>
              </w:rPr>
              <w:t>2022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593"/>
              <w:spacing w:after="0"/>
              <w:rPr>
                <w:sz w:val="20"/>
                <w:szCs w:val="20"/>
                <w:color w:val="auto"/>
              </w:rPr>
            </w:pPr>
            <w:r>
              <w:rPr>
                <w:rFonts w:ascii="Arial" w:cs="Arial" w:eastAsia="Arial" w:hAnsi="Arial"/>
                <w:sz w:val="17"/>
                <w:szCs w:val="17"/>
                <w:b w:val="1"/>
                <w:bCs w:val="1"/>
                <w:color w:val="auto"/>
              </w:rPr>
              <w:t>2023</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jc w:val="right"/>
              <w:ind w:right="593"/>
              <w:spacing w:after="0"/>
              <w:rPr>
                <w:sz w:val="20"/>
                <w:szCs w:val="20"/>
                <w:color w:val="auto"/>
              </w:rPr>
            </w:pPr>
            <w:r>
              <w:rPr>
                <w:rFonts w:ascii="Arial" w:cs="Arial" w:eastAsia="Arial" w:hAnsi="Arial"/>
                <w:sz w:val="17"/>
                <w:szCs w:val="17"/>
                <w:b w:val="1"/>
                <w:bCs w:val="1"/>
                <w:color w:val="auto"/>
              </w:rPr>
              <w:t>2022</w:t>
            </w:r>
          </w:p>
        </w:tc>
      </w:tr>
      <w:tr>
        <w:trPr>
          <w:trHeight w:val="26"/>
        </w:trPr>
        <w:tc>
          <w:tcPr>
            <w:tcW w:w="46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1"/>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Revenue:</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r>
      <w:tr>
        <w:trPr>
          <w:trHeight w:val="235"/>
        </w:trPr>
        <w:tc>
          <w:tcPr>
            <w:tcW w:w="4620" w:type="dxa"/>
            <w:vAlign w:val="bottom"/>
          </w:tcPr>
          <w:p>
            <w:pPr>
              <w:ind w:left="20"/>
              <w:spacing w:after="0"/>
              <w:rPr>
                <w:sz w:val="20"/>
                <w:szCs w:val="20"/>
                <w:color w:val="auto"/>
              </w:rPr>
            </w:pPr>
            <w:r>
              <w:rPr>
                <w:rFonts w:ascii="Arial" w:cs="Arial" w:eastAsia="Arial" w:hAnsi="Arial"/>
                <w:sz w:val="17"/>
                <w:szCs w:val="17"/>
                <w:color w:val="auto"/>
              </w:rPr>
              <w:t>United States</w:t>
            </w: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103,940</w:t>
            </w:r>
          </w:p>
        </w:tc>
        <w:tc>
          <w:tcPr>
            <w:tcW w:w="80" w:type="dxa"/>
            <w:vAlign w:val="bottom"/>
          </w:tcPr>
          <w:p>
            <w:pPr>
              <w:spacing w:after="0"/>
              <w:rPr>
                <w:sz w:val="20"/>
                <w:szCs w:val="20"/>
                <w:color w:val="auto"/>
              </w:rPr>
            </w:pPr>
          </w:p>
        </w:tc>
        <w:tc>
          <w:tcPr>
            <w:tcW w:w="540" w:type="dxa"/>
            <w:vAlign w:val="bottom"/>
          </w:tcPr>
          <w:p>
            <w:pPr>
              <w:jc w:val="right"/>
              <w:ind w:right="333"/>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98,970</w:t>
            </w:r>
          </w:p>
        </w:tc>
        <w:tc>
          <w:tcPr>
            <w:tcW w:w="100" w:type="dxa"/>
            <w:vAlign w:val="bottom"/>
          </w:tcPr>
          <w:p>
            <w:pPr>
              <w:spacing w:after="0"/>
              <w:rPr>
                <w:sz w:val="20"/>
                <w:szCs w:val="20"/>
                <w:color w:val="auto"/>
              </w:rPr>
            </w:pPr>
          </w:p>
        </w:tc>
        <w:tc>
          <w:tcPr>
            <w:tcW w:w="380" w:type="dxa"/>
            <w:vAlign w:val="bottom"/>
          </w:tcPr>
          <w:p>
            <w:pPr>
              <w:jc w:val="right"/>
              <w:ind w:right="193"/>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298,007</w:t>
            </w:r>
          </w:p>
        </w:tc>
        <w:tc>
          <w:tcPr>
            <w:tcW w:w="80" w:type="dxa"/>
            <w:vAlign w:val="bottom"/>
          </w:tcPr>
          <w:p>
            <w:pPr>
              <w:spacing w:after="0"/>
              <w:rPr>
                <w:sz w:val="20"/>
                <w:szCs w:val="20"/>
                <w:color w:val="auto"/>
              </w:rPr>
            </w:pPr>
          </w:p>
        </w:tc>
        <w:tc>
          <w:tcPr>
            <w:tcW w:w="580" w:type="dxa"/>
            <w:vAlign w:val="bottom"/>
          </w:tcPr>
          <w:p>
            <w:pPr>
              <w:jc w:val="right"/>
              <w:ind w:right="393"/>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295,121</w:t>
            </w:r>
          </w:p>
        </w:tc>
      </w:tr>
      <w:tr>
        <w:trPr>
          <w:trHeight w:val="26"/>
        </w:trPr>
        <w:tc>
          <w:tcPr>
            <w:tcW w:w="4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1"/>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Europe</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26,765</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21,464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80,822</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69,441</w:t>
            </w:r>
          </w:p>
        </w:tc>
      </w:tr>
      <w:tr>
        <w:trPr>
          <w:trHeight w:val="235"/>
        </w:trPr>
        <w:tc>
          <w:tcPr>
            <w:tcW w:w="4620" w:type="dxa"/>
            <w:vAlign w:val="bottom"/>
          </w:tcPr>
          <w:p>
            <w:pPr>
              <w:ind w:left="20"/>
              <w:spacing w:after="0"/>
              <w:rPr>
                <w:sz w:val="20"/>
                <w:szCs w:val="20"/>
                <w:color w:val="auto"/>
              </w:rPr>
            </w:pPr>
            <w:r>
              <w:rPr>
                <w:rFonts w:ascii="Arial" w:cs="Arial" w:eastAsia="Arial" w:hAnsi="Arial"/>
                <w:sz w:val="17"/>
                <w:szCs w:val="17"/>
                <w:color w:val="auto"/>
              </w:rPr>
              <w:t>Japan</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1,287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8,229</w:t>
            </w:r>
          </w:p>
        </w:tc>
      </w:tr>
      <w:tr>
        <w:trPr>
          <w:trHeight w:val="26"/>
        </w:trPr>
        <w:tc>
          <w:tcPr>
            <w:tcW w:w="46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9"/>
        </w:trPr>
        <w:tc>
          <w:tcPr>
            <w:tcW w:w="4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Total revenue</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130,705</w:t>
            </w:r>
          </w:p>
        </w:tc>
        <w:tc>
          <w:tcPr>
            <w:tcW w:w="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33"/>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121,721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378,829</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393"/>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372,791</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03"/>
        </w:trPr>
        <w:tc>
          <w:tcPr>
            <w:tcW w:w="46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r>
      <w:tr>
        <w:trPr>
          <w:trHeight w:val="281"/>
        </w:trPr>
        <w:tc>
          <w:tcPr>
            <w:tcW w:w="46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00" w:type="dxa"/>
            <w:vAlign w:val="bottom"/>
            <w:gridSpan w:val="4"/>
          </w:tcPr>
          <w:p>
            <w:pPr>
              <w:jc w:val="right"/>
              <w:ind w:right="633"/>
              <w:spacing w:after="0"/>
              <w:rPr>
                <w:sz w:val="20"/>
                <w:szCs w:val="20"/>
                <w:color w:val="auto"/>
              </w:rPr>
            </w:pPr>
            <w:r>
              <w:rPr>
                <w:rFonts w:ascii="Arial" w:cs="Arial" w:eastAsia="Arial" w:hAnsi="Arial"/>
                <w:sz w:val="17"/>
                <w:szCs w:val="17"/>
                <w:b w:val="1"/>
                <w:bCs w:val="1"/>
                <w:color w:val="auto"/>
              </w:rPr>
              <w:t>Three Months Ended</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40" w:type="dxa"/>
            <w:vAlign w:val="bottom"/>
            <w:gridSpan w:val="6"/>
          </w:tcPr>
          <w:p>
            <w:pPr>
              <w:jc w:val="right"/>
              <w:ind w:right="913"/>
              <w:spacing w:after="0"/>
              <w:rPr>
                <w:sz w:val="20"/>
                <w:szCs w:val="20"/>
                <w:color w:val="auto"/>
              </w:rPr>
            </w:pPr>
            <w:r>
              <w:rPr>
                <w:rFonts w:ascii="Arial" w:cs="Arial" w:eastAsia="Arial" w:hAnsi="Arial"/>
                <w:sz w:val="17"/>
                <w:szCs w:val="17"/>
                <w:b w:val="1"/>
                <w:bCs w:val="1"/>
                <w:color w:val="auto"/>
              </w:rPr>
              <w:t>Nine Months Ended</w:t>
            </w:r>
          </w:p>
        </w:tc>
      </w:tr>
      <w:tr>
        <w:trPr>
          <w:trHeight w:val="227"/>
        </w:trPr>
        <w:tc>
          <w:tcPr>
            <w:tcW w:w="4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60" w:type="dxa"/>
            <w:vAlign w:val="bottom"/>
            <w:gridSpan w:val="3"/>
          </w:tcPr>
          <w:p>
            <w:pPr>
              <w:jc w:val="right"/>
              <w:spacing w:after="0"/>
              <w:rPr>
                <w:sz w:val="20"/>
                <w:szCs w:val="20"/>
                <w:color w:val="auto"/>
              </w:rPr>
            </w:pPr>
            <w:r>
              <w:rPr>
                <w:rFonts w:ascii="Arial" w:cs="Arial" w:eastAsia="Arial" w:hAnsi="Arial"/>
                <w:sz w:val="17"/>
                <w:szCs w:val="17"/>
                <w:b w:val="1"/>
                <w:bCs w:val="1"/>
                <w:color w:val="auto"/>
              </w:rPr>
              <w:t>September 30,</w:t>
            </w: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40" w:type="dxa"/>
            <w:vAlign w:val="bottom"/>
            <w:gridSpan w:val="6"/>
          </w:tcPr>
          <w:p>
            <w:pPr>
              <w:jc w:val="right"/>
              <w:ind w:right="1113"/>
              <w:spacing w:after="0"/>
              <w:rPr>
                <w:sz w:val="20"/>
                <w:szCs w:val="20"/>
                <w:color w:val="auto"/>
              </w:rPr>
            </w:pPr>
            <w:r>
              <w:rPr>
                <w:rFonts w:ascii="Arial" w:cs="Arial" w:eastAsia="Arial" w:hAnsi="Arial"/>
                <w:sz w:val="17"/>
                <w:szCs w:val="17"/>
                <w:b w:val="1"/>
                <w:bCs w:val="1"/>
                <w:color w:val="auto"/>
              </w:rPr>
              <w:t>September 30,</w:t>
            </w:r>
          </w:p>
        </w:tc>
      </w:tr>
      <w:tr>
        <w:trPr>
          <w:trHeight w:val="26"/>
        </w:trPr>
        <w:tc>
          <w:tcPr>
            <w:tcW w:w="46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8"/>
        </w:trPr>
        <w:tc>
          <w:tcPr>
            <w:tcW w:w="4620" w:type="dxa"/>
            <w:vAlign w:val="bottom"/>
          </w:tcPr>
          <w:p>
            <w:pPr>
              <w:ind w:left="20"/>
              <w:spacing w:after="0"/>
              <w:rPr>
                <w:sz w:val="20"/>
                <w:szCs w:val="20"/>
                <w:color w:val="auto"/>
              </w:rPr>
            </w:pPr>
            <w:r>
              <w:rPr>
                <w:rFonts w:ascii="Arial" w:cs="Arial" w:eastAsia="Arial" w:hAnsi="Arial"/>
                <w:sz w:val="17"/>
                <w:szCs w:val="17"/>
                <w:color w:val="auto"/>
              </w:rPr>
              <w:t>(in thousands)</w:t>
            </w:r>
          </w:p>
        </w:tc>
        <w:tc>
          <w:tcPr>
            <w:tcW w:w="340" w:type="dxa"/>
            <w:vAlign w:val="bottom"/>
          </w:tcPr>
          <w:p>
            <w:pPr>
              <w:spacing w:after="0"/>
              <w:rPr>
                <w:sz w:val="19"/>
                <w:szCs w:val="19"/>
                <w:color w:val="auto"/>
              </w:rPr>
            </w:pPr>
          </w:p>
        </w:tc>
        <w:tc>
          <w:tcPr>
            <w:tcW w:w="1140" w:type="dxa"/>
            <w:vAlign w:val="bottom"/>
          </w:tcPr>
          <w:p>
            <w:pPr>
              <w:jc w:val="right"/>
              <w:ind w:right="473"/>
              <w:spacing w:after="0"/>
              <w:rPr>
                <w:sz w:val="20"/>
                <w:szCs w:val="20"/>
                <w:color w:val="auto"/>
              </w:rPr>
            </w:pPr>
            <w:r>
              <w:rPr>
                <w:rFonts w:ascii="Arial" w:cs="Arial" w:eastAsia="Arial" w:hAnsi="Arial"/>
                <w:sz w:val="17"/>
                <w:szCs w:val="17"/>
                <w:b w:val="1"/>
                <w:bCs w:val="1"/>
                <w:color w:val="auto"/>
              </w:rPr>
              <w:t>2023</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ind w:right="473"/>
              <w:spacing w:after="0"/>
              <w:rPr>
                <w:sz w:val="20"/>
                <w:szCs w:val="20"/>
                <w:color w:val="auto"/>
              </w:rPr>
            </w:pPr>
            <w:r>
              <w:rPr>
                <w:rFonts w:ascii="Arial" w:cs="Arial" w:eastAsia="Arial" w:hAnsi="Arial"/>
                <w:sz w:val="17"/>
                <w:szCs w:val="17"/>
                <w:b w:val="1"/>
                <w:bCs w:val="1"/>
                <w:color w:val="auto"/>
                <w:w w:val="95"/>
              </w:rPr>
              <w:t>2022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ind w:right="593"/>
              <w:spacing w:after="0"/>
              <w:rPr>
                <w:sz w:val="20"/>
                <w:szCs w:val="20"/>
                <w:color w:val="auto"/>
              </w:rPr>
            </w:pPr>
            <w:r>
              <w:rPr>
                <w:rFonts w:ascii="Arial" w:cs="Arial" w:eastAsia="Arial" w:hAnsi="Arial"/>
                <w:sz w:val="17"/>
                <w:szCs w:val="17"/>
                <w:b w:val="1"/>
                <w:bCs w:val="1"/>
                <w:color w:val="auto"/>
              </w:rPr>
              <w:t>2023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593"/>
              <w:spacing w:after="0"/>
              <w:rPr>
                <w:sz w:val="20"/>
                <w:szCs w:val="20"/>
                <w:color w:val="auto"/>
              </w:rPr>
            </w:pPr>
            <w:r>
              <w:rPr>
                <w:rFonts w:ascii="Arial" w:cs="Arial" w:eastAsia="Arial" w:hAnsi="Arial"/>
                <w:sz w:val="17"/>
                <w:szCs w:val="17"/>
                <w:b w:val="1"/>
                <w:bCs w:val="1"/>
                <w:color w:val="auto"/>
              </w:rPr>
              <w:t>2022</w:t>
            </w:r>
          </w:p>
        </w:tc>
      </w:tr>
      <w:tr>
        <w:trPr>
          <w:trHeight w:val="26"/>
        </w:trPr>
        <w:tc>
          <w:tcPr>
            <w:tcW w:w="46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1"/>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Income (Loss) from Operations:</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r>
      <w:tr>
        <w:trPr>
          <w:trHeight w:val="235"/>
        </w:trPr>
        <w:tc>
          <w:tcPr>
            <w:tcW w:w="4620" w:type="dxa"/>
            <w:vAlign w:val="bottom"/>
          </w:tcPr>
          <w:p>
            <w:pPr>
              <w:ind w:left="20"/>
              <w:spacing w:after="0"/>
              <w:rPr>
                <w:sz w:val="20"/>
                <w:szCs w:val="20"/>
                <w:color w:val="auto"/>
              </w:rPr>
            </w:pPr>
            <w:r>
              <w:rPr>
                <w:rFonts w:ascii="Arial" w:cs="Arial" w:eastAsia="Arial" w:hAnsi="Arial"/>
                <w:sz w:val="17"/>
                <w:szCs w:val="17"/>
                <w:color w:val="auto"/>
              </w:rPr>
              <w:t>United States</w:t>
            </w: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27,178</w:t>
            </w:r>
          </w:p>
        </w:tc>
        <w:tc>
          <w:tcPr>
            <w:tcW w:w="80" w:type="dxa"/>
            <w:vAlign w:val="bottom"/>
          </w:tcPr>
          <w:p>
            <w:pPr>
              <w:spacing w:after="0"/>
              <w:rPr>
                <w:sz w:val="20"/>
                <w:szCs w:val="20"/>
                <w:color w:val="auto"/>
              </w:rPr>
            </w:pPr>
          </w:p>
        </w:tc>
        <w:tc>
          <w:tcPr>
            <w:tcW w:w="540" w:type="dxa"/>
            <w:vAlign w:val="bottom"/>
          </w:tcPr>
          <w:p>
            <w:pPr>
              <w:jc w:val="right"/>
              <w:ind w:right="333"/>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25,293</w:t>
            </w:r>
          </w:p>
        </w:tc>
        <w:tc>
          <w:tcPr>
            <w:tcW w:w="340" w:type="dxa"/>
            <w:vAlign w:val="bottom"/>
            <w:gridSpan w:val="3"/>
          </w:tcPr>
          <w:p>
            <w:pPr>
              <w:jc w:val="right"/>
              <w:ind w:right="53"/>
              <w:spacing w:after="0"/>
              <w:rPr>
                <w:sz w:val="20"/>
                <w:szCs w:val="20"/>
                <w:color w:val="auto"/>
              </w:rPr>
            </w:pPr>
            <w:r>
              <w:rPr>
                <w:rFonts w:ascii="Arial" w:cs="Arial" w:eastAsia="Arial" w:hAnsi="Arial"/>
                <w:sz w:val="17"/>
                <w:szCs w:val="17"/>
                <w:color w:val="auto"/>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69,713</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73,984</w:t>
            </w:r>
          </w:p>
        </w:tc>
      </w:tr>
      <w:tr>
        <w:trPr>
          <w:trHeight w:val="26"/>
        </w:trPr>
        <w:tc>
          <w:tcPr>
            <w:tcW w:w="4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1"/>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Europe</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(3,006)</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(3,581)</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(8,870)</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(7,509)</w:t>
            </w:r>
          </w:p>
        </w:tc>
      </w:tr>
      <w:tr>
        <w:trPr>
          <w:trHeight w:val="235"/>
        </w:trPr>
        <w:tc>
          <w:tcPr>
            <w:tcW w:w="4620" w:type="dxa"/>
            <w:vAlign w:val="bottom"/>
          </w:tcPr>
          <w:p>
            <w:pPr>
              <w:ind w:left="20"/>
              <w:spacing w:after="0"/>
              <w:rPr>
                <w:sz w:val="20"/>
                <w:szCs w:val="20"/>
                <w:color w:val="auto"/>
              </w:rPr>
            </w:pPr>
            <w:r>
              <w:rPr>
                <w:rFonts w:ascii="Arial" w:cs="Arial" w:eastAsia="Arial" w:hAnsi="Arial"/>
                <w:sz w:val="17"/>
                <w:szCs w:val="17"/>
                <w:color w:val="auto"/>
              </w:rPr>
              <w:t>Corporate Unallocated and Japan</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(13,757)</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(15,654)</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(41,071)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(47,326)</w:t>
            </w:r>
          </w:p>
        </w:tc>
      </w:tr>
      <w:tr>
        <w:trPr>
          <w:trHeight w:val="26"/>
        </w:trPr>
        <w:tc>
          <w:tcPr>
            <w:tcW w:w="46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74"/>
        </w:trPr>
        <w:tc>
          <w:tcPr>
            <w:tcW w:w="4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Total Income from Operations</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10,415</w:t>
            </w:r>
          </w:p>
        </w:tc>
        <w:tc>
          <w:tcPr>
            <w:tcW w:w="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33"/>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6,058</w:t>
            </w:r>
          </w:p>
        </w:tc>
        <w:tc>
          <w:tcPr>
            <w:tcW w:w="100" w:type="dxa"/>
            <w:vAlign w:val="bottom"/>
            <w:tcBorders>
              <w:bottom w:val="single" w:sz="8" w:color="CCEEFF"/>
            </w:tcBorders>
            <w:gridSpan w:val="2"/>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19,772</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19,149</w:t>
            </w:r>
          </w:p>
        </w:tc>
      </w:tr>
      <w:tr>
        <w:trPr>
          <w:trHeight w:val="20"/>
        </w:trPr>
        <w:tc>
          <w:tcPr>
            <w:tcW w:w="6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03"/>
        </w:trPr>
        <w:tc>
          <w:tcPr>
            <w:tcW w:w="4620" w:type="dxa"/>
            <w:vAlign w:val="bottom"/>
            <w:tcBorders>
              <w:bottom w:val="single" w:sz="8" w:color="auto"/>
            </w:tcBorders>
          </w:tcPr>
          <w:p>
            <w:pPr>
              <w:spacing w:after="0"/>
              <w:rPr>
                <w:sz w:val="8"/>
                <w:szCs w:val="8"/>
                <w:color w:val="auto"/>
              </w:rPr>
            </w:pPr>
          </w:p>
        </w:tc>
        <w:tc>
          <w:tcPr>
            <w:tcW w:w="340" w:type="dxa"/>
            <w:vAlign w:val="bottom"/>
            <w:tcBorders>
              <w:top w:val="single" w:sz="8" w:color="auto"/>
              <w:bottom w:val="single" w:sz="8" w:color="auto"/>
            </w:tcBorders>
          </w:tcPr>
          <w:p>
            <w:pPr>
              <w:spacing w:after="0"/>
              <w:rPr>
                <w:sz w:val="8"/>
                <w:szCs w:val="8"/>
                <w:color w:val="auto"/>
              </w:rPr>
            </w:pPr>
          </w:p>
        </w:tc>
        <w:tc>
          <w:tcPr>
            <w:tcW w:w="1140" w:type="dxa"/>
            <w:vAlign w:val="bottom"/>
            <w:tcBorders>
              <w:top w:val="single" w:sz="8" w:color="auto"/>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top w:val="single" w:sz="8" w:color="auto"/>
              <w:bottom w:val="single" w:sz="8" w:color="auto"/>
            </w:tcBorders>
          </w:tcPr>
          <w:p>
            <w:pPr>
              <w:spacing w:after="0"/>
              <w:rPr>
                <w:sz w:val="8"/>
                <w:szCs w:val="8"/>
                <w:color w:val="auto"/>
              </w:rPr>
            </w:pPr>
          </w:p>
        </w:tc>
        <w:tc>
          <w:tcPr>
            <w:tcW w:w="940" w:type="dxa"/>
            <w:vAlign w:val="bottom"/>
            <w:tcBorders>
              <w:top w:val="single" w:sz="8" w:color="auto"/>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40" w:type="dxa"/>
            <w:vAlign w:val="bottom"/>
            <w:tcBorders>
              <w:top w:val="single" w:sz="8" w:color="auto"/>
              <w:bottom w:val="single" w:sz="8" w:color="auto"/>
            </w:tcBorders>
          </w:tcPr>
          <w:p>
            <w:pPr>
              <w:spacing w:after="0"/>
              <w:rPr>
                <w:sz w:val="8"/>
                <w:szCs w:val="8"/>
                <w:color w:val="auto"/>
              </w:rPr>
            </w:pPr>
          </w:p>
        </w:tc>
        <w:tc>
          <w:tcPr>
            <w:tcW w:w="1460" w:type="dxa"/>
            <w:vAlign w:val="bottom"/>
            <w:tcBorders>
              <w:top w:val="single" w:sz="8" w:color="auto"/>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180" w:type="dxa"/>
            <w:vAlign w:val="bottom"/>
            <w:tcBorders>
              <w:top w:val="single" w:sz="8" w:color="auto"/>
              <w:bottom w:val="single" w:sz="8" w:color="auto"/>
            </w:tcBorders>
          </w:tcPr>
          <w:p>
            <w:pPr>
              <w:spacing w:after="0"/>
              <w:rPr>
                <w:sz w:val="8"/>
                <w:szCs w:val="8"/>
                <w:color w:val="auto"/>
              </w:rPr>
            </w:pPr>
          </w:p>
        </w:tc>
        <w:tc>
          <w:tcPr>
            <w:tcW w:w="1300" w:type="dxa"/>
            <w:vAlign w:val="bottom"/>
            <w:tcBorders>
              <w:top w:val="single" w:sz="8" w:color="auto"/>
              <w:bottom w:val="single" w:sz="8" w:color="auto"/>
            </w:tcBorders>
          </w:tcPr>
          <w:p>
            <w:pPr>
              <w:spacing w:after="0"/>
              <w:rPr>
                <w:sz w:val="8"/>
                <w:szCs w:val="8"/>
                <w:color w:val="auto"/>
              </w:rPr>
            </w:pPr>
          </w:p>
        </w:tc>
      </w:tr>
      <w:tr>
        <w:trPr>
          <w:trHeight w:val="463"/>
        </w:trPr>
        <w:tc>
          <w:tcPr>
            <w:tcW w:w="6180" w:type="dxa"/>
            <w:vAlign w:val="bottom"/>
            <w:gridSpan w:val="4"/>
          </w:tcPr>
          <w:p>
            <w:pPr>
              <w:spacing w:after="0"/>
              <w:rPr>
                <w:sz w:val="20"/>
                <w:szCs w:val="20"/>
                <w:color w:val="auto"/>
              </w:rPr>
            </w:pPr>
            <w:r>
              <w:rPr>
                <w:rFonts w:ascii="Arial" w:cs="Arial" w:eastAsia="Arial" w:hAnsi="Arial"/>
                <w:sz w:val="17"/>
                <w:szCs w:val="17"/>
                <w:color w:val="auto"/>
                <w:w w:val="93"/>
              </w:rPr>
              <w:t>Total long-lived assets at September 30, 2023 and December 31, 2022 were as follows:</w:t>
            </w: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96"/>
        </w:trPr>
        <w:tc>
          <w:tcPr>
            <w:tcW w:w="46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r>
        <w:trPr>
          <w:trHeight w:val="354"/>
        </w:trPr>
        <w:tc>
          <w:tcPr>
            <w:tcW w:w="4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gridSpan w:val="2"/>
          </w:tcPr>
          <w:p>
            <w:pPr>
              <w:ind w:left="160"/>
              <w:spacing w:after="0"/>
              <w:rPr>
                <w:sz w:val="20"/>
                <w:szCs w:val="20"/>
                <w:color w:val="auto"/>
              </w:rPr>
            </w:pPr>
            <w:r>
              <w:rPr>
                <w:rFonts w:ascii="Arial" w:cs="Arial" w:eastAsia="Arial" w:hAnsi="Arial"/>
                <w:sz w:val="17"/>
                <w:szCs w:val="17"/>
                <w:b w:val="1"/>
                <w:bCs w:val="1"/>
                <w:color w:val="auto"/>
              </w:rPr>
              <w:t>September 30,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133"/>
              <w:spacing w:after="0"/>
              <w:rPr>
                <w:sz w:val="20"/>
                <w:szCs w:val="20"/>
                <w:color w:val="auto"/>
              </w:rPr>
            </w:pPr>
            <w:r>
              <w:rPr>
                <w:rFonts w:ascii="Arial" w:cs="Arial" w:eastAsia="Arial" w:hAnsi="Arial"/>
                <w:sz w:val="17"/>
                <w:szCs w:val="17"/>
                <w:b w:val="1"/>
                <w:bCs w:val="1"/>
                <w:color w:val="auto"/>
                <w:w w:val="95"/>
              </w:rPr>
              <w:t>December 31,</w:t>
            </w:r>
          </w:p>
        </w:tc>
      </w:tr>
      <w:tr>
        <w:trPr>
          <w:trHeight w:val="227"/>
        </w:trPr>
        <w:tc>
          <w:tcPr>
            <w:tcW w:w="4620" w:type="dxa"/>
            <w:vAlign w:val="bottom"/>
          </w:tcPr>
          <w:p>
            <w:pPr>
              <w:ind w:left="20"/>
              <w:spacing w:after="0"/>
              <w:rPr>
                <w:sz w:val="20"/>
                <w:szCs w:val="20"/>
                <w:color w:val="auto"/>
              </w:rPr>
            </w:pPr>
            <w:r>
              <w:rPr>
                <w:rFonts w:ascii="Arial" w:cs="Arial" w:eastAsia="Arial" w:hAnsi="Arial"/>
                <w:sz w:val="17"/>
                <w:szCs w:val="17"/>
                <w:color w:val="auto"/>
              </w:rPr>
              <w:t>(in thousands)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ind w:right="513"/>
              <w:spacing w:after="0"/>
              <w:rPr>
                <w:sz w:val="20"/>
                <w:szCs w:val="20"/>
                <w:color w:val="auto"/>
              </w:rPr>
            </w:pPr>
            <w:r>
              <w:rPr>
                <w:rFonts w:ascii="Arial" w:cs="Arial" w:eastAsia="Arial" w:hAnsi="Arial"/>
                <w:sz w:val="17"/>
                <w:szCs w:val="17"/>
                <w:b w:val="1"/>
                <w:bCs w:val="1"/>
                <w:color w:val="auto"/>
              </w:rPr>
              <w:t>2023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473"/>
              <w:spacing w:after="0"/>
              <w:rPr>
                <w:sz w:val="20"/>
                <w:szCs w:val="20"/>
                <w:color w:val="auto"/>
              </w:rPr>
            </w:pPr>
            <w:r>
              <w:rPr>
                <w:rFonts w:ascii="Arial" w:cs="Arial" w:eastAsia="Arial" w:hAnsi="Arial"/>
                <w:sz w:val="17"/>
                <w:szCs w:val="17"/>
                <w:b w:val="1"/>
                <w:bCs w:val="1"/>
                <w:color w:val="auto"/>
              </w:rPr>
              <w:t>2022</w:t>
            </w:r>
          </w:p>
        </w:tc>
      </w:tr>
      <w:tr>
        <w:trPr>
          <w:trHeight w:val="26"/>
        </w:trPr>
        <w:tc>
          <w:tcPr>
            <w:tcW w:w="46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1"/>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long-lived assets:</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r>
      <w:tr>
        <w:trPr>
          <w:trHeight w:val="235"/>
        </w:trPr>
        <w:tc>
          <w:tcPr>
            <w:tcW w:w="4620" w:type="dxa"/>
            <w:vAlign w:val="bottom"/>
          </w:tcPr>
          <w:p>
            <w:pPr>
              <w:ind w:left="20"/>
              <w:spacing w:after="0"/>
              <w:rPr>
                <w:sz w:val="20"/>
                <w:szCs w:val="20"/>
                <w:color w:val="auto"/>
              </w:rPr>
            </w:pPr>
            <w:r>
              <w:rPr>
                <w:rFonts w:ascii="Arial" w:cs="Arial" w:eastAsia="Arial" w:hAnsi="Arial"/>
                <w:sz w:val="17"/>
                <w:szCs w:val="17"/>
                <w:color w:val="auto"/>
              </w:rPr>
              <w:t>United States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gridSpan w:val="3"/>
          </w:tcPr>
          <w:p>
            <w:pPr>
              <w:jc w:val="right"/>
              <w:ind w:right="113"/>
              <w:spacing w:after="0"/>
              <w:rPr>
                <w:sz w:val="20"/>
                <w:szCs w:val="20"/>
                <w:color w:val="auto"/>
              </w:rPr>
            </w:pPr>
            <w:r>
              <w:rPr>
                <w:rFonts w:ascii="Arial" w:cs="Arial" w:eastAsia="Arial" w:hAnsi="Arial"/>
                <w:sz w:val="17"/>
                <w:szCs w:val="17"/>
                <w:color w:val="auto"/>
              </w:rPr>
              <w:t>$</w:t>
            </w:r>
          </w:p>
        </w:tc>
        <w:tc>
          <w:tcPr>
            <w:tcW w:w="1680" w:type="dxa"/>
            <w:vAlign w:val="bottom"/>
            <w:gridSpan w:val="3"/>
          </w:tcPr>
          <w:p>
            <w:pPr>
              <w:jc w:val="right"/>
              <w:spacing w:after="0"/>
              <w:rPr>
                <w:sz w:val="20"/>
                <w:szCs w:val="20"/>
                <w:color w:val="auto"/>
              </w:rPr>
            </w:pPr>
            <w:r>
              <w:rPr>
                <w:rFonts w:ascii="Arial" w:cs="Arial" w:eastAsia="Arial" w:hAnsi="Arial"/>
                <w:sz w:val="17"/>
                <w:szCs w:val="17"/>
                <w:color w:val="auto"/>
              </w:rPr>
              <w:t>190,927</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203,816</w:t>
            </w:r>
          </w:p>
        </w:tc>
      </w:tr>
      <w:tr>
        <w:trPr>
          <w:trHeight w:val="26"/>
        </w:trPr>
        <w:tc>
          <w:tcPr>
            <w:tcW w:w="4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1"/>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Europe</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52,095</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53,835</w:t>
            </w:r>
          </w:p>
        </w:tc>
      </w:tr>
      <w:tr>
        <w:trPr>
          <w:trHeight w:val="235"/>
        </w:trPr>
        <w:tc>
          <w:tcPr>
            <w:tcW w:w="4620" w:type="dxa"/>
            <w:vAlign w:val="bottom"/>
          </w:tcPr>
          <w:p>
            <w:pPr>
              <w:ind w:left="20"/>
              <w:spacing w:after="0"/>
              <w:rPr>
                <w:sz w:val="20"/>
                <w:szCs w:val="20"/>
                <w:color w:val="auto"/>
              </w:rPr>
            </w:pPr>
            <w:r>
              <w:rPr>
                <w:rFonts w:ascii="Arial" w:cs="Arial" w:eastAsia="Arial" w:hAnsi="Arial"/>
                <w:sz w:val="17"/>
                <w:szCs w:val="17"/>
                <w:color w:val="auto"/>
              </w:rPr>
              <w:t>Japan</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134</w:t>
            </w:r>
          </w:p>
        </w:tc>
      </w:tr>
      <w:tr>
        <w:trPr>
          <w:trHeight w:val="26"/>
        </w:trPr>
        <w:tc>
          <w:tcPr>
            <w:tcW w:w="46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74"/>
        </w:trPr>
        <w:tc>
          <w:tcPr>
            <w:tcW w:w="4620" w:type="dxa"/>
            <w:vAlign w:val="bottom"/>
            <w:shd w:val="clear" w:color="auto" w:fill="CCEEFF"/>
          </w:tcPr>
          <w:p>
            <w:pPr>
              <w:ind w:left="500"/>
              <w:spacing w:after="0"/>
              <w:rPr>
                <w:sz w:val="20"/>
                <w:szCs w:val="20"/>
                <w:color w:val="auto"/>
              </w:rPr>
            </w:pPr>
            <w:r>
              <w:rPr>
                <w:rFonts w:ascii="Arial" w:cs="Arial" w:eastAsia="Arial" w:hAnsi="Arial"/>
                <w:sz w:val="17"/>
                <w:szCs w:val="17"/>
                <w:color w:val="auto"/>
              </w:rPr>
              <w:t>Total Long-lived Assets</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340" w:type="dxa"/>
            <w:vAlign w:val="bottom"/>
            <w:gridSpan w:val="3"/>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6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243,022</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257,785</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103"/>
        </w:trPr>
        <w:tc>
          <w:tcPr>
            <w:tcW w:w="46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color w:val="auto"/>
        </w:rPr>
        <w:t>Revenue by product line for the three and nine months ended September 30, 2023 and 2022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71367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0" w:type="dxa"/>
            <w:vAlign w:val="bottom"/>
            <w:gridSpan w:val="5"/>
          </w:tcPr>
          <w:p>
            <w:pPr>
              <w:ind w:left="380"/>
              <w:spacing w:after="0"/>
              <w:rPr>
                <w:sz w:val="20"/>
                <w:szCs w:val="20"/>
                <w:color w:val="auto"/>
              </w:rPr>
            </w:pPr>
            <w:r>
              <w:rPr>
                <w:rFonts w:ascii="Arial" w:cs="Arial" w:eastAsia="Arial" w:hAnsi="Arial"/>
                <w:sz w:val="17"/>
                <w:szCs w:val="17"/>
                <w:b w:val="1"/>
                <w:bCs w:val="1"/>
                <w:color w:val="auto"/>
              </w:rPr>
              <w:t>Three Months Ended</w:t>
            </w:r>
          </w:p>
        </w:tc>
        <w:tc>
          <w:tcPr>
            <w:tcW w:w="380" w:type="dxa"/>
            <w:vAlign w:val="bottom"/>
          </w:tcPr>
          <w:p>
            <w:pPr>
              <w:spacing w:after="0"/>
              <w:rPr>
                <w:sz w:val="18"/>
                <w:szCs w:val="18"/>
                <w:color w:val="auto"/>
              </w:rPr>
            </w:pPr>
          </w:p>
        </w:tc>
        <w:tc>
          <w:tcPr>
            <w:tcW w:w="3100" w:type="dxa"/>
            <w:vAlign w:val="bottom"/>
            <w:gridSpan w:val="4"/>
          </w:tcPr>
          <w:p>
            <w:pPr>
              <w:jc w:val="right"/>
              <w:ind w:right="913"/>
              <w:spacing w:after="0"/>
              <w:rPr>
                <w:sz w:val="20"/>
                <w:szCs w:val="20"/>
                <w:color w:val="auto"/>
              </w:rPr>
            </w:pPr>
            <w:r>
              <w:rPr>
                <w:rFonts w:ascii="Arial" w:cs="Arial" w:eastAsia="Arial" w:hAnsi="Arial"/>
                <w:sz w:val="17"/>
                <w:szCs w:val="17"/>
                <w:b w:val="1"/>
                <w:bCs w:val="1"/>
                <w:color w:val="auto"/>
              </w:rPr>
              <w:t>Nine Months Ended</w:t>
            </w:r>
          </w:p>
        </w:tc>
      </w:tr>
      <w:tr>
        <w:trPr>
          <w:trHeight w:val="227"/>
        </w:trPr>
        <w:tc>
          <w:tcPr>
            <w:tcW w:w="4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60" w:type="dxa"/>
            <w:vAlign w:val="bottom"/>
            <w:gridSpan w:val="3"/>
          </w:tcPr>
          <w:p>
            <w:pPr>
              <w:jc w:val="right"/>
              <w:spacing w:after="0"/>
              <w:rPr>
                <w:sz w:val="20"/>
                <w:szCs w:val="20"/>
                <w:color w:val="auto"/>
              </w:rPr>
            </w:pPr>
            <w:r>
              <w:rPr>
                <w:rFonts w:ascii="Arial" w:cs="Arial" w:eastAsia="Arial" w:hAnsi="Arial"/>
                <w:sz w:val="17"/>
                <w:szCs w:val="17"/>
                <w:b w:val="1"/>
                <w:bCs w:val="1"/>
                <w:color w:val="auto"/>
              </w:rPr>
              <w:t>September 30,</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80" w:type="dxa"/>
            <w:vAlign w:val="bottom"/>
            <w:gridSpan w:val="3"/>
          </w:tcPr>
          <w:p>
            <w:pPr>
              <w:jc w:val="right"/>
              <w:spacing w:after="0"/>
              <w:rPr>
                <w:sz w:val="20"/>
                <w:szCs w:val="20"/>
                <w:color w:val="auto"/>
              </w:rPr>
            </w:pPr>
            <w:r>
              <w:rPr>
                <w:rFonts w:ascii="Arial" w:cs="Arial" w:eastAsia="Arial" w:hAnsi="Arial"/>
                <w:sz w:val="17"/>
                <w:szCs w:val="17"/>
                <w:b w:val="1"/>
                <w:bCs w:val="1"/>
                <w:color w:val="auto"/>
              </w:rPr>
              <w:t>September 30,</w:t>
            </w:r>
          </w:p>
        </w:tc>
        <w:tc>
          <w:tcPr>
            <w:tcW w:w="1120" w:type="dxa"/>
            <w:vAlign w:val="bottom"/>
          </w:tcPr>
          <w:p>
            <w:pPr>
              <w:spacing w:after="0"/>
              <w:rPr>
                <w:sz w:val="19"/>
                <w:szCs w:val="19"/>
                <w:color w:val="auto"/>
              </w:rPr>
            </w:pPr>
          </w:p>
        </w:tc>
      </w:tr>
      <w:tr>
        <w:trPr>
          <w:trHeight w:val="26"/>
        </w:trPr>
        <w:tc>
          <w:tcPr>
            <w:tcW w:w="46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8"/>
        </w:trPr>
        <w:tc>
          <w:tcPr>
            <w:tcW w:w="4620" w:type="dxa"/>
            <w:vAlign w:val="bottom"/>
          </w:tcPr>
          <w:p>
            <w:pPr>
              <w:ind w:left="20"/>
              <w:spacing w:after="0"/>
              <w:rPr>
                <w:sz w:val="20"/>
                <w:szCs w:val="20"/>
                <w:color w:val="auto"/>
              </w:rPr>
            </w:pPr>
            <w:r>
              <w:rPr>
                <w:rFonts w:ascii="Arial" w:cs="Arial" w:eastAsia="Arial" w:hAnsi="Arial"/>
                <w:sz w:val="17"/>
                <w:szCs w:val="17"/>
                <w:color w:val="auto"/>
              </w:rPr>
              <w:t>(dollars in thousands)</w:t>
            </w:r>
          </w:p>
        </w:tc>
        <w:tc>
          <w:tcPr>
            <w:tcW w:w="340" w:type="dxa"/>
            <w:vAlign w:val="bottom"/>
          </w:tcPr>
          <w:p>
            <w:pPr>
              <w:spacing w:after="0"/>
              <w:rPr>
                <w:sz w:val="19"/>
                <w:szCs w:val="19"/>
                <w:color w:val="auto"/>
              </w:rPr>
            </w:pPr>
          </w:p>
        </w:tc>
        <w:tc>
          <w:tcPr>
            <w:tcW w:w="1140" w:type="dxa"/>
            <w:vAlign w:val="bottom"/>
          </w:tcPr>
          <w:p>
            <w:pPr>
              <w:jc w:val="right"/>
              <w:ind w:right="473"/>
              <w:spacing w:after="0"/>
              <w:rPr>
                <w:sz w:val="20"/>
                <w:szCs w:val="20"/>
                <w:color w:val="auto"/>
              </w:rPr>
            </w:pPr>
            <w:r>
              <w:rPr>
                <w:rFonts w:ascii="Arial" w:cs="Arial" w:eastAsia="Arial" w:hAnsi="Arial"/>
                <w:sz w:val="17"/>
                <w:szCs w:val="17"/>
                <w:b w:val="1"/>
                <w:bCs w:val="1"/>
                <w:color w:val="auto"/>
              </w:rPr>
              <w:t>2023</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ind w:right="473"/>
              <w:spacing w:after="0"/>
              <w:rPr>
                <w:sz w:val="20"/>
                <w:szCs w:val="20"/>
                <w:color w:val="auto"/>
              </w:rPr>
            </w:pPr>
            <w:r>
              <w:rPr>
                <w:rFonts w:ascii="Arial" w:cs="Arial" w:eastAsia="Arial" w:hAnsi="Arial"/>
                <w:sz w:val="17"/>
                <w:szCs w:val="17"/>
                <w:b w:val="1"/>
                <w:bCs w:val="1"/>
                <w:color w:val="auto"/>
                <w:w w:val="95"/>
              </w:rPr>
              <w:t>2022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593"/>
              <w:spacing w:after="0"/>
              <w:rPr>
                <w:sz w:val="20"/>
                <w:szCs w:val="20"/>
                <w:color w:val="auto"/>
              </w:rPr>
            </w:pPr>
            <w:r>
              <w:rPr>
                <w:rFonts w:ascii="Arial" w:cs="Arial" w:eastAsia="Arial" w:hAnsi="Arial"/>
                <w:sz w:val="17"/>
                <w:szCs w:val="17"/>
                <w:b w:val="1"/>
                <w:bCs w:val="1"/>
                <w:color w:val="auto"/>
              </w:rPr>
              <w:t>2023</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jc w:val="right"/>
              <w:ind w:right="593"/>
              <w:spacing w:after="0"/>
              <w:rPr>
                <w:sz w:val="20"/>
                <w:szCs w:val="20"/>
                <w:color w:val="auto"/>
              </w:rPr>
            </w:pPr>
            <w:r>
              <w:rPr>
                <w:rFonts w:ascii="Arial" w:cs="Arial" w:eastAsia="Arial" w:hAnsi="Arial"/>
                <w:sz w:val="17"/>
                <w:szCs w:val="17"/>
                <w:b w:val="1"/>
                <w:bCs w:val="1"/>
                <w:color w:val="auto"/>
              </w:rPr>
              <w:t>2022</w:t>
            </w:r>
          </w:p>
        </w:tc>
      </w:tr>
      <w:tr>
        <w:trPr>
          <w:trHeight w:val="26"/>
        </w:trPr>
        <w:tc>
          <w:tcPr>
            <w:tcW w:w="46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1"/>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Revenue:</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r>
      <w:tr>
        <w:trPr>
          <w:trHeight w:val="235"/>
        </w:trPr>
        <w:tc>
          <w:tcPr>
            <w:tcW w:w="4620" w:type="dxa"/>
            <w:vAlign w:val="bottom"/>
          </w:tcPr>
          <w:p>
            <w:pPr>
              <w:ind w:left="20"/>
              <w:spacing w:after="0"/>
              <w:rPr>
                <w:sz w:val="20"/>
                <w:szCs w:val="20"/>
                <w:color w:val="auto"/>
              </w:rPr>
            </w:pPr>
            <w:r>
              <w:rPr>
                <w:rFonts w:ascii="Arial" w:cs="Arial" w:eastAsia="Arial" w:hAnsi="Arial"/>
                <w:sz w:val="17"/>
                <w:szCs w:val="17"/>
                <w:color w:val="auto"/>
              </w:rPr>
              <w:t>Injection Molding</w:t>
            </w: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51,688</w:t>
            </w:r>
          </w:p>
        </w:tc>
        <w:tc>
          <w:tcPr>
            <w:tcW w:w="80" w:type="dxa"/>
            <w:vAlign w:val="bottom"/>
          </w:tcPr>
          <w:p>
            <w:pPr>
              <w:spacing w:after="0"/>
              <w:rPr>
                <w:sz w:val="20"/>
                <w:szCs w:val="20"/>
                <w:color w:val="auto"/>
              </w:rPr>
            </w:pPr>
          </w:p>
        </w:tc>
        <w:tc>
          <w:tcPr>
            <w:tcW w:w="540" w:type="dxa"/>
            <w:vAlign w:val="bottom"/>
          </w:tcPr>
          <w:p>
            <w:pPr>
              <w:jc w:val="right"/>
              <w:ind w:right="333"/>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48,940</w:t>
            </w:r>
          </w:p>
        </w:tc>
        <w:tc>
          <w:tcPr>
            <w:tcW w:w="100" w:type="dxa"/>
            <w:vAlign w:val="bottom"/>
          </w:tcPr>
          <w:p>
            <w:pPr>
              <w:spacing w:after="0"/>
              <w:rPr>
                <w:sz w:val="20"/>
                <w:szCs w:val="20"/>
                <w:color w:val="auto"/>
              </w:rPr>
            </w:pPr>
          </w:p>
        </w:tc>
        <w:tc>
          <w:tcPr>
            <w:tcW w:w="380" w:type="dxa"/>
            <w:vAlign w:val="bottom"/>
          </w:tcPr>
          <w:p>
            <w:pPr>
              <w:jc w:val="right"/>
              <w:ind w:right="193"/>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152,455</w:t>
            </w:r>
          </w:p>
        </w:tc>
        <w:tc>
          <w:tcPr>
            <w:tcW w:w="80" w:type="dxa"/>
            <w:vAlign w:val="bottom"/>
          </w:tcPr>
          <w:p>
            <w:pPr>
              <w:spacing w:after="0"/>
              <w:rPr>
                <w:sz w:val="20"/>
                <w:szCs w:val="20"/>
                <w:color w:val="auto"/>
              </w:rPr>
            </w:pPr>
          </w:p>
        </w:tc>
        <w:tc>
          <w:tcPr>
            <w:tcW w:w="580" w:type="dxa"/>
            <w:vAlign w:val="bottom"/>
          </w:tcPr>
          <w:p>
            <w:pPr>
              <w:jc w:val="right"/>
              <w:ind w:right="393"/>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155,693</w:t>
            </w:r>
          </w:p>
        </w:tc>
      </w:tr>
      <w:tr>
        <w:trPr>
          <w:trHeight w:val="26"/>
        </w:trPr>
        <w:tc>
          <w:tcPr>
            <w:tcW w:w="4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1"/>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CNC Machining</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52,916</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47,489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149,317</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141,809</w:t>
            </w:r>
          </w:p>
        </w:tc>
      </w:tr>
      <w:tr>
        <w:trPr>
          <w:trHeight w:val="235"/>
        </w:trPr>
        <w:tc>
          <w:tcPr>
            <w:tcW w:w="4620" w:type="dxa"/>
            <w:vAlign w:val="bottom"/>
          </w:tcPr>
          <w:p>
            <w:pPr>
              <w:ind w:left="20"/>
              <w:spacing w:after="0"/>
              <w:rPr>
                <w:sz w:val="20"/>
                <w:szCs w:val="20"/>
                <w:color w:val="auto"/>
              </w:rPr>
            </w:pPr>
            <w:r>
              <w:rPr>
                <w:rFonts w:ascii="Arial" w:cs="Arial" w:eastAsia="Arial" w:hAnsi="Arial"/>
                <w:sz w:val="17"/>
                <w:szCs w:val="17"/>
                <w:color w:val="auto"/>
              </w:rPr>
              <w:t>3D Printing</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21,622</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19,823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63,952</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59,458</w:t>
            </w:r>
          </w:p>
        </w:tc>
      </w:tr>
      <w:tr>
        <w:trPr>
          <w:trHeight w:val="26"/>
        </w:trPr>
        <w:tc>
          <w:tcPr>
            <w:tcW w:w="4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1"/>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Sheet Metal</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4,291</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5,219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12,478</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15,066</w:t>
            </w:r>
          </w:p>
        </w:tc>
      </w:tr>
      <w:tr>
        <w:trPr>
          <w:trHeight w:val="235"/>
        </w:trPr>
        <w:tc>
          <w:tcPr>
            <w:tcW w:w="4620" w:type="dxa"/>
            <w:vAlign w:val="bottom"/>
          </w:tcPr>
          <w:p>
            <w:pPr>
              <w:ind w:left="20"/>
              <w:spacing w:after="0"/>
              <w:rPr>
                <w:sz w:val="20"/>
                <w:szCs w:val="20"/>
                <w:color w:val="auto"/>
              </w:rPr>
            </w:pPr>
            <w:r>
              <w:rPr>
                <w:rFonts w:ascii="Arial" w:cs="Arial" w:eastAsia="Arial" w:hAnsi="Arial"/>
                <w:sz w:val="17"/>
                <w:szCs w:val="17"/>
                <w:color w:val="auto"/>
              </w:rPr>
              <w:t>Other Revenue</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188</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250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627</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765</w:t>
            </w:r>
          </w:p>
        </w:tc>
      </w:tr>
      <w:tr>
        <w:trPr>
          <w:trHeight w:val="26"/>
        </w:trPr>
        <w:tc>
          <w:tcPr>
            <w:tcW w:w="46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9"/>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Revenue</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130,705</w:t>
            </w:r>
          </w:p>
        </w:tc>
        <w:tc>
          <w:tcPr>
            <w:tcW w:w="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33"/>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121,721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378,829</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3"/>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372,791</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103"/>
        </w:trPr>
        <w:tc>
          <w:tcPr>
            <w:tcW w:w="46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203" w:lineRule="exact"/>
        <w:rPr>
          <w:sz w:val="20"/>
          <w:szCs w:val="20"/>
          <w:color w:val="auto"/>
        </w:rPr>
      </w:pPr>
    </w:p>
    <w:p>
      <w:pPr>
        <w:ind w:right="320"/>
        <w:spacing w:after="0" w:line="272"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unaudited consolidated financial statements and related notes appearing elsewhere in this Quarterly Report on Form 10-Q and our Annual Report on Form 10-K for the year ended December 31, 2022.</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190"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Statements contained in this report regarding matters that are not historical or current facts are “forward-looking statements” within the meaning of The Private Securities Litigation Reform Act of 1995. In some cases, you can identify forward-looking statements by the following words: “may,” “will,” “could,” “would,” “should,” “expect,” “intend,” “plan,” “anticipate,” “believe,” “estimate,” “predict,” “project,” “potential,” “continue,” “ongoing” or the negative of these terms or other comparable terminology, although not all forward-looking statements contain these words. These statements involve known and unknown risks, uncertainties and other factors that may cause our results to be materially different than those expressed or implied in such statements. Certain of these risk factors and others are described in Item 1A. “Risk Factors” of this Form 10-Q, as well as our most recent Annual Report on Form 10-K as filed with the Securities and Exchange Commission (SEC). Other unknown or unpredictable factors also could have material adverse effects on our future results. We cannot guarantee future results, levels of activity, performance or achievements. Accordingly, you should not place undue reliance on these forward-looking statements. Finally, we expressly disclaim any intent or obligation to update any forward-looking statements to reflect subsequent events or circumstances.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90"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We are one of the world’s largest and fastest digital manufacturers of custom prototypes and on-demand production parts. Our mission is to empower companies to bring new ideas to market by offering the fastest and most comprehensive digital manufacturing service in the world. Our automated quoting and manufacturing systems allow us to produce commercial-grade plastic, metal, and liquid silicone rubber parts in as fast as one day. We manufacture prototype and low volume production parts for companies worldwide, who are under increasing pressure to bring their finished products to market faster than their competition. We utilize injection molding, computer numerical control (CNC) machining, 3D printing and sheet metal fabrication to manufacture custom parts for our customers. For most of our offerings, our proprietary technology eliminates most of the time-consuming and expensive skilled labor conventionally required to quote and manufacture parts. Our customers conduct nearly all of their business with us over the Internet. We target our products to the millions of product developers and engineers who use three-dimensional computer-aided design (3D CAD) software to design products across a diverse range of end-markets. In addition, we serve procurement and supply chain professionals seeking to manufacture custom parts on-demand. Through the acquisition of Hubs (formerly 3D Hubs, Inc.) (Hubs) in 2021, we are able to provide our customers access to a global network of premium manufacturing partners who reside across North America, Europe and Asia, complementing our in-house manufacturing. We believe our use of advanced technology enables us to offer significant advantages at competitive prices to many customers and is the primary reason we have become a leading supplier of custom parts.</w:t>
      </w:r>
    </w:p>
    <w:p>
      <w:pPr>
        <w:spacing w:after="0" w:line="13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May 27, 2022, our board of directors approved a plan for the closure of our manufacturing facility in Japan and announced an intention to cease operations in the region. Affected employees in Japan received severance and other transition assistance that meet or exceed local requirements. We expect to complete the closure plan within the year.</w:t>
      </w:r>
    </w:p>
    <w:p>
      <w:pPr>
        <w:spacing w:after="0" w:line="146" w:lineRule="exact"/>
        <w:rPr>
          <w:sz w:val="20"/>
          <w:szCs w:val="20"/>
          <w:color w:val="auto"/>
        </w:rPr>
      </w:pPr>
    </w:p>
    <w:p>
      <w:pPr>
        <w:jc w:val="both"/>
        <w:ind w:right="20"/>
        <w:spacing w:after="0" w:line="284" w:lineRule="auto"/>
        <w:rPr>
          <w:sz w:val="20"/>
          <w:szCs w:val="20"/>
          <w:color w:val="auto"/>
        </w:rPr>
      </w:pPr>
      <w:r>
        <w:rPr>
          <w:rFonts w:ascii="Arial" w:cs="Arial" w:eastAsia="Arial" w:hAnsi="Arial"/>
          <w:sz w:val="16"/>
          <w:szCs w:val="16"/>
          <w:color w:val="auto"/>
        </w:rPr>
        <w:t>Our primary manufacturing product lines currently include Injection Molding, CNC Machining, 3D Printing and Sheet Metal. We continually seek to expand the range of sizes and geometric complexity of the parts we can make with these processes, to extend the variety of materials we are able to support, and to identify additional manufacturing processes to which we can apply our technology in order to better serve the evolving preferences and needs of product developers and engineers. In 2021, we augmented our internal manufacturing operations through our acquisition of Hubs to expand the envelope of custom parts we can provide to our customers through a network of premium manufacturing partners in each of our product lines.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Injection Molding</w:t>
      </w:r>
    </w:p>
    <w:p>
      <w:pPr>
        <w:spacing w:after="0" w:line="184" w:lineRule="exact"/>
        <w:rPr>
          <w:sz w:val="20"/>
          <w:szCs w:val="20"/>
          <w:color w:val="auto"/>
        </w:rPr>
      </w:pPr>
    </w:p>
    <w:p>
      <w:pPr>
        <w:ind w:right="80"/>
        <w:spacing w:after="0" w:line="264" w:lineRule="auto"/>
        <w:rPr>
          <w:sz w:val="20"/>
          <w:szCs w:val="20"/>
          <w:color w:val="auto"/>
        </w:rPr>
      </w:pPr>
      <w:r>
        <w:rPr>
          <w:rFonts w:ascii="Arial" w:cs="Arial" w:eastAsia="Arial" w:hAnsi="Arial"/>
          <w:sz w:val="17"/>
          <w:szCs w:val="17"/>
          <w:color w:val="auto"/>
        </w:rPr>
        <w:t>Our Injection Molding product line uses our 3D CAD-to-CNC machining technology for the automated design and manufacture of molds, which are then used to produce custom plastic and liquid silicone rubber injection-molded parts and over-molded and insert-molded injection-molded parts on commercially available equipment. Our Injection Molding product line works best for on-demand production, bridge tooling, pilot runs and functional prototyping. Our affordable molds and quick turnaround times help reduce design risk and limit overall production costs for product developers and engineers. Because we retain possession of the molds, customers who need short-run production often come back to Proto</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Labs’ Injection Molding product line for additional quantities. They do so to support pilot production for product testing, while their tooling for high-volume production is being prepared, because they need on-demand manufacturing due to disruptions in their manufacturing process, because their product requires limited annual quantity or because they need end-of-life production support. In 2017, we launched an on-demand manufacturing injection molding service. This service utilizes our existing processes, but is designed to fulfill the needs of customers with on-going production needs.</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CNC Machining</w:t>
      </w:r>
    </w:p>
    <w:p>
      <w:pPr>
        <w:spacing w:after="0" w:line="184" w:lineRule="exact"/>
        <w:rPr>
          <w:sz w:val="20"/>
          <w:szCs w:val="20"/>
          <w:color w:val="auto"/>
        </w:rPr>
      </w:pPr>
    </w:p>
    <w:p>
      <w:pPr>
        <w:ind w:right="260"/>
        <w:spacing w:after="0" w:line="267" w:lineRule="auto"/>
        <w:rPr>
          <w:sz w:val="20"/>
          <w:szCs w:val="20"/>
          <w:color w:val="auto"/>
        </w:rPr>
      </w:pPr>
      <w:r>
        <w:rPr>
          <w:rFonts w:ascii="Arial" w:cs="Arial" w:eastAsia="Arial" w:hAnsi="Arial"/>
          <w:sz w:val="17"/>
          <w:szCs w:val="17"/>
          <w:color w:val="auto"/>
        </w:rPr>
        <w:t>Our CNC Machining product line uses commercially available CNC machines to offer milling and turning. CNC milling is a manufacturing process that cuts plastic and metal blocks into one or more custom parts based on the 3D CAD model uploaded by the customer. CNC turning is a subtractive manufacturing process that rotates a metal rod while a cutting tool is used to remove material and create final parts. Quick-turn CNC machining works best for prototyping, form and fit testing, jigs and fixtures and functional components for end-use applications.</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Industrial 3D Printing</w:t>
      </w:r>
    </w:p>
    <w:p>
      <w:pPr>
        <w:spacing w:after="0" w:line="197" w:lineRule="exact"/>
        <w:rPr>
          <w:sz w:val="20"/>
          <w:szCs w:val="20"/>
          <w:color w:val="auto"/>
        </w:rPr>
      </w:pPr>
    </w:p>
    <w:p>
      <w:pPr>
        <w:jc w:val="both"/>
        <w:ind w:right="280"/>
        <w:spacing w:after="0" w:line="297" w:lineRule="auto"/>
        <w:rPr>
          <w:sz w:val="20"/>
          <w:szCs w:val="20"/>
          <w:color w:val="auto"/>
        </w:rPr>
      </w:pPr>
      <w:r>
        <w:rPr>
          <w:rFonts w:ascii="Arial" w:cs="Arial" w:eastAsia="Arial" w:hAnsi="Arial"/>
          <w:sz w:val="16"/>
          <w:szCs w:val="16"/>
          <w:color w:val="auto"/>
        </w:rPr>
        <w:t>Our Industrial 3D Printing product line includes SL, SLS, DMLS, MJF, PolyJet, Carbon DLS and fused deposition modeling (FDM) processes, which offers customers a wide-variety of high-quality, precision rapid prototyping and low volume production. These processes create parts with a high level of accuracy, detail, strength and durability. Industrial 3D Printing is best suited for functional prototypes, complex designs and end-use applications.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Sheet Metal</w:t>
      </w:r>
    </w:p>
    <w:p>
      <w:pPr>
        <w:spacing w:after="0" w:line="184" w:lineRule="exact"/>
        <w:rPr>
          <w:sz w:val="20"/>
          <w:szCs w:val="20"/>
          <w:color w:val="auto"/>
        </w:rPr>
      </w:pPr>
    </w:p>
    <w:p>
      <w:pPr>
        <w:jc w:val="both"/>
        <w:ind w:right="440"/>
        <w:spacing w:after="0" w:line="324" w:lineRule="auto"/>
        <w:rPr>
          <w:sz w:val="20"/>
          <w:szCs w:val="20"/>
          <w:color w:val="auto"/>
        </w:rPr>
      </w:pPr>
      <w:r>
        <w:rPr>
          <w:rFonts w:ascii="Arial" w:cs="Arial" w:eastAsia="Arial" w:hAnsi="Arial"/>
          <w:sz w:val="15"/>
          <w:szCs w:val="15"/>
          <w:color w:val="auto"/>
        </w:rPr>
        <w:t>Our Sheet Metal product line includes quick-turn and e-commerce-enabled custom sheet metal parts, providing customers with prototype and low-volume production parts. The rapid prototype sheet metal process is most often used when form, fit and function are all a priority. Our manufacturing process uses customer 3D CAD models uploaded by the customer to fabricate rapid prototyping sheet metal or end-use production parts and assemblies.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Financial Measures and Trends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184"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Our operations are comprised of three geographic operating segments in the United States, Europe and Japan. On May 27, 2022, our board of directors approved a plan for the closure of our manufacturing facility in Japan and announced an intention to cease operations in the region. Revenue is derived from our Injection Molding, CNC Machining, 3D Printing and Sheet Metal product lines. Injection Molding revenue consists of sales of custom injection molds and injection-molded parts. CNC Machining revenue consists of sales of CNC-machined custom parts. 3D Printing revenue consists of sales of 3D-printed parts. Sheet Metal revenue consists of sales of fabricated sheet metal custom parts. Our historical and current efforts to increase revenue have been directed at gaining new customers and selling to our existing customer base by increasing marketing and selling activities, including:</w:t>
      </w:r>
    </w:p>
    <w:p>
      <w:pPr>
        <w:spacing w:after="0" w:line="140" w:lineRule="exact"/>
        <w:rPr>
          <w:sz w:val="20"/>
          <w:szCs w:val="20"/>
          <w:color w:val="auto"/>
        </w:rPr>
      </w:pPr>
    </w:p>
    <w:p>
      <w:pPr>
        <w:ind w:left="620" w:hanging="302"/>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expanding the breadth and scope of our products by adding more sizes and materials to our offerings;</w:t>
      </w:r>
    </w:p>
    <w:p>
      <w:pPr>
        <w:spacing w:after="0" w:line="183" w:lineRule="exact"/>
        <w:rPr>
          <w:rFonts w:ascii="Arial" w:cs="Arial" w:eastAsia="Arial" w:hAnsi="Arial"/>
          <w:sz w:val="17"/>
          <w:szCs w:val="17"/>
          <w:color w:val="auto"/>
        </w:rPr>
      </w:pPr>
    </w:p>
    <w:p>
      <w:pPr>
        <w:ind w:left="620" w:hanging="302"/>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introduction of our 3D Printing product line through our acquisition of FineLine in 2014;</w:t>
      </w:r>
    </w:p>
    <w:p>
      <w:pPr>
        <w:spacing w:after="0" w:line="183" w:lineRule="exact"/>
        <w:rPr>
          <w:rFonts w:ascii="Arial" w:cs="Arial" w:eastAsia="Arial" w:hAnsi="Arial"/>
          <w:sz w:val="17"/>
          <w:szCs w:val="17"/>
          <w:color w:val="auto"/>
        </w:rPr>
      </w:pPr>
    </w:p>
    <w:p>
      <w:pPr>
        <w:ind w:left="620" w:hanging="302"/>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expanding 3D Printing to Europe through our acquisition of Alphaform in 2015;</w:t>
      </w:r>
    </w:p>
    <w:p>
      <w:pPr>
        <w:spacing w:after="0" w:line="196" w:lineRule="exact"/>
        <w:rPr>
          <w:rFonts w:ascii="Arial" w:cs="Arial" w:eastAsia="Arial" w:hAnsi="Arial"/>
          <w:sz w:val="17"/>
          <w:szCs w:val="17"/>
          <w:color w:val="auto"/>
        </w:rPr>
      </w:pPr>
    </w:p>
    <w:p>
      <w:pPr>
        <w:ind w:left="620" w:hanging="302"/>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introduction of our Sheet Metal product line through our acquisition of Rapid Manufacturing Group, LLC in 2017;</w:t>
      </w:r>
    </w:p>
    <w:p>
      <w:pPr>
        <w:spacing w:after="0" w:line="183" w:lineRule="exact"/>
        <w:rPr>
          <w:rFonts w:ascii="Arial" w:cs="Arial" w:eastAsia="Arial" w:hAnsi="Arial"/>
          <w:sz w:val="17"/>
          <w:szCs w:val="17"/>
          <w:color w:val="auto"/>
        </w:rPr>
      </w:pPr>
    </w:p>
    <w:p>
      <w:pPr>
        <w:ind w:left="620" w:hanging="302"/>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continuously improving the usability of our product lines such as our web-centric applications; and</w:t>
      </w:r>
    </w:p>
    <w:p>
      <w:pPr>
        <w:spacing w:after="0" w:line="183" w:lineRule="exact"/>
        <w:rPr>
          <w:rFonts w:ascii="Arial" w:cs="Arial" w:eastAsia="Arial" w:hAnsi="Arial"/>
          <w:sz w:val="17"/>
          <w:szCs w:val="17"/>
          <w:color w:val="auto"/>
        </w:rPr>
      </w:pPr>
    </w:p>
    <w:p>
      <w:pPr>
        <w:ind w:left="620" w:hanging="302"/>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providing customers with on-demand access to a global network of premium manufacturing partners through our acquisition of Hubs in 2021.</w:t>
      </w:r>
    </w:p>
    <w:p>
      <w:pPr>
        <w:spacing w:after="0" w:line="197" w:lineRule="exact"/>
        <w:rPr>
          <w:sz w:val="20"/>
          <w:szCs w:val="20"/>
          <w:color w:val="auto"/>
        </w:rPr>
      </w:pPr>
    </w:p>
    <w:p>
      <w:pPr>
        <w:ind w:right="120"/>
        <w:spacing w:after="0" w:line="324" w:lineRule="auto"/>
        <w:rPr>
          <w:sz w:val="20"/>
          <w:szCs w:val="20"/>
          <w:color w:val="auto"/>
        </w:rPr>
      </w:pPr>
      <w:r>
        <w:rPr>
          <w:rFonts w:ascii="Arial" w:cs="Arial" w:eastAsia="Arial" w:hAnsi="Arial"/>
          <w:sz w:val="15"/>
          <w:szCs w:val="15"/>
          <w:color w:val="auto"/>
        </w:rPr>
        <w:t>During the three months ended September 30, 2023, we served 23,080 unique product developers and engineers who purchased our products through our web-based customer interface, a decrease of 3.1% over the same period in 2022. During the nine months ended September 30, 2023, we served 45,668 unique product developers and engineers who purchased our products through our web-based customer interface, a decrease of 4.4% over the same period in 2022.</w:t>
      </w: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20" w:name="page21"/>
    <w:bookmarkEnd w:id="2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Revenue, Gross Profit and Gross Margin</w:t>
      </w:r>
    </w:p>
    <w:p>
      <w:pPr>
        <w:spacing w:after="0" w:line="197"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Cost of revenue consists primarily of raw materials, equipment depreciation, employee compensation, benefits, stock-based compensation, facilities costs and overhead allocations associated with the manufacturing process for molds and customer parts. We expect our personnel-related costs to increase in order to retain and attract top talent and remain competitive in the market. Overall, we expect cost of revenue to increase in absolute dollars.</w:t>
      </w:r>
    </w:p>
    <w:p>
      <w:pPr>
        <w:spacing w:after="0" w:line="114"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We define gross profit as our revenue less our cost of revenue, and we define gross margin as gross profit expressed as a percentage of revenue. Our gross profit and gross margin are affected by many factors, including our mix of revenue by product line, pricing, sales volume, manufacturing costs, the costs associated with increasing production capacity, the mix between domestic and foreign revenue sources, the mix between revenue produced in our internal manufacturing operations and outsourced to our external manufacturing partners, the mix between premium expedited manufacturing and longer lead times, and foreign currency exchange rates.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197" w:lineRule="exact"/>
        <w:rPr>
          <w:sz w:val="20"/>
          <w:szCs w:val="20"/>
          <w:color w:val="auto"/>
        </w:rPr>
      </w:pPr>
    </w:p>
    <w:p>
      <w:pPr>
        <w:ind w:right="340"/>
        <w:spacing w:after="0" w:line="288" w:lineRule="auto"/>
        <w:rPr>
          <w:sz w:val="20"/>
          <w:szCs w:val="20"/>
          <w:color w:val="auto"/>
        </w:rPr>
      </w:pPr>
      <w:r>
        <w:rPr>
          <w:rFonts w:ascii="Arial" w:cs="Arial" w:eastAsia="Arial" w:hAnsi="Arial"/>
          <w:sz w:val="17"/>
          <w:szCs w:val="17"/>
          <w:color w:val="auto"/>
        </w:rPr>
        <w:t>Operating expenses consist of marketing and sales, research and development and general and administrative expenses. Personnel-related costs are the most significant component in each of these categories.</w:t>
      </w:r>
    </w:p>
    <w:p>
      <w:pPr>
        <w:spacing w:after="0" w:line="119"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Our business strategy is to continue to be a leading online and technology-enabled manufacturer of quick-turn, on-demand injection-molded, CNC-machined, 3D-printed and sheet metal custom parts for prototyping and low-volume production. In order to achieve our goals, we anticipate continued substantial investments in technology and personnel, resulting in increased operating expenses in the future.</w:t>
      </w:r>
    </w:p>
    <w:p>
      <w:pPr>
        <w:spacing w:after="0" w:line="13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i w:val="1"/>
          <w:iCs w:val="1"/>
          <w:color w:val="auto"/>
        </w:rPr>
        <w:t xml:space="preserve">Marketing and sales. </w:t>
      </w:r>
      <w:r>
        <w:rPr>
          <w:rFonts w:ascii="Arial" w:cs="Arial" w:eastAsia="Arial" w:hAnsi="Arial"/>
          <w:sz w:val="16"/>
          <w:szCs w:val="16"/>
          <w:color w:val="auto"/>
        </w:rPr>
        <w:t>Marketing and sales expense consists primarily of employee compensation, benefits, commissions, stock-based compensation, marketing</w:t>
      </w:r>
      <w:r>
        <w:rPr>
          <w:rFonts w:ascii="Arial" w:cs="Arial" w:eastAsia="Arial" w:hAnsi="Arial"/>
          <w:sz w:val="16"/>
          <w:szCs w:val="16"/>
          <w:i w:val="1"/>
          <w:iCs w:val="1"/>
          <w:color w:val="auto"/>
        </w:rPr>
        <w:t xml:space="preserve"> </w:t>
      </w:r>
      <w:r>
        <w:rPr>
          <w:rFonts w:ascii="Arial" w:cs="Arial" w:eastAsia="Arial" w:hAnsi="Arial"/>
          <w:sz w:val="16"/>
          <w:szCs w:val="16"/>
          <w:color w:val="auto"/>
        </w:rPr>
        <w:t>programs such as electronic, print and pay-per-click advertising, trade shows and other related overhead, which includes an allocation of information technology expense including amortization of Protolabs 2.0 software assets. We expect sales and marketing expense to increase in the future as we increase the number of marketing and sales professionals and marketing programs targeted to increase our customer base and grow revenue.</w:t>
      </w:r>
    </w:p>
    <w:p>
      <w:pPr>
        <w:spacing w:after="0" w:line="136" w:lineRule="exact"/>
        <w:rPr>
          <w:sz w:val="20"/>
          <w:szCs w:val="20"/>
          <w:color w:val="auto"/>
        </w:rPr>
      </w:pPr>
    </w:p>
    <w:p>
      <w:pPr>
        <w:ind w:right="340"/>
        <w:spacing w:after="0" w:line="284" w:lineRule="auto"/>
        <w:rPr>
          <w:sz w:val="20"/>
          <w:szCs w:val="20"/>
          <w:color w:val="auto"/>
        </w:rPr>
      </w:pPr>
      <w:r>
        <w:rPr>
          <w:rFonts w:ascii="Arial" w:cs="Arial" w:eastAsia="Arial" w:hAnsi="Arial"/>
          <w:sz w:val="16"/>
          <w:szCs w:val="16"/>
          <w:i w:val="1"/>
          <w:iCs w:val="1"/>
          <w:color w:val="auto"/>
        </w:rPr>
        <w:t xml:space="preserve">Research and development. </w:t>
      </w:r>
      <w:r>
        <w:rPr>
          <w:rFonts w:ascii="Arial" w:cs="Arial" w:eastAsia="Arial" w:hAnsi="Arial"/>
          <w:sz w:val="16"/>
          <w:szCs w:val="16"/>
          <w:color w:val="auto"/>
        </w:rPr>
        <w:t>Research and development expense consists primarily of personnel and outside service costs related to the development of new</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processes and product lines, enhancement of existing product lines, development of software for internal use, maintenance of internally developed software, quality assurance and testing. Costs for internal use software are evaluated by project and capitalized where appropriate under ASC 350-40, </w:t>
      </w:r>
      <w:r>
        <w:rPr>
          <w:rFonts w:ascii="Arial" w:cs="Arial" w:eastAsia="Arial" w:hAnsi="Arial"/>
          <w:sz w:val="16"/>
          <w:szCs w:val="16"/>
          <w:i w:val="1"/>
          <w:iCs w:val="1"/>
          <w:color w:val="auto"/>
        </w:rPr>
        <w:t>Intangibles —</w:t>
      </w:r>
      <w:r>
        <w:rPr>
          <w:rFonts w:ascii="Arial" w:cs="Arial" w:eastAsia="Arial" w:hAnsi="Arial"/>
          <w:sz w:val="16"/>
          <w:szCs w:val="16"/>
          <w:color w:val="auto"/>
        </w:rPr>
        <w:t xml:space="preserve"> </w:t>
      </w:r>
      <w:r>
        <w:rPr>
          <w:rFonts w:ascii="Arial" w:cs="Arial" w:eastAsia="Arial" w:hAnsi="Arial"/>
          <w:sz w:val="16"/>
          <w:szCs w:val="16"/>
          <w:i w:val="1"/>
          <w:iCs w:val="1"/>
          <w:color w:val="auto"/>
        </w:rPr>
        <w:t>Goodwill and Other, Internal-Use Software</w:t>
      </w:r>
      <w:r>
        <w:rPr>
          <w:rFonts w:ascii="Arial" w:cs="Arial" w:eastAsia="Arial" w:hAnsi="Arial"/>
          <w:sz w:val="16"/>
          <w:szCs w:val="16"/>
          <w:color w:val="auto"/>
        </w:rPr>
        <w:t>. We expect research and development expense to increase in the future as we seek to enhance our e-commerce</w:t>
      </w:r>
      <w:r>
        <w:rPr>
          <w:rFonts w:ascii="Arial" w:cs="Arial" w:eastAsia="Arial" w:hAnsi="Arial"/>
          <w:sz w:val="16"/>
          <w:szCs w:val="16"/>
          <w:i w:val="1"/>
          <w:iCs w:val="1"/>
          <w:color w:val="auto"/>
        </w:rPr>
        <w:t xml:space="preserve"> </w:t>
      </w:r>
      <w:r>
        <w:rPr>
          <w:rFonts w:ascii="Arial" w:cs="Arial" w:eastAsia="Arial" w:hAnsi="Arial"/>
          <w:sz w:val="16"/>
          <w:szCs w:val="16"/>
          <w:color w:val="auto"/>
        </w:rPr>
        <w:t>interface technology, internal software and supporting business systems, and continue to expand our product lines.</w:t>
      </w:r>
    </w:p>
    <w:p>
      <w:pPr>
        <w:spacing w:after="0" w:line="127" w:lineRule="exact"/>
        <w:rPr>
          <w:sz w:val="20"/>
          <w:szCs w:val="20"/>
          <w:color w:val="auto"/>
        </w:rPr>
      </w:pPr>
    </w:p>
    <w:p>
      <w:pPr>
        <w:spacing w:after="0" w:line="267" w:lineRule="auto"/>
        <w:rPr>
          <w:sz w:val="20"/>
          <w:szCs w:val="20"/>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General and administrative expense consists primarily of employee compensation, benefits, stock-based compensation, professional</w:t>
      </w:r>
      <w:r>
        <w:rPr>
          <w:rFonts w:ascii="Arial" w:cs="Arial" w:eastAsia="Arial" w:hAnsi="Arial"/>
          <w:sz w:val="17"/>
          <w:szCs w:val="17"/>
          <w:i w:val="1"/>
          <w:iCs w:val="1"/>
          <w:color w:val="auto"/>
        </w:rPr>
        <w:t xml:space="preserve"> </w:t>
      </w:r>
      <w:r>
        <w:rPr>
          <w:rFonts w:ascii="Arial" w:cs="Arial" w:eastAsia="Arial" w:hAnsi="Arial"/>
          <w:sz w:val="17"/>
          <w:szCs w:val="17"/>
          <w:color w:val="auto"/>
        </w:rPr>
        <w:t>service fees related to accounting, tax and legal, and other related overhead, which includes an allocation of information technology expense including amortization of Protolabs 2.0 software assets. We expect general and administrative expense to increase in the future as we continue to grow and expand as a global organization.</w:t>
      </w:r>
    </w:p>
    <w:p>
      <w:pPr>
        <w:spacing w:after="0" w:line="136"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i w:val="1"/>
          <w:iCs w:val="1"/>
          <w:color w:val="auto"/>
        </w:rPr>
        <w:t xml:space="preserve">Closure of Japan business. </w:t>
      </w:r>
      <w:r>
        <w:rPr>
          <w:rFonts w:ascii="Arial" w:cs="Arial" w:eastAsia="Arial" w:hAnsi="Arial"/>
          <w:sz w:val="17"/>
          <w:szCs w:val="17"/>
          <w:color w:val="auto"/>
        </w:rPr>
        <w:t>Closure of Japan business expense is driven by our decision to close the Japan manufacturing facility and exit the Japan market. The</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consist primarily of operating expense, including employee severance, write-down of fixed assets, facility-related charges and goodwill impairment charges.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(Loss), net</w:t>
      </w:r>
    </w:p>
    <w:p>
      <w:pPr>
        <w:spacing w:after="0" w:line="184" w:lineRule="exact"/>
        <w:rPr>
          <w:sz w:val="20"/>
          <w:szCs w:val="20"/>
          <w:color w:val="auto"/>
        </w:rPr>
      </w:pPr>
    </w:p>
    <w:p>
      <w:pPr>
        <w:ind w:right="300"/>
        <w:spacing w:after="0" w:line="267" w:lineRule="auto"/>
        <w:rPr>
          <w:sz w:val="20"/>
          <w:szCs w:val="20"/>
          <w:color w:val="auto"/>
        </w:rPr>
      </w:pPr>
      <w:r>
        <w:rPr>
          <w:rFonts w:ascii="Arial" w:cs="Arial" w:eastAsia="Arial" w:hAnsi="Arial"/>
          <w:sz w:val="17"/>
          <w:szCs w:val="17"/>
          <w:color w:val="auto"/>
        </w:rPr>
        <w:t>Other income (loss), net primarily consists of foreign currency-related gains and losses and interest income on cash balances and investments. Our foreign currency-related gains and losses will vary depending upon movements in underlying foreign currency exchange rates. Our interest income will vary each reporting period depending on our average cash balances during the period, composition of our marketable security portfolio and the current level of interest rates.</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Provision for Income Taxes</w:t>
      </w:r>
    </w:p>
    <w:p>
      <w:pPr>
        <w:spacing w:after="0" w:line="197" w:lineRule="exact"/>
        <w:rPr>
          <w:sz w:val="20"/>
          <w:szCs w:val="20"/>
          <w:color w:val="auto"/>
        </w:rPr>
      </w:pPr>
    </w:p>
    <w:p>
      <w:pPr>
        <w:ind w:right="240"/>
        <w:spacing w:after="0" w:line="288" w:lineRule="auto"/>
        <w:rPr>
          <w:sz w:val="20"/>
          <w:szCs w:val="20"/>
          <w:color w:val="auto"/>
        </w:rPr>
      </w:pPr>
      <w:r>
        <w:rPr>
          <w:rFonts w:ascii="Arial" w:cs="Arial" w:eastAsia="Arial" w:hAnsi="Arial"/>
          <w:sz w:val="17"/>
          <w:szCs w:val="17"/>
          <w:color w:val="auto"/>
        </w:rPr>
        <w:t>Provision for income taxes is comprised of federal, state, local and foreign taxes based on pre-tax income. Overall, our effective tax rate for 2023 and beyond may differ from historical effective tax rates due to increases in losses in foreign</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1" w:name="page22"/>
    <w:bookmarkEnd w:id="2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color w:val="auto"/>
        </w:rPr>
        <w:t>operations that are not eligible for tax benefits on account of valuation allowances, as well as any future tax law changes that may impact our effective tax rate.</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90"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The following table summarizes our results of operations and the related changes for the periods indicated. The results below are not necessarily indicative of the results for future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0866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20" w:type="dxa"/>
            <w:vAlign w:val="bottom"/>
            <w:gridSpan w:val="9"/>
          </w:tcPr>
          <w:p>
            <w:pPr>
              <w:ind w:left="120"/>
              <w:spacing w:after="0"/>
              <w:rPr>
                <w:sz w:val="20"/>
                <w:szCs w:val="20"/>
                <w:color w:val="auto"/>
              </w:rPr>
            </w:pPr>
            <w:r>
              <w:rPr>
                <w:rFonts w:ascii="Arial" w:cs="Arial" w:eastAsia="Arial" w:hAnsi="Arial"/>
                <w:sz w:val="17"/>
                <w:szCs w:val="17"/>
                <w:b w:val="1"/>
                <w:bCs w:val="1"/>
                <w:color w:val="auto"/>
              </w:rPr>
              <w:t>Three Months Ended September 30,</w:t>
            </w:r>
          </w:p>
        </w:tc>
        <w:tc>
          <w:tcPr>
            <w:tcW w:w="1700" w:type="dxa"/>
            <w:vAlign w:val="bottom"/>
            <w:gridSpan w:val="4"/>
          </w:tcPr>
          <w:p>
            <w:pPr>
              <w:ind w:left="520"/>
              <w:spacing w:after="0"/>
              <w:rPr>
                <w:sz w:val="20"/>
                <w:szCs w:val="20"/>
                <w:color w:val="auto"/>
              </w:rPr>
            </w:pPr>
            <w:r>
              <w:rPr>
                <w:rFonts w:ascii="Arial" w:cs="Arial" w:eastAsia="Arial" w:hAnsi="Arial"/>
                <w:sz w:val="17"/>
                <w:szCs w:val="17"/>
                <w:b w:val="1"/>
                <w:bCs w:val="1"/>
                <w:color w:val="auto"/>
              </w:rPr>
              <w:t>Change</w:t>
            </w:r>
          </w:p>
        </w:tc>
        <w:tc>
          <w:tcPr>
            <w:tcW w:w="120" w:type="dxa"/>
            <w:vAlign w:val="bottom"/>
          </w:tcPr>
          <w:p>
            <w:pPr>
              <w:spacing w:after="0"/>
              <w:rPr>
                <w:sz w:val="19"/>
                <w:szCs w:val="19"/>
                <w:color w:val="auto"/>
              </w:rPr>
            </w:pPr>
          </w:p>
        </w:tc>
        <w:tc>
          <w:tcPr>
            <w:tcW w:w="3100" w:type="dxa"/>
            <w:vAlign w:val="bottom"/>
            <w:gridSpan w:val="9"/>
          </w:tcPr>
          <w:p>
            <w:pPr>
              <w:ind w:left="160"/>
              <w:spacing w:after="0"/>
              <w:rPr>
                <w:sz w:val="20"/>
                <w:szCs w:val="20"/>
                <w:color w:val="auto"/>
              </w:rPr>
            </w:pPr>
            <w:r>
              <w:rPr>
                <w:rFonts w:ascii="Arial" w:cs="Arial" w:eastAsia="Arial" w:hAnsi="Arial"/>
                <w:sz w:val="17"/>
                <w:szCs w:val="17"/>
                <w:b w:val="1"/>
                <w:bCs w:val="1"/>
                <w:color w:val="auto"/>
              </w:rPr>
              <w:t>Nine Months Ended September 30,</w:t>
            </w:r>
          </w:p>
        </w:tc>
        <w:tc>
          <w:tcPr>
            <w:tcW w:w="1500" w:type="dxa"/>
            <w:vAlign w:val="bottom"/>
            <w:gridSpan w:val="3"/>
          </w:tcPr>
          <w:p>
            <w:pPr>
              <w:jc w:val="right"/>
              <w:ind w:right="373"/>
              <w:spacing w:after="0"/>
              <w:rPr>
                <w:sz w:val="20"/>
                <w:szCs w:val="20"/>
                <w:color w:val="auto"/>
              </w:rPr>
            </w:pPr>
            <w:r>
              <w:rPr>
                <w:rFonts w:ascii="Arial" w:cs="Arial" w:eastAsia="Arial" w:hAnsi="Arial"/>
                <w:sz w:val="17"/>
                <w:szCs w:val="17"/>
                <w:b w:val="1"/>
                <w:bCs w:val="1"/>
                <w:color w:val="auto"/>
              </w:rPr>
              <w:t>Change</w:t>
            </w:r>
          </w:p>
        </w:tc>
        <w:tc>
          <w:tcPr>
            <w:tcW w:w="0" w:type="dxa"/>
            <w:vAlign w:val="bottom"/>
          </w:tcPr>
          <w:p>
            <w:pPr>
              <w:spacing w:after="0"/>
              <w:rPr>
                <w:sz w:val="1"/>
                <w:szCs w:val="1"/>
                <w:color w:val="auto"/>
              </w:rPr>
            </w:pPr>
          </w:p>
        </w:tc>
      </w:tr>
      <w:tr>
        <w:trPr>
          <w:trHeight w:val="26"/>
        </w:trPr>
        <w:tc>
          <w:tcPr>
            <w:tcW w:w="1500" w:type="dxa"/>
            <w:vAlign w:val="bottom"/>
            <w:vMerge w:val="restart"/>
          </w:tcPr>
          <w:p>
            <w:pPr>
              <w:ind w:left="20"/>
              <w:spacing w:after="0"/>
              <w:rPr>
                <w:sz w:val="20"/>
                <w:szCs w:val="20"/>
                <w:color w:val="auto"/>
              </w:rPr>
            </w:pPr>
            <w:r>
              <w:rPr>
                <w:rFonts w:ascii="Arial" w:cs="Arial" w:eastAsia="Arial" w:hAnsi="Arial"/>
                <w:sz w:val="17"/>
                <w:szCs w:val="17"/>
                <w:color w:val="auto"/>
              </w:rPr>
              <w:t>(dollars in</w:t>
            </w: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5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3"/>
            <w:vMerge w:val="restart"/>
          </w:tcPr>
          <w:p>
            <w:pPr>
              <w:jc w:val="right"/>
              <w:ind w:right="493"/>
              <w:spacing w:after="0"/>
              <w:rPr>
                <w:sz w:val="20"/>
                <w:szCs w:val="20"/>
                <w:color w:val="auto"/>
              </w:rPr>
            </w:pPr>
            <w:r>
              <w:rPr>
                <w:rFonts w:ascii="Arial" w:cs="Arial" w:eastAsia="Arial" w:hAnsi="Arial"/>
                <w:sz w:val="17"/>
                <w:szCs w:val="17"/>
                <w:b w:val="1"/>
                <w:bCs w:val="1"/>
                <w:color w:val="auto"/>
              </w:rPr>
              <w:t>2023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3"/>
            <w:vMerge w:val="restart"/>
          </w:tcPr>
          <w:p>
            <w:pPr>
              <w:jc w:val="right"/>
              <w:ind w:right="513"/>
              <w:spacing w:after="0"/>
              <w:rPr>
                <w:sz w:val="20"/>
                <w:szCs w:val="20"/>
                <w:color w:val="auto"/>
              </w:rPr>
            </w:pPr>
            <w:r>
              <w:rPr>
                <w:rFonts w:ascii="Arial" w:cs="Arial" w:eastAsia="Arial" w:hAnsi="Arial"/>
                <w:sz w:val="17"/>
                <w:szCs w:val="17"/>
                <w:b w:val="1"/>
                <w:bCs w:val="1"/>
                <w:color w:val="auto"/>
              </w:rPr>
              <w:t>2022</w:t>
            </w:r>
          </w:p>
        </w:tc>
        <w:tc>
          <w:tcPr>
            <w:tcW w:w="80" w:type="dxa"/>
            <w:vAlign w:val="bottom"/>
          </w:tcPr>
          <w:p>
            <w:pPr>
              <w:spacing w:after="0"/>
              <w:rPr>
                <w:sz w:val="17"/>
                <w:szCs w:val="17"/>
                <w:color w:val="auto"/>
              </w:rPr>
            </w:pPr>
          </w:p>
        </w:tc>
        <w:tc>
          <w:tcPr>
            <w:tcW w:w="640" w:type="dxa"/>
            <w:vAlign w:val="bottom"/>
            <w:vMerge w:val="restart"/>
          </w:tcPr>
          <w:p>
            <w:pPr>
              <w:jc w:val="right"/>
              <w:ind w:right="193"/>
              <w:spacing w:after="0"/>
              <w:rPr>
                <w:sz w:val="20"/>
                <w:szCs w:val="20"/>
                <w:color w:val="auto"/>
              </w:rPr>
            </w:pPr>
            <w:r>
              <w:rPr>
                <w:rFonts w:ascii="Arial" w:cs="Arial" w:eastAsia="Arial" w:hAnsi="Arial"/>
                <w:sz w:val="17"/>
                <w:szCs w:val="17"/>
                <w:b w:val="1"/>
                <w:bCs w:val="1"/>
                <w:color w:val="auto"/>
              </w:rPr>
              <w:t>$</w:t>
            </w:r>
          </w:p>
        </w:tc>
        <w:tc>
          <w:tcPr>
            <w:tcW w:w="80" w:type="dxa"/>
            <w:vAlign w:val="bottom"/>
          </w:tcPr>
          <w:p>
            <w:pPr>
              <w:spacing w:after="0"/>
              <w:rPr>
                <w:sz w:val="17"/>
                <w:szCs w:val="17"/>
                <w:color w:val="auto"/>
              </w:rPr>
            </w:pPr>
          </w:p>
        </w:tc>
        <w:tc>
          <w:tcPr>
            <w:tcW w:w="900" w:type="dxa"/>
            <w:vAlign w:val="bottom"/>
            <w:vMerge w:val="restart"/>
          </w:tcPr>
          <w:p>
            <w:pPr>
              <w:jc w:val="right"/>
              <w:ind w:right="273"/>
              <w:spacing w:after="0"/>
              <w:rPr>
                <w:sz w:val="20"/>
                <w:szCs w:val="20"/>
                <w:color w:val="auto"/>
              </w:rPr>
            </w:pPr>
            <w:r>
              <w:rPr>
                <w:rFonts w:ascii="Arial" w:cs="Arial" w:eastAsia="Arial" w:hAnsi="Arial"/>
                <w:sz w:val="17"/>
                <w:szCs w:val="17"/>
                <w:b w:val="1"/>
                <w:bCs w:val="1"/>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3"/>
            <w:vMerge w:val="restart"/>
          </w:tcPr>
          <w:p>
            <w:pPr>
              <w:jc w:val="right"/>
              <w:ind w:right="513"/>
              <w:spacing w:after="0"/>
              <w:rPr>
                <w:sz w:val="20"/>
                <w:szCs w:val="20"/>
                <w:color w:val="auto"/>
              </w:rPr>
            </w:pPr>
            <w:r>
              <w:rPr>
                <w:rFonts w:ascii="Arial" w:cs="Arial" w:eastAsia="Arial" w:hAnsi="Arial"/>
                <w:sz w:val="17"/>
                <w:szCs w:val="17"/>
                <w:b w:val="1"/>
                <w:bCs w:val="1"/>
                <w:color w:val="auto"/>
              </w:rPr>
              <w:t>2023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3"/>
            <w:vMerge w:val="restart"/>
          </w:tcPr>
          <w:p>
            <w:pPr>
              <w:jc w:val="right"/>
              <w:ind w:right="493"/>
              <w:spacing w:after="0"/>
              <w:rPr>
                <w:sz w:val="20"/>
                <w:szCs w:val="20"/>
                <w:color w:val="auto"/>
              </w:rPr>
            </w:pPr>
            <w:r>
              <w:rPr>
                <w:rFonts w:ascii="Arial" w:cs="Arial" w:eastAsia="Arial" w:hAnsi="Arial"/>
                <w:sz w:val="17"/>
                <w:szCs w:val="17"/>
                <w:b w:val="1"/>
                <w:bCs w:val="1"/>
                <w:color w:val="auto"/>
              </w:rPr>
              <w:t>2022</w:t>
            </w:r>
          </w:p>
        </w:tc>
        <w:tc>
          <w:tcPr>
            <w:tcW w:w="80" w:type="dxa"/>
            <w:vAlign w:val="bottom"/>
          </w:tcPr>
          <w:p>
            <w:pPr>
              <w:spacing w:after="0"/>
              <w:rPr>
                <w:sz w:val="17"/>
                <w:szCs w:val="17"/>
                <w:color w:val="auto"/>
              </w:rPr>
            </w:pPr>
          </w:p>
        </w:tc>
        <w:tc>
          <w:tcPr>
            <w:tcW w:w="700" w:type="dxa"/>
            <w:vAlign w:val="bottom"/>
            <w:vMerge w:val="restart"/>
          </w:tcPr>
          <w:p>
            <w:pPr>
              <w:jc w:val="right"/>
              <w:ind w:right="213"/>
              <w:spacing w:after="0"/>
              <w:rPr>
                <w:sz w:val="20"/>
                <w:szCs w:val="20"/>
                <w:color w:val="auto"/>
              </w:rPr>
            </w:pPr>
            <w:r>
              <w:rPr>
                <w:rFonts w:ascii="Arial" w:cs="Arial" w:eastAsia="Arial" w:hAnsi="Arial"/>
                <w:sz w:val="17"/>
                <w:szCs w:val="17"/>
                <w:b w:val="1"/>
                <w:bCs w:val="1"/>
                <w:color w:val="auto"/>
              </w:rPr>
              <w:t>$</w:t>
            </w:r>
          </w:p>
        </w:tc>
        <w:tc>
          <w:tcPr>
            <w:tcW w:w="80" w:type="dxa"/>
            <w:vAlign w:val="bottom"/>
          </w:tcPr>
          <w:p>
            <w:pPr>
              <w:spacing w:after="0"/>
              <w:rPr>
                <w:sz w:val="17"/>
                <w:szCs w:val="17"/>
                <w:color w:val="auto"/>
              </w:rPr>
            </w:pPr>
          </w:p>
        </w:tc>
        <w:tc>
          <w:tcPr>
            <w:tcW w:w="720" w:type="dxa"/>
            <w:vAlign w:val="bottom"/>
            <w:vMerge w:val="restart"/>
          </w:tcPr>
          <w:p>
            <w:pPr>
              <w:jc w:val="right"/>
              <w:ind w:right="193"/>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21"/>
        </w:trPr>
        <w:tc>
          <w:tcPr>
            <w:tcW w:w="1500" w:type="dxa"/>
            <w:vAlign w:val="bottom"/>
          </w:tcPr>
          <w:p>
            <w:pPr>
              <w:ind w:left="20"/>
              <w:spacing w:after="0"/>
              <w:rPr>
                <w:sz w:val="20"/>
                <w:szCs w:val="20"/>
                <w:color w:val="auto"/>
              </w:rPr>
            </w:pPr>
            <w:r>
              <w:rPr>
                <w:rFonts w:ascii="Arial" w:cs="Arial" w:eastAsia="Arial" w:hAnsi="Arial"/>
                <w:sz w:val="17"/>
                <w:szCs w:val="17"/>
                <w:color w:val="auto"/>
              </w:rPr>
              <w:t>thousands)</w:t>
            </w:r>
          </w:p>
        </w:tc>
        <w:tc>
          <w:tcPr>
            <w:tcW w:w="120" w:type="dxa"/>
            <w:vAlign w:val="bottom"/>
          </w:tcPr>
          <w:p>
            <w:pPr>
              <w:spacing w:after="0"/>
              <w:rPr>
                <w:sz w:val="19"/>
                <w:szCs w:val="19"/>
                <w:color w:val="auto"/>
              </w:rPr>
            </w:pPr>
          </w:p>
        </w:tc>
        <w:tc>
          <w:tcPr>
            <w:tcW w:w="142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1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1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1"/>
              </w:rPr>
              <w:t>130,705</w:t>
            </w:r>
          </w:p>
        </w:tc>
        <w:tc>
          <w:tcPr>
            <w:tcW w:w="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7"/>
                <w:szCs w:val="17"/>
                <w:color w:val="auto"/>
              </w:rPr>
              <w:t>100.0</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1"/>
              </w:rPr>
              <w:t>121,721</w:t>
            </w:r>
          </w:p>
        </w:tc>
        <w:tc>
          <w:tcPr>
            <w:tcW w:w="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rPr>
              <w:t>100.0</w:t>
            </w: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5"/>
              </w:rPr>
              <w:t>$ 8,984</w:t>
            </w:r>
          </w:p>
        </w:tc>
        <w:tc>
          <w:tcPr>
            <w:tcW w:w="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7"/>
                <w:szCs w:val="17"/>
                <w:color w:val="auto"/>
              </w:rPr>
              <w:t>7.4</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1"/>
              </w:rPr>
              <w:t>378,829</w:t>
            </w:r>
          </w:p>
        </w:tc>
        <w:tc>
          <w:tcPr>
            <w:tcW w:w="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rPr>
              <w:t>100.0</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1"/>
              </w:rPr>
              <w:t>372,791</w:t>
            </w:r>
          </w:p>
        </w:tc>
        <w:tc>
          <w:tcPr>
            <w:tcW w:w="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7"/>
                <w:szCs w:val="17"/>
                <w:color w:val="auto"/>
              </w:rPr>
              <w:t>100.0</w:t>
            </w:r>
          </w:p>
        </w:tc>
        <w:tc>
          <w:tcPr>
            <w:tcW w:w="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7"/>
              </w:rPr>
              <w:t>$  6,038</w:t>
            </w: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35"/>
        </w:trPr>
        <w:tc>
          <w:tcPr>
            <w:tcW w:w="1500" w:type="dxa"/>
            <w:vAlign w:val="bottom"/>
          </w:tcPr>
          <w:p>
            <w:pPr>
              <w:ind w:left="20"/>
              <w:spacing w:after="0"/>
              <w:rPr>
                <w:sz w:val="20"/>
                <w:szCs w:val="20"/>
                <w:color w:val="auto"/>
              </w:rPr>
            </w:pPr>
            <w:r>
              <w:rPr>
                <w:rFonts w:ascii="Arial" w:cs="Arial" w:eastAsia="Arial" w:hAnsi="Arial"/>
                <w:sz w:val="17"/>
                <w:szCs w:val="17"/>
                <w:color w:val="auto"/>
              </w:rPr>
              <w:t>Cost of revenue</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71,423</w:t>
            </w:r>
          </w:p>
        </w:tc>
        <w:tc>
          <w:tcPr>
            <w:tcW w:w="80" w:type="dxa"/>
            <w:vAlign w:val="bottom"/>
          </w:tcPr>
          <w:p>
            <w:pPr>
              <w:spacing w:after="0"/>
              <w:rPr>
                <w:sz w:val="20"/>
                <w:szCs w:val="20"/>
                <w:color w:val="auto"/>
              </w:rPr>
            </w:pPr>
          </w:p>
        </w:tc>
        <w:tc>
          <w:tcPr>
            <w:tcW w:w="680" w:type="dxa"/>
            <w:vAlign w:val="bottom"/>
          </w:tcPr>
          <w:p>
            <w:pPr>
              <w:jc w:val="right"/>
              <w:ind w:right="113"/>
              <w:spacing w:after="0"/>
              <w:rPr>
                <w:sz w:val="20"/>
                <w:szCs w:val="20"/>
                <w:color w:val="auto"/>
              </w:rPr>
            </w:pPr>
            <w:r>
              <w:rPr>
                <w:rFonts w:ascii="Arial" w:cs="Arial" w:eastAsia="Arial" w:hAnsi="Arial"/>
                <w:sz w:val="17"/>
                <w:szCs w:val="17"/>
                <w:color w:val="auto"/>
              </w:rPr>
              <w:t>54.6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68,089</w:t>
            </w:r>
          </w:p>
        </w:tc>
        <w:tc>
          <w:tcPr>
            <w:tcW w:w="80" w:type="dxa"/>
            <w:vAlign w:val="bottom"/>
          </w:tcPr>
          <w:p>
            <w:pPr>
              <w:spacing w:after="0"/>
              <w:rPr>
                <w:sz w:val="20"/>
                <w:szCs w:val="20"/>
                <w:color w:val="auto"/>
              </w:rPr>
            </w:pPr>
          </w:p>
        </w:tc>
        <w:tc>
          <w:tcPr>
            <w:tcW w:w="680" w:type="dxa"/>
            <w:vAlign w:val="bottom"/>
          </w:tcPr>
          <w:p>
            <w:pPr>
              <w:jc w:val="right"/>
              <w:ind w:right="133"/>
              <w:spacing w:after="0"/>
              <w:rPr>
                <w:sz w:val="20"/>
                <w:szCs w:val="20"/>
                <w:color w:val="auto"/>
              </w:rPr>
            </w:pPr>
            <w:r>
              <w:rPr>
                <w:rFonts w:ascii="Arial" w:cs="Arial" w:eastAsia="Arial" w:hAnsi="Arial"/>
                <w:sz w:val="17"/>
                <w:szCs w:val="17"/>
                <w:color w:val="auto"/>
              </w:rPr>
              <w:t>55.9</w:t>
            </w: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3,334</w:t>
            </w:r>
          </w:p>
        </w:tc>
        <w:tc>
          <w:tcPr>
            <w:tcW w:w="80" w:type="dxa"/>
            <w:vAlign w:val="bottom"/>
          </w:tcPr>
          <w:p>
            <w:pPr>
              <w:spacing w:after="0"/>
              <w:rPr>
                <w:sz w:val="20"/>
                <w:szCs w:val="20"/>
                <w:color w:val="auto"/>
              </w:rPr>
            </w:pPr>
          </w:p>
        </w:tc>
        <w:tc>
          <w:tcPr>
            <w:tcW w:w="900" w:type="dxa"/>
            <w:vAlign w:val="bottom"/>
          </w:tcPr>
          <w:p>
            <w:pPr>
              <w:jc w:val="right"/>
              <w:ind w:right="113"/>
              <w:spacing w:after="0"/>
              <w:rPr>
                <w:sz w:val="20"/>
                <w:szCs w:val="20"/>
                <w:color w:val="auto"/>
              </w:rPr>
            </w:pPr>
            <w:r>
              <w:rPr>
                <w:rFonts w:ascii="Arial" w:cs="Arial" w:eastAsia="Arial" w:hAnsi="Arial"/>
                <w:sz w:val="17"/>
                <w:szCs w:val="17"/>
                <w:color w:val="auto"/>
              </w:rPr>
              <w:t>4.9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w w:val="91"/>
              </w:rPr>
              <w:t>212,648</w:t>
            </w:r>
          </w:p>
        </w:tc>
        <w:tc>
          <w:tcPr>
            <w:tcW w:w="80" w:type="dxa"/>
            <w:vAlign w:val="bottom"/>
          </w:tcPr>
          <w:p>
            <w:pPr>
              <w:spacing w:after="0"/>
              <w:rPr>
                <w:sz w:val="20"/>
                <w:szCs w:val="20"/>
                <w:color w:val="auto"/>
              </w:rPr>
            </w:pPr>
          </w:p>
        </w:tc>
        <w:tc>
          <w:tcPr>
            <w:tcW w:w="680" w:type="dxa"/>
            <w:vAlign w:val="bottom"/>
          </w:tcPr>
          <w:p>
            <w:pPr>
              <w:jc w:val="right"/>
              <w:ind w:right="133"/>
              <w:spacing w:after="0"/>
              <w:rPr>
                <w:sz w:val="20"/>
                <w:szCs w:val="20"/>
                <w:color w:val="auto"/>
              </w:rPr>
            </w:pPr>
            <w:r>
              <w:rPr>
                <w:rFonts w:ascii="Arial" w:cs="Arial" w:eastAsia="Arial" w:hAnsi="Arial"/>
                <w:sz w:val="17"/>
                <w:szCs w:val="17"/>
                <w:color w:val="auto"/>
              </w:rPr>
              <w:t>56.1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w w:val="91"/>
              </w:rPr>
              <w:t>205,933</w:t>
            </w:r>
          </w:p>
        </w:tc>
        <w:tc>
          <w:tcPr>
            <w:tcW w:w="80" w:type="dxa"/>
            <w:vAlign w:val="bottom"/>
          </w:tcPr>
          <w:p>
            <w:pPr>
              <w:spacing w:after="0"/>
              <w:rPr>
                <w:sz w:val="20"/>
                <w:szCs w:val="20"/>
                <w:color w:val="auto"/>
              </w:rPr>
            </w:pPr>
          </w:p>
        </w:tc>
        <w:tc>
          <w:tcPr>
            <w:tcW w:w="680" w:type="dxa"/>
            <w:vAlign w:val="bottom"/>
          </w:tcPr>
          <w:p>
            <w:pPr>
              <w:jc w:val="right"/>
              <w:ind w:right="113"/>
              <w:spacing w:after="0"/>
              <w:rPr>
                <w:sz w:val="20"/>
                <w:szCs w:val="20"/>
                <w:color w:val="auto"/>
              </w:rPr>
            </w:pPr>
            <w:r>
              <w:rPr>
                <w:rFonts w:ascii="Arial" w:cs="Arial" w:eastAsia="Arial" w:hAnsi="Arial"/>
                <w:sz w:val="17"/>
                <w:szCs w:val="17"/>
                <w:color w:val="auto"/>
              </w:rPr>
              <w:t>55.2</w:t>
            </w: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6,715</w:t>
            </w:r>
          </w:p>
        </w:tc>
        <w:tc>
          <w:tcPr>
            <w:tcW w:w="80" w:type="dxa"/>
            <w:vAlign w:val="bottom"/>
          </w:tcPr>
          <w:p>
            <w:pPr>
              <w:spacing w:after="0"/>
              <w:rPr>
                <w:sz w:val="20"/>
                <w:szCs w:val="20"/>
                <w:color w:val="auto"/>
              </w:rPr>
            </w:pPr>
          </w:p>
        </w:tc>
        <w:tc>
          <w:tcPr>
            <w:tcW w:w="720" w:type="dxa"/>
            <w:vAlign w:val="bottom"/>
          </w:tcPr>
          <w:p>
            <w:pPr>
              <w:jc w:val="right"/>
              <w:ind w:right="113"/>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6"/>
        </w:trPr>
        <w:tc>
          <w:tcPr>
            <w:tcW w:w="1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1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59,282</w:t>
            </w:r>
          </w:p>
        </w:tc>
        <w:tc>
          <w:tcPr>
            <w:tcW w:w="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7"/>
                <w:szCs w:val="17"/>
                <w:color w:val="auto"/>
              </w:rPr>
              <w:t>45.4</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53,632</w:t>
            </w:r>
          </w:p>
        </w:tc>
        <w:tc>
          <w:tcPr>
            <w:tcW w:w="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rPr>
              <w:t>44.1</w:t>
            </w: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5,650</w:t>
            </w:r>
          </w:p>
        </w:tc>
        <w:tc>
          <w:tcPr>
            <w:tcW w:w="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7"/>
                <w:szCs w:val="17"/>
                <w:color w:val="auto"/>
              </w:rPr>
              <w:t>10.5</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1"/>
              </w:rPr>
              <w:t>166,181</w:t>
            </w:r>
          </w:p>
        </w:tc>
        <w:tc>
          <w:tcPr>
            <w:tcW w:w="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rPr>
              <w:t>43.9</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1"/>
              </w:rPr>
              <w:t>166,858</w:t>
            </w:r>
          </w:p>
        </w:tc>
        <w:tc>
          <w:tcPr>
            <w:tcW w:w="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7"/>
                <w:szCs w:val="17"/>
                <w:color w:val="auto"/>
              </w:rPr>
              <w:t>44.8</w:t>
            </w:r>
          </w:p>
        </w:tc>
        <w:tc>
          <w:tcPr>
            <w:tcW w:w="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(677)</w:t>
            </w: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35"/>
        </w:trPr>
        <w:tc>
          <w:tcPr>
            <w:tcW w:w="1500" w:type="dxa"/>
            <w:vAlign w:val="bottom"/>
          </w:tcPr>
          <w:p>
            <w:pPr>
              <w:ind w:left="20"/>
              <w:spacing w:after="0"/>
              <w:rPr>
                <w:sz w:val="20"/>
                <w:szCs w:val="20"/>
                <w:color w:val="auto"/>
              </w:rPr>
            </w:pPr>
            <w:r>
              <w:rPr>
                <w:rFonts w:ascii="Arial" w:cs="Arial" w:eastAsia="Arial" w:hAnsi="Arial"/>
                <w:sz w:val="17"/>
                <w:szCs w:val="17"/>
                <w:color w:val="auto"/>
                <w:w w:val="95"/>
              </w:rPr>
              <w:t>Operating expenses</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5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Marketing and</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sales</w:t>
            </w: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21,682</w:t>
            </w:r>
          </w:p>
        </w:tc>
        <w:tc>
          <w:tcPr>
            <w:tcW w:w="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7"/>
                <w:szCs w:val="17"/>
                <w:color w:val="auto"/>
              </w:rPr>
              <w:t>16.6</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20,594</w:t>
            </w:r>
          </w:p>
        </w:tc>
        <w:tc>
          <w:tcPr>
            <w:tcW w:w="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rPr>
              <w:t>16.9</w:t>
            </w:r>
          </w:p>
        </w:tc>
        <w:tc>
          <w:tcPr>
            <w:tcW w:w="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1,088</w:t>
            </w:r>
          </w:p>
        </w:tc>
        <w:tc>
          <w:tcPr>
            <w:tcW w:w="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7"/>
                <w:szCs w:val="17"/>
                <w:color w:val="auto"/>
              </w:rPr>
              <w:t>5.3</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65,863</w:t>
            </w:r>
          </w:p>
        </w:tc>
        <w:tc>
          <w:tcPr>
            <w:tcW w:w="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rPr>
              <w:t>17.4</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62,235</w:t>
            </w:r>
          </w:p>
        </w:tc>
        <w:tc>
          <w:tcPr>
            <w:tcW w:w="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7"/>
                <w:szCs w:val="17"/>
                <w:color w:val="auto"/>
              </w:rPr>
              <w:t>16.7</w:t>
            </w:r>
          </w:p>
        </w:tc>
        <w:tc>
          <w:tcPr>
            <w:tcW w:w="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3,628</w:t>
            </w:r>
          </w:p>
        </w:tc>
        <w:tc>
          <w:tcPr>
            <w:tcW w:w="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223"/>
        </w:trPr>
        <w:tc>
          <w:tcPr>
            <w:tcW w:w="1500" w:type="dxa"/>
            <w:vAlign w:val="bottom"/>
          </w:tcPr>
          <w:p>
            <w:pPr>
              <w:ind w:left="340"/>
              <w:spacing w:after="0"/>
              <w:rPr>
                <w:sz w:val="20"/>
                <w:szCs w:val="20"/>
                <w:color w:val="auto"/>
              </w:rPr>
            </w:pPr>
            <w:r>
              <w:rPr>
                <w:rFonts w:ascii="Arial" w:cs="Arial" w:eastAsia="Arial" w:hAnsi="Arial"/>
                <w:sz w:val="17"/>
                <w:szCs w:val="17"/>
                <w:color w:val="auto"/>
              </w:rPr>
              <w:t>Research and</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500" w:type="dxa"/>
            <w:vAlign w:val="bottom"/>
          </w:tcPr>
          <w:p>
            <w:pPr>
              <w:ind w:left="340"/>
              <w:spacing w:after="0"/>
              <w:rPr>
                <w:sz w:val="20"/>
                <w:szCs w:val="20"/>
                <w:color w:val="auto"/>
              </w:rPr>
            </w:pPr>
            <w:r>
              <w:rPr>
                <w:rFonts w:ascii="Arial" w:cs="Arial" w:eastAsia="Arial" w:hAnsi="Arial"/>
                <w:sz w:val="17"/>
                <w:szCs w:val="17"/>
                <w:color w:val="auto"/>
              </w:rPr>
              <w:t>development</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10,105</w:t>
            </w:r>
          </w:p>
        </w:tc>
        <w:tc>
          <w:tcPr>
            <w:tcW w:w="80" w:type="dxa"/>
            <w:vAlign w:val="bottom"/>
          </w:tcPr>
          <w:p>
            <w:pPr>
              <w:spacing w:after="0"/>
              <w:rPr>
                <w:sz w:val="19"/>
                <w:szCs w:val="19"/>
                <w:color w:val="auto"/>
              </w:rPr>
            </w:pPr>
          </w:p>
        </w:tc>
        <w:tc>
          <w:tcPr>
            <w:tcW w:w="680" w:type="dxa"/>
            <w:vAlign w:val="bottom"/>
          </w:tcPr>
          <w:p>
            <w:pPr>
              <w:jc w:val="right"/>
              <w:ind w:right="113"/>
              <w:spacing w:after="0"/>
              <w:rPr>
                <w:sz w:val="20"/>
                <w:szCs w:val="20"/>
                <w:color w:val="auto"/>
              </w:rPr>
            </w:pPr>
            <w:r>
              <w:rPr>
                <w:rFonts w:ascii="Arial" w:cs="Arial" w:eastAsia="Arial" w:hAnsi="Arial"/>
                <w:sz w:val="17"/>
                <w:szCs w:val="17"/>
                <w:color w:val="auto"/>
              </w:rPr>
              <w:t>7.7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9,309</w:t>
            </w:r>
          </w:p>
        </w:tc>
        <w:tc>
          <w:tcPr>
            <w:tcW w:w="80" w:type="dxa"/>
            <w:vAlign w:val="bottom"/>
          </w:tcPr>
          <w:p>
            <w:pPr>
              <w:spacing w:after="0"/>
              <w:rPr>
                <w:sz w:val="19"/>
                <w:szCs w:val="19"/>
                <w:color w:val="auto"/>
              </w:rPr>
            </w:pPr>
          </w:p>
        </w:tc>
        <w:tc>
          <w:tcPr>
            <w:tcW w:w="680" w:type="dxa"/>
            <w:vAlign w:val="bottom"/>
          </w:tcPr>
          <w:p>
            <w:pPr>
              <w:jc w:val="right"/>
              <w:ind w:right="133"/>
              <w:spacing w:after="0"/>
              <w:rPr>
                <w:sz w:val="20"/>
                <w:szCs w:val="20"/>
                <w:color w:val="auto"/>
              </w:rPr>
            </w:pPr>
            <w:r>
              <w:rPr>
                <w:rFonts w:ascii="Arial" w:cs="Arial" w:eastAsia="Arial" w:hAnsi="Arial"/>
                <w:sz w:val="17"/>
                <w:szCs w:val="17"/>
                <w:color w:val="auto"/>
              </w:rPr>
              <w:t>7.7</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796</w:t>
            </w:r>
          </w:p>
        </w:tc>
        <w:tc>
          <w:tcPr>
            <w:tcW w:w="80" w:type="dxa"/>
            <w:vAlign w:val="bottom"/>
          </w:tcPr>
          <w:p>
            <w:pPr>
              <w:spacing w:after="0"/>
              <w:rPr>
                <w:sz w:val="19"/>
                <w:szCs w:val="19"/>
                <w:color w:val="auto"/>
              </w:rPr>
            </w:pPr>
          </w:p>
        </w:tc>
        <w:tc>
          <w:tcPr>
            <w:tcW w:w="900" w:type="dxa"/>
            <w:vAlign w:val="bottom"/>
          </w:tcPr>
          <w:p>
            <w:pPr>
              <w:jc w:val="right"/>
              <w:ind w:right="113"/>
              <w:spacing w:after="0"/>
              <w:rPr>
                <w:sz w:val="20"/>
                <w:szCs w:val="20"/>
                <w:color w:val="auto"/>
              </w:rPr>
            </w:pPr>
            <w:r>
              <w:rPr>
                <w:rFonts w:ascii="Arial" w:cs="Arial" w:eastAsia="Arial" w:hAnsi="Arial"/>
                <w:sz w:val="17"/>
                <w:szCs w:val="17"/>
                <w:color w:val="auto"/>
              </w:rPr>
              <w:t>8.6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30,647</w:t>
            </w:r>
          </w:p>
        </w:tc>
        <w:tc>
          <w:tcPr>
            <w:tcW w:w="80" w:type="dxa"/>
            <w:vAlign w:val="bottom"/>
          </w:tcPr>
          <w:p>
            <w:pPr>
              <w:spacing w:after="0"/>
              <w:rPr>
                <w:sz w:val="19"/>
                <w:szCs w:val="19"/>
                <w:color w:val="auto"/>
              </w:rPr>
            </w:pPr>
          </w:p>
        </w:tc>
        <w:tc>
          <w:tcPr>
            <w:tcW w:w="680" w:type="dxa"/>
            <w:vAlign w:val="bottom"/>
          </w:tcPr>
          <w:p>
            <w:pPr>
              <w:jc w:val="right"/>
              <w:ind w:right="133"/>
              <w:spacing w:after="0"/>
              <w:rPr>
                <w:sz w:val="20"/>
                <w:szCs w:val="20"/>
                <w:color w:val="auto"/>
              </w:rPr>
            </w:pPr>
            <w:r>
              <w:rPr>
                <w:rFonts w:ascii="Arial" w:cs="Arial" w:eastAsia="Arial" w:hAnsi="Arial"/>
                <w:sz w:val="17"/>
                <w:szCs w:val="17"/>
                <w:color w:val="auto"/>
              </w:rPr>
              <w:t>8.1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29,316</w:t>
            </w:r>
          </w:p>
        </w:tc>
        <w:tc>
          <w:tcPr>
            <w:tcW w:w="80" w:type="dxa"/>
            <w:vAlign w:val="bottom"/>
          </w:tcPr>
          <w:p>
            <w:pPr>
              <w:spacing w:after="0"/>
              <w:rPr>
                <w:sz w:val="19"/>
                <w:szCs w:val="19"/>
                <w:color w:val="auto"/>
              </w:rPr>
            </w:pPr>
          </w:p>
        </w:tc>
        <w:tc>
          <w:tcPr>
            <w:tcW w:w="680" w:type="dxa"/>
            <w:vAlign w:val="bottom"/>
          </w:tcPr>
          <w:p>
            <w:pPr>
              <w:jc w:val="right"/>
              <w:ind w:right="113"/>
              <w:spacing w:after="0"/>
              <w:rPr>
                <w:sz w:val="20"/>
                <w:szCs w:val="20"/>
                <w:color w:val="auto"/>
              </w:rPr>
            </w:pPr>
            <w:r>
              <w:rPr>
                <w:rFonts w:ascii="Arial" w:cs="Arial" w:eastAsia="Arial" w:hAnsi="Arial"/>
                <w:sz w:val="17"/>
                <w:szCs w:val="17"/>
                <w:color w:val="auto"/>
              </w:rPr>
              <w:t>7.9</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1,331</w:t>
            </w:r>
          </w:p>
        </w:tc>
        <w:tc>
          <w:tcPr>
            <w:tcW w:w="80" w:type="dxa"/>
            <w:vAlign w:val="bottom"/>
          </w:tcPr>
          <w:p>
            <w:pPr>
              <w:spacing w:after="0"/>
              <w:rPr>
                <w:sz w:val="19"/>
                <w:szCs w:val="19"/>
                <w:color w:val="auto"/>
              </w:rPr>
            </w:pPr>
          </w:p>
        </w:tc>
        <w:tc>
          <w:tcPr>
            <w:tcW w:w="720" w:type="dxa"/>
            <w:vAlign w:val="bottom"/>
          </w:tcPr>
          <w:p>
            <w:pPr>
              <w:jc w:val="right"/>
              <w:ind w:right="113"/>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26"/>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5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General and</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administrative</w:t>
            </w: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17,058</w:t>
            </w:r>
          </w:p>
        </w:tc>
        <w:tc>
          <w:tcPr>
            <w:tcW w:w="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7"/>
                <w:szCs w:val="17"/>
                <w:color w:val="auto"/>
              </w:rPr>
              <w:t>13.1</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16,477</w:t>
            </w:r>
          </w:p>
        </w:tc>
        <w:tc>
          <w:tcPr>
            <w:tcW w:w="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rPr>
              <w:t>13.5</w:t>
            </w:r>
          </w:p>
        </w:tc>
        <w:tc>
          <w:tcPr>
            <w:tcW w:w="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581</w:t>
            </w:r>
          </w:p>
        </w:tc>
        <w:tc>
          <w:tcPr>
            <w:tcW w:w="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7"/>
                <w:szCs w:val="17"/>
                <w:color w:val="auto"/>
              </w:rPr>
              <w:t>3.5</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49,713</w:t>
            </w:r>
          </w:p>
        </w:tc>
        <w:tc>
          <w:tcPr>
            <w:tcW w:w="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rPr>
              <w:t>13.1</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49,770</w:t>
            </w:r>
          </w:p>
        </w:tc>
        <w:tc>
          <w:tcPr>
            <w:tcW w:w="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7"/>
                <w:szCs w:val="17"/>
                <w:color w:val="auto"/>
              </w:rPr>
              <w:t>13.4</w:t>
            </w:r>
          </w:p>
        </w:tc>
        <w:tc>
          <w:tcPr>
            <w:tcW w:w="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23"/>
        </w:trPr>
        <w:tc>
          <w:tcPr>
            <w:tcW w:w="1500" w:type="dxa"/>
            <w:vAlign w:val="bottom"/>
          </w:tcPr>
          <w:p>
            <w:pPr>
              <w:ind w:left="340"/>
              <w:spacing w:after="0"/>
              <w:rPr>
                <w:sz w:val="20"/>
                <w:szCs w:val="20"/>
                <w:color w:val="auto"/>
              </w:rPr>
            </w:pPr>
            <w:r>
              <w:rPr>
                <w:rFonts w:ascii="Arial" w:cs="Arial" w:eastAsia="Arial" w:hAnsi="Arial"/>
                <w:sz w:val="17"/>
                <w:szCs w:val="17"/>
                <w:color w:val="auto"/>
              </w:rPr>
              <w:t>Closure of</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500" w:type="dxa"/>
            <w:vAlign w:val="bottom"/>
          </w:tcPr>
          <w:p>
            <w:pPr>
              <w:ind w:left="340"/>
              <w:spacing w:after="0"/>
              <w:rPr>
                <w:sz w:val="20"/>
                <w:szCs w:val="20"/>
                <w:color w:val="auto"/>
              </w:rPr>
            </w:pPr>
            <w:r>
              <w:rPr>
                <w:rFonts w:ascii="Arial" w:cs="Arial" w:eastAsia="Arial" w:hAnsi="Arial"/>
                <w:sz w:val="17"/>
                <w:szCs w:val="17"/>
                <w:color w:val="auto"/>
                <w:w w:val="96"/>
              </w:rPr>
              <w:t>Japan business</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22</w:t>
            </w:r>
          </w:p>
        </w:tc>
        <w:tc>
          <w:tcPr>
            <w:tcW w:w="80" w:type="dxa"/>
            <w:vAlign w:val="bottom"/>
          </w:tcPr>
          <w:p>
            <w:pPr>
              <w:spacing w:after="0"/>
              <w:rPr>
                <w:sz w:val="19"/>
                <w:szCs w:val="19"/>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1,194</w:t>
            </w:r>
          </w:p>
        </w:tc>
        <w:tc>
          <w:tcPr>
            <w:tcW w:w="80" w:type="dxa"/>
            <w:vAlign w:val="bottom"/>
          </w:tcPr>
          <w:p>
            <w:pPr>
              <w:spacing w:after="0"/>
              <w:rPr>
                <w:sz w:val="19"/>
                <w:szCs w:val="19"/>
                <w:color w:val="auto"/>
              </w:rPr>
            </w:pPr>
          </w:p>
        </w:tc>
        <w:tc>
          <w:tcPr>
            <w:tcW w:w="680" w:type="dxa"/>
            <w:vAlign w:val="bottom"/>
          </w:tcPr>
          <w:p>
            <w:pPr>
              <w:jc w:val="right"/>
              <w:ind w:right="133"/>
              <w:spacing w:after="0"/>
              <w:rPr>
                <w:sz w:val="20"/>
                <w:szCs w:val="20"/>
                <w:color w:val="auto"/>
              </w:rPr>
            </w:pPr>
            <w:r>
              <w:rPr>
                <w:rFonts w:ascii="Arial" w:cs="Arial" w:eastAsia="Arial" w:hAnsi="Arial"/>
                <w:sz w:val="17"/>
                <w:szCs w:val="17"/>
                <w:color w:val="auto"/>
              </w:rPr>
              <w:t>1.0</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(1,172)</w:t>
            </w:r>
          </w:p>
        </w:tc>
        <w:tc>
          <w:tcPr>
            <w:tcW w:w="80" w:type="dxa"/>
            <w:vAlign w:val="bottom"/>
          </w:tcPr>
          <w:p>
            <w:pPr>
              <w:spacing w:after="0"/>
              <w:rPr>
                <w:sz w:val="19"/>
                <w:szCs w:val="19"/>
                <w:color w:val="auto"/>
              </w:rPr>
            </w:pPr>
          </w:p>
        </w:tc>
        <w:tc>
          <w:tcPr>
            <w:tcW w:w="900" w:type="dxa"/>
            <w:vAlign w:val="bottom"/>
          </w:tcPr>
          <w:p>
            <w:pPr>
              <w:jc w:val="right"/>
              <w:ind w:right="73"/>
              <w:spacing w:after="0"/>
              <w:rPr>
                <w:sz w:val="20"/>
                <w:szCs w:val="20"/>
                <w:color w:val="auto"/>
              </w:rPr>
            </w:pPr>
            <w:r>
              <w:rPr>
                <w:rFonts w:ascii="Arial" w:cs="Arial" w:eastAsia="Arial" w:hAnsi="Arial"/>
                <w:sz w:val="17"/>
                <w:szCs w:val="17"/>
                <w:color w:val="auto"/>
              </w:rPr>
              <w:t>(98.2)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186</w:t>
            </w:r>
          </w:p>
        </w:tc>
        <w:tc>
          <w:tcPr>
            <w:tcW w:w="80" w:type="dxa"/>
            <w:vAlign w:val="bottom"/>
          </w:tcPr>
          <w:p>
            <w:pPr>
              <w:spacing w:after="0"/>
              <w:rPr>
                <w:sz w:val="19"/>
                <w:szCs w:val="19"/>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6,388</w:t>
            </w:r>
          </w:p>
        </w:tc>
        <w:tc>
          <w:tcPr>
            <w:tcW w:w="80" w:type="dxa"/>
            <w:vAlign w:val="bottom"/>
          </w:tcPr>
          <w:p>
            <w:pPr>
              <w:spacing w:after="0"/>
              <w:rPr>
                <w:sz w:val="19"/>
                <w:szCs w:val="19"/>
                <w:color w:val="auto"/>
              </w:rPr>
            </w:pPr>
          </w:p>
        </w:tc>
        <w:tc>
          <w:tcPr>
            <w:tcW w:w="680" w:type="dxa"/>
            <w:vAlign w:val="bottom"/>
          </w:tcPr>
          <w:p>
            <w:pPr>
              <w:jc w:val="right"/>
              <w:ind w:right="113"/>
              <w:spacing w:after="0"/>
              <w:rPr>
                <w:sz w:val="20"/>
                <w:szCs w:val="20"/>
                <w:color w:val="auto"/>
              </w:rPr>
            </w:pPr>
            <w:r>
              <w:rPr>
                <w:rFonts w:ascii="Arial" w:cs="Arial" w:eastAsia="Arial" w:hAnsi="Arial"/>
                <w:sz w:val="17"/>
                <w:szCs w:val="17"/>
                <w:color w:val="auto"/>
              </w:rPr>
              <w:t>1.7</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(6,202)</w:t>
            </w:r>
          </w:p>
        </w:tc>
        <w:tc>
          <w:tcPr>
            <w:tcW w:w="80" w:type="dxa"/>
            <w:vAlign w:val="bottom"/>
          </w:tcPr>
          <w:p>
            <w:pPr>
              <w:spacing w:after="0"/>
              <w:rPr>
                <w:sz w:val="19"/>
                <w:szCs w:val="19"/>
                <w:color w:val="auto"/>
              </w:rPr>
            </w:pPr>
          </w:p>
        </w:tc>
        <w:tc>
          <w:tcPr>
            <w:tcW w:w="720" w:type="dxa"/>
            <w:vAlign w:val="bottom"/>
          </w:tcPr>
          <w:p>
            <w:pPr>
              <w:jc w:val="right"/>
              <w:ind w:right="73"/>
              <w:spacing w:after="0"/>
              <w:rPr>
                <w:sz w:val="20"/>
                <w:szCs w:val="20"/>
                <w:color w:val="auto"/>
              </w:rPr>
            </w:pPr>
            <w:r>
              <w:rPr>
                <w:rFonts w:ascii="Arial" w:cs="Arial" w:eastAsia="Arial" w:hAnsi="Arial"/>
                <w:sz w:val="17"/>
                <w:szCs w:val="17"/>
                <w:color w:val="auto"/>
              </w:rPr>
              <w:t>(97.1)</w:t>
            </w:r>
          </w:p>
        </w:tc>
        <w:tc>
          <w:tcPr>
            <w:tcW w:w="0" w:type="dxa"/>
            <w:vAlign w:val="bottom"/>
          </w:tcPr>
          <w:p>
            <w:pPr>
              <w:spacing w:after="0"/>
              <w:rPr>
                <w:sz w:val="1"/>
                <w:szCs w:val="1"/>
                <w:color w:val="auto"/>
              </w:rPr>
            </w:pPr>
          </w:p>
        </w:tc>
      </w:tr>
      <w:tr>
        <w:trPr>
          <w:trHeight w:val="26"/>
        </w:trPr>
        <w:tc>
          <w:tcPr>
            <w:tcW w:w="1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500" w:type="dxa"/>
            <w:vAlign w:val="bottom"/>
            <w:shd w:val="clear" w:color="auto" w:fill="CCEEFF"/>
          </w:tcPr>
          <w:p>
            <w:pPr>
              <w:ind w:left="640"/>
              <w:spacing w:after="0"/>
              <w:rPr>
                <w:sz w:val="20"/>
                <w:szCs w:val="20"/>
                <w:color w:val="auto"/>
              </w:rPr>
            </w:pPr>
            <w:r>
              <w:rPr>
                <w:rFonts w:ascii="Arial" w:cs="Arial" w:eastAsia="Arial" w:hAnsi="Arial"/>
                <w:sz w:val="17"/>
                <w:szCs w:val="17"/>
                <w:color w:val="auto"/>
              </w:rPr>
              <w:t>Total</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500" w:type="dxa"/>
            <w:vAlign w:val="bottom"/>
            <w:shd w:val="clear" w:color="auto" w:fill="CCEEFF"/>
          </w:tcPr>
          <w:p>
            <w:pPr>
              <w:ind w:left="640"/>
              <w:spacing w:after="0"/>
              <w:rPr>
                <w:sz w:val="20"/>
                <w:szCs w:val="20"/>
                <w:color w:val="auto"/>
              </w:rPr>
            </w:pPr>
            <w:r>
              <w:rPr>
                <w:rFonts w:ascii="Arial" w:cs="Arial" w:eastAsia="Arial" w:hAnsi="Arial"/>
                <w:sz w:val="17"/>
                <w:szCs w:val="17"/>
                <w:color w:val="auto"/>
              </w:rPr>
              <w:t>operating</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5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expenses</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48,867</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7"/>
                <w:szCs w:val="17"/>
                <w:color w:val="auto"/>
              </w:rPr>
              <w:t>37.4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47,574</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rPr>
              <w:t>39.1</w:t>
            </w: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1,293</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7"/>
                <w:szCs w:val="17"/>
                <w:color w:val="auto"/>
              </w:rPr>
              <w:t>2.7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1"/>
              </w:rPr>
              <w:t>146,409</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rPr>
              <w:t>38.6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1"/>
              </w:rPr>
              <w:t>147,709</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7"/>
                <w:szCs w:val="17"/>
                <w:color w:val="auto"/>
              </w:rPr>
              <w:t>39.6</w:t>
            </w: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(1,300)</w:t>
            </w: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(0.9)</w:t>
            </w:r>
          </w:p>
        </w:tc>
        <w:tc>
          <w:tcPr>
            <w:tcW w:w="0" w:type="dxa"/>
            <w:vAlign w:val="bottom"/>
          </w:tcPr>
          <w:p>
            <w:pPr>
              <w:spacing w:after="0"/>
              <w:rPr>
                <w:sz w:val="1"/>
                <w:szCs w:val="1"/>
                <w:color w:val="auto"/>
              </w:rPr>
            </w:pPr>
          </w:p>
        </w:tc>
      </w:tr>
      <w:tr>
        <w:trPr>
          <w:trHeight w:val="203"/>
        </w:trPr>
        <w:tc>
          <w:tcPr>
            <w:tcW w:w="1500" w:type="dxa"/>
            <w:vAlign w:val="bottom"/>
          </w:tcPr>
          <w:p>
            <w:pPr>
              <w:ind w:left="20"/>
              <w:spacing w:after="0"/>
              <w:rPr>
                <w:sz w:val="20"/>
                <w:szCs w:val="20"/>
                <w:color w:val="auto"/>
              </w:rPr>
            </w:pPr>
            <w:r>
              <w:rPr>
                <w:rFonts w:ascii="Arial" w:cs="Arial" w:eastAsia="Arial" w:hAnsi="Arial"/>
                <w:sz w:val="17"/>
                <w:szCs w:val="17"/>
                <w:color w:val="auto"/>
              </w:rPr>
              <w:t>Income from</w:t>
            </w: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500" w:type="dxa"/>
            <w:vAlign w:val="bottom"/>
          </w:tcPr>
          <w:p>
            <w:pPr>
              <w:ind w:left="20"/>
              <w:spacing w:after="0"/>
              <w:rPr>
                <w:sz w:val="20"/>
                <w:szCs w:val="20"/>
                <w:color w:val="auto"/>
              </w:rPr>
            </w:pPr>
            <w:r>
              <w:rPr>
                <w:rFonts w:ascii="Arial" w:cs="Arial" w:eastAsia="Arial" w:hAnsi="Arial"/>
                <w:sz w:val="17"/>
                <w:szCs w:val="17"/>
                <w:color w:val="auto"/>
              </w:rPr>
              <w:t>operations</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10,415</w:t>
            </w:r>
          </w:p>
        </w:tc>
        <w:tc>
          <w:tcPr>
            <w:tcW w:w="80" w:type="dxa"/>
            <w:vAlign w:val="bottom"/>
          </w:tcPr>
          <w:p>
            <w:pPr>
              <w:spacing w:after="0"/>
              <w:rPr>
                <w:sz w:val="19"/>
                <w:szCs w:val="19"/>
                <w:color w:val="auto"/>
              </w:rPr>
            </w:pPr>
          </w:p>
        </w:tc>
        <w:tc>
          <w:tcPr>
            <w:tcW w:w="680" w:type="dxa"/>
            <w:vAlign w:val="bottom"/>
          </w:tcPr>
          <w:p>
            <w:pPr>
              <w:jc w:val="right"/>
              <w:ind w:right="113"/>
              <w:spacing w:after="0"/>
              <w:rPr>
                <w:sz w:val="20"/>
                <w:szCs w:val="20"/>
                <w:color w:val="auto"/>
              </w:rPr>
            </w:pPr>
            <w:r>
              <w:rPr>
                <w:rFonts w:ascii="Arial" w:cs="Arial" w:eastAsia="Arial" w:hAnsi="Arial"/>
                <w:sz w:val="17"/>
                <w:szCs w:val="17"/>
                <w:color w:val="auto"/>
              </w:rPr>
              <w:t>8.0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6,058</w:t>
            </w:r>
          </w:p>
        </w:tc>
        <w:tc>
          <w:tcPr>
            <w:tcW w:w="80" w:type="dxa"/>
            <w:vAlign w:val="bottom"/>
          </w:tcPr>
          <w:p>
            <w:pPr>
              <w:spacing w:after="0"/>
              <w:rPr>
                <w:sz w:val="19"/>
                <w:szCs w:val="19"/>
                <w:color w:val="auto"/>
              </w:rPr>
            </w:pPr>
          </w:p>
        </w:tc>
        <w:tc>
          <w:tcPr>
            <w:tcW w:w="680" w:type="dxa"/>
            <w:vAlign w:val="bottom"/>
          </w:tcPr>
          <w:p>
            <w:pPr>
              <w:jc w:val="right"/>
              <w:ind w:right="133"/>
              <w:spacing w:after="0"/>
              <w:rPr>
                <w:sz w:val="20"/>
                <w:szCs w:val="20"/>
                <w:color w:val="auto"/>
              </w:rPr>
            </w:pPr>
            <w:r>
              <w:rPr>
                <w:rFonts w:ascii="Arial" w:cs="Arial" w:eastAsia="Arial" w:hAnsi="Arial"/>
                <w:sz w:val="17"/>
                <w:szCs w:val="17"/>
                <w:color w:val="auto"/>
              </w:rPr>
              <w:t>5.0</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4,357</w:t>
            </w:r>
          </w:p>
        </w:tc>
        <w:tc>
          <w:tcPr>
            <w:tcW w:w="80" w:type="dxa"/>
            <w:vAlign w:val="bottom"/>
          </w:tcPr>
          <w:p>
            <w:pPr>
              <w:spacing w:after="0"/>
              <w:rPr>
                <w:sz w:val="19"/>
                <w:szCs w:val="19"/>
                <w:color w:val="auto"/>
              </w:rPr>
            </w:pPr>
          </w:p>
        </w:tc>
        <w:tc>
          <w:tcPr>
            <w:tcW w:w="900" w:type="dxa"/>
            <w:vAlign w:val="bottom"/>
          </w:tcPr>
          <w:p>
            <w:pPr>
              <w:jc w:val="right"/>
              <w:ind w:right="113"/>
              <w:spacing w:after="0"/>
              <w:rPr>
                <w:sz w:val="20"/>
                <w:szCs w:val="20"/>
                <w:color w:val="auto"/>
              </w:rPr>
            </w:pPr>
            <w:r>
              <w:rPr>
                <w:rFonts w:ascii="Arial" w:cs="Arial" w:eastAsia="Arial" w:hAnsi="Arial"/>
                <w:sz w:val="17"/>
                <w:szCs w:val="17"/>
                <w:color w:val="auto"/>
              </w:rPr>
              <w:t>71.9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19,772</w:t>
            </w:r>
          </w:p>
        </w:tc>
        <w:tc>
          <w:tcPr>
            <w:tcW w:w="80" w:type="dxa"/>
            <w:vAlign w:val="bottom"/>
          </w:tcPr>
          <w:p>
            <w:pPr>
              <w:spacing w:after="0"/>
              <w:rPr>
                <w:sz w:val="19"/>
                <w:szCs w:val="19"/>
                <w:color w:val="auto"/>
              </w:rPr>
            </w:pPr>
          </w:p>
        </w:tc>
        <w:tc>
          <w:tcPr>
            <w:tcW w:w="680" w:type="dxa"/>
            <w:vAlign w:val="bottom"/>
          </w:tcPr>
          <w:p>
            <w:pPr>
              <w:jc w:val="right"/>
              <w:ind w:right="133"/>
              <w:spacing w:after="0"/>
              <w:rPr>
                <w:sz w:val="20"/>
                <w:szCs w:val="20"/>
                <w:color w:val="auto"/>
              </w:rPr>
            </w:pPr>
            <w:r>
              <w:rPr>
                <w:rFonts w:ascii="Arial" w:cs="Arial" w:eastAsia="Arial" w:hAnsi="Arial"/>
                <w:sz w:val="17"/>
                <w:szCs w:val="17"/>
                <w:color w:val="auto"/>
              </w:rPr>
              <w:t>5.2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19,149</w:t>
            </w:r>
          </w:p>
        </w:tc>
        <w:tc>
          <w:tcPr>
            <w:tcW w:w="80" w:type="dxa"/>
            <w:vAlign w:val="bottom"/>
          </w:tcPr>
          <w:p>
            <w:pPr>
              <w:spacing w:after="0"/>
              <w:rPr>
                <w:sz w:val="19"/>
                <w:szCs w:val="19"/>
                <w:color w:val="auto"/>
              </w:rPr>
            </w:pPr>
          </w:p>
        </w:tc>
        <w:tc>
          <w:tcPr>
            <w:tcW w:w="680" w:type="dxa"/>
            <w:vAlign w:val="bottom"/>
          </w:tcPr>
          <w:p>
            <w:pPr>
              <w:jc w:val="right"/>
              <w:ind w:right="113"/>
              <w:spacing w:after="0"/>
              <w:rPr>
                <w:sz w:val="20"/>
                <w:szCs w:val="20"/>
                <w:color w:val="auto"/>
              </w:rPr>
            </w:pPr>
            <w:r>
              <w:rPr>
                <w:rFonts w:ascii="Arial" w:cs="Arial" w:eastAsia="Arial" w:hAnsi="Arial"/>
                <w:sz w:val="17"/>
                <w:szCs w:val="17"/>
                <w:color w:val="auto"/>
              </w:rPr>
              <w:t>5.1</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623</w:t>
            </w:r>
          </w:p>
        </w:tc>
        <w:tc>
          <w:tcPr>
            <w:tcW w:w="80" w:type="dxa"/>
            <w:vAlign w:val="bottom"/>
          </w:tcPr>
          <w:p>
            <w:pPr>
              <w:spacing w:after="0"/>
              <w:rPr>
                <w:sz w:val="19"/>
                <w:szCs w:val="19"/>
                <w:color w:val="auto"/>
              </w:rPr>
            </w:pPr>
          </w:p>
        </w:tc>
        <w:tc>
          <w:tcPr>
            <w:tcW w:w="720" w:type="dxa"/>
            <w:vAlign w:val="bottom"/>
          </w:tcPr>
          <w:p>
            <w:pPr>
              <w:jc w:val="right"/>
              <w:ind w:right="113"/>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6"/>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500" w:type="dxa"/>
            <w:vAlign w:val="bottom"/>
            <w:shd w:val="clear" w:color="auto" w:fill="CCEEFF"/>
          </w:tcPr>
          <w:p>
            <w:pPr>
              <w:ind w:left="20"/>
              <w:spacing w:after="0"/>
              <w:rPr>
                <w:sz w:val="20"/>
                <w:szCs w:val="20"/>
                <w:color w:val="auto"/>
              </w:rPr>
            </w:pPr>
            <w:r>
              <w:rPr>
                <w:rFonts w:ascii="Arial" w:cs="Arial" w:eastAsia="Arial" w:hAnsi="Arial"/>
                <w:sz w:val="17"/>
                <w:szCs w:val="17"/>
                <w:color w:val="auto"/>
                <w:w w:val="95"/>
              </w:rPr>
              <w:t>Other income (loss),</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320</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7"/>
                <w:szCs w:val="17"/>
                <w:color w:val="auto"/>
              </w:rPr>
              <w:t>0.2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rPr>
              <w:t>(0.0)</w:t>
            </w: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344</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(1,433.3)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(1,758)</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rPr>
              <w:t>(0.5)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(323)</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(0.1)</w:t>
            </w: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(1,435)</w:t>
            </w: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7"/>
                <w:szCs w:val="17"/>
                <w:color w:val="auto"/>
              </w:rPr>
              <w:t>444.3</w:t>
            </w:r>
          </w:p>
        </w:tc>
        <w:tc>
          <w:tcPr>
            <w:tcW w:w="0" w:type="dxa"/>
            <w:vAlign w:val="bottom"/>
          </w:tcPr>
          <w:p>
            <w:pPr>
              <w:spacing w:after="0"/>
              <w:rPr>
                <w:sz w:val="1"/>
                <w:szCs w:val="1"/>
                <w:color w:val="auto"/>
              </w:rPr>
            </w:pPr>
          </w:p>
        </w:tc>
      </w:tr>
      <w:tr>
        <w:trPr>
          <w:trHeight w:val="203"/>
        </w:trPr>
        <w:tc>
          <w:tcPr>
            <w:tcW w:w="1500" w:type="dxa"/>
            <w:vAlign w:val="bottom"/>
          </w:tcPr>
          <w:p>
            <w:pPr>
              <w:ind w:left="20"/>
              <w:spacing w:after="0"/>
              <w:rPr>
                <w:sz w:val="20"/>
                <w:szCs w:val="20"/>
                <w:color w:val="auto"/>
              </w:rPr>
            </w:pPr>
            <w:r>
              <w:rPr>
                <w:rFonts w:ascii="Arial" w:cs="Arial" w:eastAsia="Arial" w:hAnsi="Arial"/>
                <w:sz w:val="17"/>
                <w:szCs w:val="17"/>
                <w:color w:val="auto"/>
              </w:rPr>
              <w:t>Income before</w:t>
            </w: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500" w:type="dxa"/>
            <w:vAlign w:val="bottom"/>
          </w:tcPr>
          <w:p>
            <w:pPr>
              <w:ind w:left="20"/>
              <w:spacing w:after="0"/>
              <w:rPr>
                <w:sz w:val="20"/>
                <w:szCs w:val="20"/>
                <w:color w:val="auto"/>
              </w:rPr>
            </w:pPr>
            <w:r>
              <w:rPr>
                <w:rFonts w:ascii="Arial" w:cs="Arial" w:eastAsia="Arial" w:hAnsi="Arial"/>
                <w:sz w:val="17"/>
                <w:szCs w:val="17"/>
                <w:color w:val="auto"/>
              </w:rPr>
              <w:t>income taxes</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10,735</w:t>
            </w:r>
          </w:p>
        </w:tc>
        <w:tc>
          <w:tcPr>
            <w:tcW w:w="80" w:type="dxa"/>
            <w:vAlign w:val="bottom"/>
          </w:tcPr>
          <w:p>
            <w:pPr>
              <w:spacing w:after="0"/>
              <w:rPr>
                <w:sz w:val="19"/>
                <w:szCs w:val="19"/>
                <w:color w:val="auto"/>
              </w:rPr>
            </w:pPr>
          </w:p>
        </w:tc>
        <w:tc>
          <w:tcPr>
            <w:tcW w:w="680" w:type="dxa"/>
            <w:vAlign w:val="bottom"/>
          </w:tcPr>
          <w:p>
            <w:pPr>
              <w:jc w:val="right"/>
              <w:ind w:right="113"/>
              <w:spacing w:after="0"/>
              <w:rPr>
                <w:sz w:val="20"/>
                <w:szCs w:val="20"/>
                <w:color w:val="auto"/>
              </w:rPr>
            </w:pPr>
            <w:r>
              <w:rPr>
                <w:rFonts w:ascii="Arial" w:cs="Arial" w:eastAsia="Arial" w:hAnsi="Arial"/>
                <w:sz w:val="17"/>
                <w:szCs w:val="17"/>
                <w:color w:val="auto"/>
              </w:rPr>
              <w:t>8.2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6,034</w:t>
            </w:r>
          </w:p>
        </w:tc>
        <w:tc>
          <w:tcPr>
            <w:tcW w:w="80" w:type="dxa"/>
            <w:vAlign w:val="bottom"/>
          </w:tcPr>
          <w:p>
            <w:pPr>
              <w:spacing w:after="0"/>
              <w:rPr>
                <w:sz w:val="19"/>
                <w:szCs w:val="19"/>
                <w:color w:val="auto"/>
              </w:rPr>
            </w:pPr>
          </w:p>
        </w:tc>
        <w:tc>
          <w:tcPr>
            <w:tcW w:w="680" w:type="dxa"/>
            <w:vAlign w:val="bottom"/>
          </w:tcPr>
          <w:p>
            <w:pPr>
              <w:jc w:val="right"/>
              <w:ind w:right="133"/>
              <w:spacing w:after="0"/>
              <w:rPr>
                <w:sz w:val="20"/>
                <w:szCs w:val="20"/>
                <w:color w:val="auto"/>
              </w:rPr>
            </w:pPr>
            <w:r>
              <w:rPr>
                <w:rFonts w:ascii="Arial" w:cs="Arial" w:eastAsia="Arial" w:hAnsi="Arial"/>
                <w:sz w:val="17"/>
                <w:szCs w:val="17"/>
                <w:color w:val="auto"/>
              </w:rPr>
              <w:t>5.0</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4,701</w:t>
            </w:r>
          </w:p>
        </w:tc>
        <w:tc>
          <w:tcPr>
            <w:tcW w:w="80" w:type="dxa"/>
            <w:vAlign w:val="bottom"/>
          </w:tcPr>
          <w:p>
            <w:pPr>
              <w:spacing w:after="0"/>
              <w:rPr>
                <w:sz w:val="19"/>
                <w:szCs w:val="19"/>
                <w:color w:val="auto"/>
              </w:rPr>
            </w:pPr>
          </w:p>
        </w:tc>
        <w:tc>
          <w:tcPr>
            <w:tcW w:w="900" w:type="dxa"/>
            <w:vAlign w:val="bottom"/>
          </w:tcPr>
          <w:p>
            <w:pPr>
              <w:jc w:val="right"/>
              <w:ind w:right="113"/>
              <w:spacing w:after="0"/>
              <w:rPr>
                <w:sz w:val="20"/>
                <w:szCs w:val="20"/>
                <w:color w:val="auto"/>
              </w:rPr>
            </w:pPr>
            <w:r>
              <w:rPr>
                <w:rFonts w:ascii="Arial" w:cs="Arial" w:eastAsia="Arial" w:hAnsi="Arial"/>
                <w:sz w:val="17"/>
                <w:szCs w:val="17"/>
                <w:color w:val="auto"/>
              </w:rPr>
              <w:t>77.9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18,014</w:t>
            </w:r>
          </w:p>
        </w:tc>
        <w:tc>
          <w:tcPr>
            <w:tcW w:w="80" w:type="dxa"/>
            <w:vAlign w:val="bottom"/>
          </w:tcPr>
          <w:p>
            <w:pPr>
              <w:spacing w:after="0"/>
              <w:rPr>
                <w:sz w:val="19"/>
                <w:szCs w:val="19"/>
                <w:color w:val="auto"/>
              </w:rPr>
            </w:pPr>
          </w:p>
        </w:tc>
        <w:tc>
          <w:tcPr>
            <w:tcW w:w="680" w:type="dxa"/>
            <w:vAlign w:val="bottom"/>
          </w:tcPr>
          <w:p>
            <w:pPr>
              <w:jc w:val="right"/>
              <w:ind w:right="133"/>
              <w:spacing w:after="0"/>
              <w:rPr>
                <w:sz w:val="20"/>
                <w:szCs w:val="20"/>
                <w:color w:val="auto"/>
              </w:rPr>
            </w:pPr>
            <w:r>
              <w:rPr>
                <w:rFonts w:ascii="Arial" w:cs="Arial" w:eastAsia="Arial" w:hAnsi="Arial"/>
                <w:sz w:val="17"/>
                <w:szCs w:val="17"/>
                <w:color w:val="auto"/>
              </w:rPr>
              <w:t>4.8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18,826</w:t>
            </w:r>
          </w:p>
        </w:tc>
        <w:tc>
          <w:tcPr>
            <w:tcW w:w="80" w:type="dxa"/>
            <w:vAlign w:val="bottom"/>
          </w:tcPr>
          <w:p>
            <w:pPr>
              <w:spacing w:after="0"/>
              <w:rPr>
                <w:sz w:val="19"/>
                <w:szCs w:val="19"/>
                <w:color w:val="auto"/>
              </w:rPr>
            </w:pPr>
          </w:p>
        </w:tc>
        <w:tc>
          <w:tcPr>
            <w:tcW w:w="680" w:type="dxa"/>
            <w:vAlign w:val="bottom"/>
          </w:tcPr>
          <w:p>
            <w:pPr>
              <w:jc w:val="right"/>
              <w:ind w:right="113"/>
              <w:spacing w:after="0"/>
              <w:rPr>
                <w:sz w:val="20"/>
                <w:szCs w:val="20"/>
                <w:color w:val="auto"/>
              </w:rPr>
            </w:pPr>
            <w:r>
              <w:rPr>
                <w:rFonts w:ascii="Arial" w:cs="Arial" w:eastAsia="Arial" w:hAnsi="Arial"/>
                <w:sz w:val="17"/>
                <w:szCs w:val="17"/>
                <w:color w:val="auto"/>
              </w:rPr>
              <w:t>5.1</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(812)</w:t>
            </w:r>
          </w:p>
        </w:tc>
        <w:tc>
          <w:tcPr>
            <w:tcW w:w="80" w:type="dxa"/>
            <w:vAlign w:val="bottom"/>
          </w:tcPr>
          <w:p>
            <w:pPr>
              <w:spacing w:after="0"/>
              <w:rPr>
                <w:sz w:val="19"/>
                <w:szCs w:val="19"/>
                <w:color w:val="auto"/>
              </w:rPr>
            </w:pPr>
          </w:p>
        </w:tc>
        <w:tc>
          <w:tcPr>
            <w:tcW w:w="720" w:type="dxa"/>
            <w:vAlign w:val="bottom"/>
          </w:tcPr>
          <w:p>
            <w:pPr>
              <w:jc w:val="right"/>
              <w:ind w:right="73"/>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26"/>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Provision for</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2,781</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7"/>
                <w:szCs w:val="17"/>
                <w:color w:val="auto"/>
              </w:rPr>
              <w:t>2.1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2,083</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rPr>
              <w:t>1.7</w:t>
            </w: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698</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7"/>
                <w:szCs w:val="17"/>
                <w:color w:val="auto"/>
              </w:rPr>
              <w:t>33.5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7,784</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rPr>
              <w:t>2.1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7,223</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7"/>
                <w:szCs w:val="17"/>
                <w:color w:val="auto"/>
              </w:rPr>
              <w:t>1.9</w:t>
            </w: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561</w:t>
            </w: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7"/>
                <w:szCs w:val="17"/>
                <w:color w:val="auto"/>
              </w:rPr>
              <w:t>7.8</w:t>
            </w:r>
          </w:p>
        </w:tc>
        <w:tc>
          <w:tcPr>
            <w:tcW w:w="0" w:type="dxa"/>
            <w:vAlign w:val="bottom"/>
          </w:tcPr>
          <w:p>
            <w:pPr>
              <w:spacing w:after="0"/>
              <w:rPr>
                <w:sz w:val="1"/>
                <w:szCs w:val="1"/>
                <w:color w:val="auto"/>
              </w:rPr>
            </w:pPr>
          </w:p>
        </w:tc>
      </w:tr>
      <w:tr>
        <w:trPr>
          <w:trHeight w:val="254"/>
        </w:trPr>
        <w:tc>
          <w:tcPr>
            <w:tcW w:w="150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7,954</w:t>
            </w:r>
          </w:p>
        </w:tc>
        <w:tc>
          <w:tcPr>
            <w:tcW w:w="80" w:type="dxa"/>
            <w:vAlign w:val="bottom"/>
          </w:tcPr>
          <w:p>
            <w:pPr>
              <w:spacing w:after="0"/>
              <w:rPr>
                <w:sz w:val="22"/>
                <w:szCs w:val="2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6.1 %</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3,951</w:t>
            </w:r>
          </w:p>
        </w:tc>
        <w:tc>
          <w:tcPr>
            <w:tcW w:w="80" w:type="dxa"/>
            <w:vAlign w:val="bottom"/>
          </w:tcPr>
          <w:p>
            <w:pPr>
              <w:spacing w:after="0"/>
              <w:rPr>
                <w:sz w:val="22"/>
                <w:szCs w:val="2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3.3 %</w:t>
            </w:r>
          </w:p>
        </w:tc>
        <w:tc>
          <w:tcPr>
            <w:tcW w:w="80" w:type="dxa"/>
            <w:vAlign w:val="bottom"/>
          </w:tcPr>
          <w:p>
            <w:pPr>
              <w:spacing w:after="0"/>
              <w:rPr>
                <w:sz w:val="22"/>
                <w:szCs w:val="2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5"/>
              </w:rPr>
              <w:t>$ 4,003</w:t>
            </w:r>
          </w:p>
        </w:tc>
        <w:tc>
          <w:tcPr>
            <w:tcW w:w="8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101.3 %</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10,230</w:t>
            </w:r>
          </w:p>
        </w:tc>
        <w:tc>
          <w:tcPr>
            <w:tcW w:w="80" w:type="dxa"/>
            <w:vAlign w:val="bottom"/>
          </w:tcPr>
          <w:p>
            <w:pPr>
              <w:spacing w:after="0"/>
              <w:rPr>
                <w:sz w:val="22"/>
                <w:szCs w:val="2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2.7 %</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11,603</w:t>
            </w:r>
          </w:p>
        </w:tc>
        <w:tc>
          <w:tcPr>
            <w:tcW w:w="80" w:type="dxa"/>
            <w:vAlign w:val="bottom"/>
          </w:tcPr>
          <w:p>
            <w:pPr>
              <w:spacing w:after="0"/>
              <w:rPr>
                <w:sz w:val="22"/>
                <w:szCs w:val="2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3.1 %</w:t>
            </w:r>
          </w:p>
        </w:tc>
        <w:tc>
          <w:tcPr>
            <w:tcW w:w="80" w:type="dxa"/>
            <w:vAlign w:val="bottom"/>
          </w:tcPr>
          <w:p>
            <w:pPr>
              <w:spacing w:after="0"/>
              <w:rPr>
                <w:sz w:val="22"/>
                <w:szCs w:val="2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3"/>
              </w:rPr>
              <w:t>$ (1,373)</w:t>
            </w:r>
          </w:p>
        </w:tc>
        <w:tc>
          <w:tcPr>
            <w:tcW w:w="80" w:type="dxa"/>
            <w:vAlign w:val="bottom"/>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(11.8)%</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15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49" w:lineRule="exact"/>
        <w:rPr>
          <w:sz w:val="20"/>
          <w:szCs w:val="20"/>
          <w:color w:val="auto"/>
        </w:rPr>
      </w:pPr>
    </w:p>
    <w:p>
      <w:pPr>
        <w:ind w:right="380"/>
        <w:spacing w:after="0" w:line="288" w:lineRule="auto"/>
        <w:rPr>
          <w:sz w:val="20"/>
          <w:szCs w:val="20"/>
          <w:color w:val="auto"/>
        </w:rPr>
      </w:pPr>
      <w:r>
        <w:rPr>
          <w:rFonts w:ascii="Arial" w:cs="Arial" w:eastAsia="Arial" w:hAnsi="Arial"/>
          <w:sz w:val="17"/>
          <w:szCs w:val="17"/>
          <w:color w:val="auto"/>
        </w:rPr>
        <w:t>Stock-based compensation expense included in the statements of operations data above for the three and nine months September 30, 2023 and 2022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13676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20" w:type="dxa"/>
            <w:vAlign w:val="bottom"/>
            <w:gridSpan w:val="5"/>
          </w:tcPr>
          <w:p>
            <w:pPr>
              <w:ind w:left="160"/>
              <w:spacing w:after="0"/>
              <w:rPr>
                <w:sz w:val="20"/>
                <w:szCs w:val="20"/>
                <w:color w:val="auto"/>
              </w:rPr>
            </w:pPr>
            <w:r>
              <w:rPr>
                <w:rFonts w:ascii="Arial" w:cs="Arial" w:eastAsia="Arial" w:hAnsi="Arial"/>
                <w:sz w:val="17"/>
                <w:szCs w:val="17"/>
                <w:b w:val="1"/>
                <w:bCs w:val="1"/>
                <w:color w:val="auto"/>
              </w:rPr>
              <w:t>Three Months Ended</w:t>
            </w:r>
          </w:p>
        </w:tc>
        <w:tc>
          <w:tcPr>
            <w:tcW w:w="240" w:type="dxa"/>
            <w:vAlign w:val="bottom"/>
          </w:tcPr>
          <w:p>
            <w:pPr>
              <w:spacing w:after="0"/>
              <w:rPr>
                <w:sz w:val="18"/>
                <w:szCs w:val="18"/>
                <w:color w:val="auto"/>
              </w:rPr>
            </w:pPr>
          </w:p>
        </w:tc>
        <w:tc>
          <w:tcPr>
            <w:tcW w:w="2120" w:type="dxa"/>
            <w:vAlign w:val="bottom"/>
            <w:gridSpan w:val="4"/>
          </w:tcPr>
          <w:p>
            <w:pPr>
              <w:jc w:val="right"/>
              <w:ind w:right="353"/>
              <w:spacing w:after="0"/>
              <w:rPr>
                <w:sz w:val="20"/>
                <w:szCs w:val="20"/>
                <w:color w:val="auto"/>
              </w:rPr>
            </w:pPr>
            <w:r>
              <w:rPr>
                <w:rFonts w:ascii="Arial" w:cs="Arial" w:eastAsia="Arial" w:hAnsi="Arial"/>
                <w:sz w:val="17"/>
                <w:szCs w:val="17"/>
                <w:b w:val="1"/>
                <w:bCs w:val="1"/>
                <w:color w:val="auto"/>
              </w:rPr>
              <w:t>Nine Months Ended</w:t>
            </w:r>
          </w:p>
        </w:tc>
      </w:tr>
      <w:tr>
        <w:trPr>
          <w:trHeight w:val="227"/>
        </w:trPr>
        <w:tc>
          <w:tcPr>
            <w:tcW w:w="6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20" w:type="dxa"/>
            <w:vAlign w:val="bottom"/>
            <w:gridSpan w:val="5"/>
          </w:tcPr>
          <w:p>
            <w:pPr>
              <w:ind w:left="420"/>
              <w:spacing w:after="0"/>
              <w:rPr>
                <w:sz w:val="20"/>
                <w:szCs w:val="20"/>
                <w:color w:val="auto"/>
              </w:rPr>
            </w:pPr>
            <w:r>
              <w:rPr>
                <w:rFonts w:ascii="Arial" w:cs="Arial" w:eastAsia="Arial" w:hAnsi="Arial"/>
                <w:sz w:val="17"/>
                <w:szCs w:val="17"/>
                <w:b w:val="1"/>
                <w:bCs w:val="1"/>
                <w:color w:val="auto"/>
              </w:rPr>
              <w:t>September 30,</w:t>
            </w:r>
          </w:p>
        </w:tc>
        <w:tc>
          <w:tcPr>
            <w:tcW w:w="240" w:type="dxa"/>
            <w:vAlign w:val="bottom"/>
          </w:tcPr>
          <w:p>
            <w:pPr>
              <w:spacing w:after="0"/>
              <w:rPr>
                <w:sz w:val="19"/>
                <w:szCs w:val="19"/>
                <w:color w:val="auto"/>
              </w:rPr>
            </w:pPr>
          </w:p>
        </w:tc>
        <w:tc>
          <w:tcPr>
            <w:tcW w:w="2120" w:type="dxa"/>
            <w:vAlign w:val="bottom"/>
            <w:gridSpan w:val="4"/>
          </w:tcPr>
          <w:p>
            <w:pPr>
              <w:jc w:val="right"/>
              <w:ind w:right="553"/>
              <w:spacing w:after="0"/>
              <w:rPr>
                <w:sz w:val="20"/>
                <w:szCs w:val="20"/>
                <w:color w:val="auto"/>
              </w:rPr>
            </w:pPr>
            <w:r>
              <w:rPr>
                <w:rFonts w:ascii="Arial" w:cs="Arial" w:eastAsia="Arial" w:hAnsi="Arial"/>
                <w:sz w:val="17"/>
                <w:szCs w:val="17"/>
                <w:b w:val="1"/>
                <w:bCs w:val="1"/>
                <w:color w:val="auto"/>
              </w:rPr>
              <w:t>September 30,</w:t>
            </w:r>
          </w:p>
        </w:tc>
      </w:tr>
      <w:tr>
        <w:trPr>
          <w:trHeight w:val="26"/>
        </w:trPr>
        <w:tc>
          <w:tcPr>
            <w:tcW w:w="6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8"/>
        </w:trPr>
        <w:tc>
          <w:tcPr>
            <w:tcW w:w="6420" w:type="dxa"/>
            <w:vAlign w:val="bottom"/>
          </w:tcPr>
          <w:p>
            <w:pPr>
              <w:ind w:left="20"/>
              <w:spacing w:after="0"/>
              <w:rPr>
                <w:sz w:val="20"/>
                <w:szCs w:val="20"/>
                <w:color w:val="auto"/>
              </w:rPr>
            </w:pPr>
            <w:r>
              <w:rPr>
                <w:rFonts w:ascii="Arial" w:cs="Arial" w:eastAsia="Arial" w:hAnsi="Arial"/>
                <w:sz w:val="17"/>
                <w:szCs w:val="17"/>
                <w:color w:val="auto"/>
              </w:rPr>
              <w:t>(dollars in thousands)</w:t>
            </w:r>
          </w:p>
        </w:tc>
        <w:tc>
          <w:tcPr>
            <w:tcW w:w="240" w:type="dxa"/>
            <w:vAlign w:val="bottom"/>
          </w:tcPr>
          <w:p>
            <w:pPr>
              <w:spacing w:after="0"/>
              <w:rPr>
                <w:sz w:val="19"/>
                <w:szCs w:val="19"/>
                <w:color w:val="auto"/>
              </w:rPr>
            </w:pPr>
          </w:p>
        </w:tc>
        <w:tc>
          <w:tcPr>
            <w:tcW w:w="900" w:type="dxa"/>
            <w:vAlign w:val="bottom"/>
          </w:tcPr>
          <w:p>
            <w:pPr>
              <w:ind w:left="160"/>
              <w:spacing w:after="0"/>
              <w:rPr>
                <w:sz w:val="20"/>
                <w:szCs w:val="20"/>
                <w:color w:val="auto"/>
              </w:rPr>
            </w:pPr>
            <w:r>
              <w:rPr>
                <w:rFonts w:ascii="Arial" w:cs="Arial" w:eastAsia="Arial" w:hAnsi="Arial"/>
                <w:sz w:val="17"/>
                <w:szCs w:val="17"/>
                <w:b w:val="1"/>
                <w:bCs w:val="1"/>
                <w:color w:val="auto"/>
              </w:rPr>
              <w:t>2023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293"/>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13"/>
              <w:spacing w:after="0"/>
              <w:rPr>
                <w:sz w:val="20"/>
                <w:szCs w:val="20"/>
                <w:color w:val="auto"/>
              </w:rPr>
            </w:pPr>
            <w:r>
              <w:rPr>
                <w:rFonts w:ascii="Arial" w:cs="Arial" w:eastAsia="Arial" w:hAnsi="Arial"/>
                <w:sz w:val="17"/>
                <w:szCs w:val="17"/>
                <w:b w:val="1"/>
                <w:bCs w:val="1"/>
                <w:color w:val="auto"/>
              </w:rPr>
              <w:t>2023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13"/>
              <w:spacing w:after="0"/>
              <w:rPr>
                <w:sz w:val="20"/>
                <w:szCs w:val="20"/>
                <w:color w:val="auto"/>
              </w:rPr>
            </w:pPr>
            <w:r>
              <w:rPr>
                <w:rFonts w:ascii="Arial" w:cs="Arial" w:eastAsia="Arial" w:hAnsi="Arial"/>
                <w:sz w:val="17"/>
                <w:szCs w:val="17"/>
                <w:b w:val="1"/>
                <w:bCs w:val="1"/>
                <w:color w:val="auto"/>
              </w:rPr>
              <w:t>2022</w:t>
            </w:r>
          </w:p>
        </w:tc>
      </w:tr>
      <w:tr>
        <w:trPr>
          <w:trHeight w:val="26"/>
        </w:trPr>
        <w:tc>
          <w:tcPr>
            <w:tcW w:w="6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4"/>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Stock options, restricted stock and performance stock</w:t>
            </w: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4,118</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4,573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10,706</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12,247</w:t>
            </w:r>
          </w:p>
        </w:tc>
      </w:tr>
      <w:tr>
        <w:trPr>
          <w:trHeight w:val="235"/>
        </w:trPr>
        <w:tc>
          <w:tcPr>
            <w:tcW w:w="6420" w:type="dxa"/>
            <w:vAlign w:val="bottom"/>
          </w:tcPr>
          <w:p>
            <w:pPr>
              <w:ind w:left="20"/>
              <w:spacing w:after="0"/>
              <w:rPr>
                <w:sz w:val="20"/>
                <w:szCs w:val="20"/>
                <w:color w:val="auto"/>
              </w:rPr>
            </w:pPr>
            <w:r>
              <w:rPr>
                <w:rFonts w:ascii="Arial" w:cs="Arial" w:eastAsia="Arial" w:hAnsi="Arial"/>
                <w:sz w:val="17"/>
                <w:szCs w:val="17"/>
                <w:color w:val="auto"/>
              </w:rPr>
              <w:t>Employee stock purchase plan</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323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334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1,105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1,088</w:t>
            </w:r>
          </w:p>
        </w:tc>
      </w:tr>
      <w:tr>
        <w:trPr>
          <w:trHeight w:val="26"/>
        </w:trPr>
        <w:tc>
          <w:tcPr>
            <w:tcW w:w="6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79"/>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stock-based compensation expense</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4,441</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4,907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11,811</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13,335</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55"/>
        </w:trPr>
        <w:tc>
          <w:tcPr>
            <w:tcW w:w="6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241"/>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462</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560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1,388</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1,674</w:t>
            </w:r>
          </w:p>
        </w:tc>
      </w:tr>
      <w:tr>
        <w:trPr>
          <w:trHeight w:val="235"/>
        </w:trPr>
        <w:tc>
          <w:tcPr>
            <w:tcW w:w="642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6"/>
        </w:trPr>
        <w:tc>
          <w:tcPr>
            <w:tcW w:w="6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1"/>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Marketing and sales</w:t>
            </w: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962</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929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2,510</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2,479</w:t>
            </w:r>
          </w:p>
        </w:tc>
      </w:tr>
      <w:tr>
        <w:trPr>
          <w:trHeight w:val="235"/>
        </w:trPr>
        <w:tc>
          <w:tcPr>
            <w:tcW w:w="6420" w:type="dxa"/>
            <w:vAlign w:val="bottom"/>
          </w:tcPr>
          <w:p>
            <w:pPr>
              <w:ind w:left="20"/>
              <w:spacing w:after="0"/>
              <w:rPr>
                <w:sz w:val="20"/>
                <w:szCs w:val="20"/>
                <w:color w:val="auto"/>
              </w:rPr>
            </w:pPr>
            <w:r>
              <w:rPr>
                <w:rFonts w:ascii="Arial" w:cs="Arial" w:eastAsia="Arial" w:hAnsi="Arial"/>
                <w:sz w:val="17"/>
                <w:szCs w:val="17"/>
                <w:color w:val="auto"/>
              </w:rPr>
              <w:t>Research and development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674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602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1,887</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1,702</w:t>
            </w:r>
          </w:p>
        </w:tc>
      </w:tr>
      <w:tr>
        <w:trPr>
          <w:trHeight w:val="26"/>
        </w:trPr>
        <w:tc>
          <w:tcPr>
            <w:tcW w:w="6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61"/>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General and administrative</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2,343</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2,816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6,026</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7,480</w:t>
            </w:r>
          </w:p>
        </w:tc>
      </w:tr>
      <w:tr>
        <w:trPr>
          <w:trHeight w:val="254"/>
        </w:trPr>
        <w:tc>
          <w:tcPr>
            <w:tcW w:w="6420" w:type="dxa"/>
            <w:vAlign w:val="bottom"/>
          </w:tcPr>
          <w:p>
            <w:pPr>
              <w:ind w:left="20"/>
              <w:spacing w:after="0"/>
              <w:rPr>
                <w:sz w:val="20"/>
                <w:szCs w:val="20"/>
                <w:color w:val="auto"/>
              </w:rPr>
            </w:pPr>
            <w:r>
              <w:rPr>
                <w:rFonts w:ascii="Arial" w:cs="Arial" w:eastAsia="Arial" w:hAnsi="Arial"/>
                <w:sz w:val="17"/>
                <w:szCs w:val="17"/>
                <w:color w:val="auto"/>
              </w:rPr>
              <w:t>Total stock-based compensation expense</w:t>
            </w:r>
          </w:p>
        </w:tc>
        <w:tc>
          <w:tcPr>
            <w:tcW w:w="24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4,441</w:t>
            </w: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4,907</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11,811</w:t>
            </w: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13,335</w:t>
            </w:r>
          </w:p>
        </w:tc>
      </w:tr>
      <w:tr>
        <w:trPr>
          <w:trHeight w:val="20"/>
        </w:trPr>
        <w:tc>
          <w:tcPr>
            <w:tcW w:w="6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23"/>
        </w:trPr>
        <w:tc>
          <w:tcPr>
            <w:tcW w:w="64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r>
    </w:tbl>
    <w:p>
      <w:pPr>
        <w:spacing w:after="0" w:line="200" w:lineRule="exact"/>
        <w:rPr>
          <w:sz w:val="20"/>
          <w:szCs w:val="20"/>
          <w:color w:val="auto"/>
        </w:rPr>
      </w:pP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69215</wp:posOffset>
            </wp:positionV>
            <wp:extent cx="716216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Three Months Ended September 30, 2023 and 2022</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Revenue by reportable segment and the related changes for the three months ended September 30, 2023 and 2022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7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40" w:type="dxa"/>
            <w:vAlign w:val="bottom"/>
            <w:gridSpan w:val="8"/>
          </w:tcPr>
          <w:p>
            <w:pPr>
              <w:jc w:val="right"/>
              <w:ind w:right="100"/>
              <w:spacing w:after="0"/>
              <w:rPr>
                <w:sz w:val="20"/>
                <w:szCs w:val="20"/>
                <w:color w:val="auto"/>
              </w:rPr>
            </w:pPr>
            <w:r>
              <w:rPr>
                <w:rFonts w:ascii="Arial" w:cs="Arial" w:eastAsia="Arial" w:hAnsi="Arial"/>
                <w:sz w:val="17"/>
                <w:szCs w:val="17"/>
                <w:b w:val="1"/>
                <w:bCs w:val="1"/>
                <w:color w:val="auto"/>
                <w:w w:val="94"/>
              </w:rPr>
              <w:t>Three Months Ended September 30,</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6"/>
        </w:trPr>
        <w:tc>
          <w:tcPr>
            <w:tcW w:w="3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gridSpan w:val="3"/>
          </w:tcPr>
          <w:p>
            <w:pPr>
              <w:spacing w:after="0"/>
              <w:rPr>
                <w:sz w:val="2"/>
                <w:szCs w:val="2"/>
                <w:color w:val="auto"/>
              </w:rPr>
            </w:pPr>
          </w:p>
        </w:tc>
        <w:tc>
          <w:tcPr>
            <w:tcW w:w="820" w:type="dxa"/>
            <w:vAlign w:val="bottom"/>
          </w:tcPr>
          <w:p>
            <w:pPr>
              <w:spacing w:after="0"/>
              <w:rPr>
                <w:sz w:val="2"/>
                <w:szCs w:val="2"/>
                <w:color w:val="auto"/>
              </w:rPr>
            </w:pPr>
          </w:p>
        </w:tc>
      </w:tr>
      <w:tr>
        <w:trPr>
          <w:trHeight w:val="228"/>
        </w:trPr>
        <w:tc>
          <w:tcPr>
            <w:tcW w:w="3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Arial" w:cs="Arial" w:eastAsia="Arial" w:hAnsi="Arial"/>
                <w:sz w:val="17"/>
                <w:szCs w:val="17"/>
                <w:b w:val="1"/>
                <w:bCs w:val="1"/>
                <w:color w:val="auto"/>
              </w:rPr>
              <w:t>2023</w:t>
            </w: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7"/>
                <w:szCs w:val="17"/>
                <w:b w:val="1"/>
                <w:bCs w:val="1"/>
                <w:color w:val="auto"/>
              </w:rPr>
              <w:t>2022</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3"/>
          </w:tcPr>
          <w:p>
            <w:pPr>
              <w:ind w:left="620"/>
              <w:spacing w:after="0"/>
              <w:rPr>
                <w:sz w:val="20"/>
                <w:szCs w:val="20"/>
                <w:color w:val="auto"/>
              </w:rPr>
            </w:pPr>
            <w:r>
              <w:rPr>
                <w:rFonts w:ascii="Arial" w:cs="Arial" w:eastAsia="Arial" w:hAnsi="Arial"/>
                <w:sz w:val="17"/>
                <w:szCs w:val="17"/>
                <w:b w:val="1"/>
                <w:bCs w:val="1"/>
                <w:color w:val="auto"/>
              </w:rPr>
              <w:t>Change</w:t>
            </w:r>
          </w:p>
        </w:tc>
        <w:tc>
          <w:tcPr>
            <w:tcW w:w="820" w:type="dxa"/>
            <w:vAlign w:val="bottom"/>
          </w:tcPr>
          <w:p>
            <w:pPr>
              <w:spacing w:after="0"/>
              <w:rPr>
                <w:sz w:val="19"/>
                <w:szCs w:val="19"/>
                <w:color w:val="auto"/>
              </w:rPr>
            </w:pPr>
          </w:p>
        </w:tc>
      </w:tr>
      <w:tr>
        <w:trPr>
          <w:trHeight w:val="26"/>
        </w:trPr>
        <w:tc>
          <w:tcPr>
            <w:tcW w:w="3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0"/>
        </w:trPr>
        <w:tc>
          <w:tcPr>
            <w:tcW w:w="3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5"/>
              </w:rPr>
              <w:t>% of Total</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5"/>
              </w:rPr>
              <w:t>% of Total</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7"/>
        </w:trPr>
        <w:tc>
          <w:tcPr>
            <w:tcW w:w="3740" w:type="dxa"/>
            <w:vAlign w:val="bottom"/>
          </w:tcPr>
          <w:p>
            <w:pPr>
              <w:ind w:left="20"/>
              <w:spacing w:after="0"/>
              <w:rPr>
                <w:sz w:val="20"/>
                <w:szCs w:val="20"/>
                <w:color w:val="auto"/>
              </w:rPr>
            </w:pPr>
            <w:r>
              <w:rPr>
                <w:rFonts w:ascii="Arial" w:cs="Arial" w:eastAsia="Arial" w:hAnsi="Arial"/>
                <w:sz w:val="17"/>
                <w:szCs w:val="17"/>
                <w:color w:val="auto"/>
              </w:rPr>
              <w:t>(dollars in thousands)</w:t>
            </w:r>
          </w:p>
        </w:tc>
        <w:tc>
          <w:tcPr>
            <w:tcW w:w="280" w:type="dxa"/>
            <w:vAlign w:val="bottom"/>
          </w:tcPr>
          <w:p>
            <w:pPr>
              <w:spacing w:after="0"/>
              <w:rPr>
                <w:sz w:val="19"/>
                <w:szCs w:val="19"/>
                <w:color w:val="auto"/>
              </w:rPr>
            </w:pPr>
          </w:p>
        </w:tc>
        <w:tc>
          <w:tcPr>
            <w:tcW w:w="820" w:type="dxa"/>
            <w:vAlign w:val="bottom"/>
          </w:tcPr>
          <w:p>
            <w:pPr>
              <w:jc w:val="right"/>
              <w:ind w:right="413"/>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0"/>
              </w:rPr>
              <w:t>Revenue</w:t>
            </w:r>
          </w:p>
        </w:tc>
        <w:tc>
          <w:tcPr>
            <w:tcW w:w="300" w:type="dxa"/>
            <w:vAlign w:val="bottom"/>
          </w:tcPr>
          <w:p>
            <w:pPr>
              <w:spacing w:after="0"/>
              <w:rPr>
                <w:sz w:val="19"/>
                <w:szCs w:val="19"/>
                <w:color w:val="auto"/>
              </w:rPr>
            </w:pPr>
          </w:p>
        </w:tc>
        <w:tc>
          <w:tcPr>
            <w:tcW w:w="820" w:type="dxa"/>
            <w:vAlign w:val="bottom"/>
          </w:tcPr>
          <w:p>
            <w:pPr>
              <w:jc w:val="right"/>
              <w:ind w:right="433"/>
              <w:spacing w:after="0"/>
              <w:rPr>
                <w:sz w:val="20"/>
                <w:szCs w:val="20"/>
                <w:color w:val="auto"/>
              </w:rPr>
            </w:pPr>
            <w:r>
              <w:rPr>
                <w:rFonts w:ascii="Arial" w:cs="Arial" w:eastAsia="Arial" w:hAnsi="Arial"/>
                <w:sz w:val="17"/>
                <w:szCs w:val="17"/>
                <w:b w:val="1"/>
                <w:bCs w:val="1"/>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0"/>
              </w:rPr>
              <w:t>Revenue</w:t>
            </w:r>
          </w:p>
        </w:tc>
        <w:tc>
          <w:tcPr>
            <w:tcW w:w="300" w:type="dxa"/>
            <w:vAlign w:val="bottom"/>
          </w:tcPr>
          <w:p>
            <w:pPr>
              <w:spacing w:after="0"/>
              <w:rPr>
                <w:sz w:val="19"/>
                <w:szCs w:val="19"/>
                <w:color w:val="auto"/>
              </w:rPr>
            </w:pPr>
          </w:p>
        </w:tc>
        <w:tc>
          <w:tcPr>
            <w:tcW w:w="800" w:type="dxa"/>
            <w:vAlign w:val="bottom"/>
          </w:tcPr>
          <w:p>
            <w:pPr>
              <w:jc w:val="right"/>
              <w:ind w:right="433"/>
              <w:spacing w:after="0"/>
              <w:rPr>
                <w:sz w:val="20"/>
                <w:szCs w:val="20"/>
                <w:color w:val="auto"/>
              </w:rPr>
            </w:pPr>
            <w:r>
              <w:rPr>
                <w:rFonts w:ascii="Arial" w:cs="Arial" w:eastAsia="Arial" w:hAnsi="Arial"/>
                <w:sz w:val="17"/>
                <w:szCs w:val="17"/>
                <w:b w:val="1"/>
                <w:bCs w:val="1"/>
                <w:color w:val="auto"/>
              </w:rPr>
              <w:t>$</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ind w:right="453"/>
              <w:spacing w:after="0"/>
              <w:rPr>
                <w:sz w:val="20"/>
                <w:szCs w:val="20"/>
                <w:color w:val="auto"/>
              </w:rPr>
            </w:pPr>
            <w:r>
              <w:rPr>
                <w:rFonts w:ascii="Arial" w:cs="Arial" w:eastAsia="Arial" w:hAnsi="Arial"/>
                <w:sz w:val="17"/>
                <w:szCs w:val="17"/>
                <w:b w:val="1"/>
                <w:bCs w:val="1"/>
                <w:color w:val="auto"/>
              </w:rPr>
              <w:t>%</w:t>
            </w:r>
          </w:p>
        </w:tc>
      </w:tr>
      <w:tr>
        <w:trPr>
          <w:trHeight w:val="26"/>
        </w:trPr>
        <w:tc>
          <w:tcPr>
            <w:tcW w:w="3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21"/>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Revenue:</w:t>
            </w:r>
          </w:p>
        </w:tc>
        <w:tc>
          <w:tcPr>
            <w:tcW w:w="2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r>
      <w:tr>
        <w:trPr>
          <w:trHeight w:val="235"/>
        </w:trPr>
        <w:tc>
          <w:tcPr>
            <w:tcW w:w="3740" w:type="dxa"/>
            <w:vAlign w:val="bottom"/>
          </w:tcPr>
          <w:p>
            <w:pPr>
              <w:ind w:left="20"/>
              <w:spacing w:after="0"/>
              <w:rPr>
                <w:sz w:val="20"/>
                <w:szCs w:val="20"/>
                <w:color w:val="auto"/>
              </w:rPr>
            </w:pPr>
            <w:r>
              <w:rPr>
                <w:rFonts w:ascii="Arial" w:cs="Arial" w:eastAsia="Arial" w:hAnsi="Arial"/>
                <w:sz w:val="17"/>
                <w:szCs w:val="17"/>
                <w:color w:val="auto"/>
              </w:rPr>
              <w:t>United States</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103,940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79.5 %</w:t>
            </w:r>
          </w:p>
        </w:tc>
        <w:tc>
          <w:tcPr>
            <w:tcW w:w="80" w:type="dxa"/>
            <w:vAlign w:val="bottom"/>
          </w:tcPr>
          <w:p>
            <w:pPr>
              <w:spacing w:after="0"/>
              <w:rPr>
                <w:sz w:val="20"/>
                <w:szCs w:val="20"/>
                <w:color w:val="auto"/>
              </w:rPr>
            </w:pP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98,970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81.3 %</w:t>
            </w:r>
          </w:p>
        </w:tc>
        <w:tc>
          <w:tcPr>
            <w:tcW w:w="100" w:type="dxa"/>
            <w:vAlign w:val="bottom"/>
          </w:tcPr>
          <w:p>
            <w:pPr>
              <w:spacing w:after="0"/>
              <w:rPr>
                <w:sz w:val="20"/>
                <w:szCs w:val="20"/>
                <w:color w:val="auto"/>
              </w:rPr>
            </w:pP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800" w:type="dxa"/>
            <w:vAlign w:val="bottom"/>
          </w:tcPr>
          <w:p>
            <w:pPr>
              <w:jc w:val="center"/>
              <w:ind w:left="153"/>
              <w:spacing w:after="0"/>
              <w:rPr>
                <w:sz w:val="20"/>
                <w:szCs w:val="20"/>
                <w:color w:val="auto"/>
              </w:rPr>
            </w:pPr>
            <w:r>
              <w:rPr>
                <w:rFonts w:ascii="Arial" w:cs="Arial" w:eastAsia="Arial" w:hAnsi="Arial"/>
                <w:sz w:val="17"/>
                <w:szCs w:val="17"/>
                <w:color w:val="auto"/>
                <w:w w:val="93"/>
              </w:rPr>
              <w:t>4,970</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5.0 %</w:t>
            </w:r>
          </w:p>
        </w:tc>
      </w:tr>
      <w:tr>
        <w:trPr>
          <w:trHeight w:val="26"/>
        </w:trPr>
        <w:tc>
          <w:tcPr>
            <w:tcW w:w="3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1"/>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Europe</w:t>
            </w:r>
          </w:p>
        </w:tc>
        <w:tc>
          <w:tcPr>
            <w:tcW w:w="2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26,765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20.5 %</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21,464</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17.6 %</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center"/>
              <w:ind w:left="153"/>
              <w:spacing w:after="0"/>
              <w:rPr>
                <w:sz w:val="20"/>
                <w:szCs w:val="20"/>
                <w:color w:val="auto"/>
              </w:rPr>
            </w:pPr>
            <w:r>
              <w:rPr>
                <w:rFonts w:ascii="Arial" w:cs="Arial" w:eastAsia="Arial" w:hAnsi="Arial"/>
                <w:sz w:val="17"/>
                <w:szCs w:val="17"/>
                <w:color w:val="auto"/>
                <w:w w:val="93"/>
              </w:rPr>
              <w:t>5,301</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7"/>
                <w:szCs w:val="17"/>
                <w:color w:val="auto"/>
              </w:rPr>
              <w:t>24.7</w:t>
            </w:r>
          </w:p>
        </w:tc>
      </w:tr>
      <w:tr>
        <w:trPr>
          <w:trHeight w:val="235"/>
        </w:trPr>
        <w:tc>
          <w:tcPr>
            <w:tcW w:w="3740" w:type="dxa"/>
            <w:vAlign w:val="bottom"/>
          </w:tcPr>
          <w:p>
            <w:pPr>
              <w:ind w:left="20"/>
              <w:spacing w:after="0"/>
              <w:rPr>
                <w:sz w:val="20"/>
                <w:szCs w:val="20"/>
                <w:color w:val="auto"/>
              </w:rPr>
            </w:pPr>
            <w:r>
              <w:rPr>
                <w:rFonts w:ascii="Arial" w:cs="Arial" w:eastAsia="Arial" w:hAnsi="Arial"/>
                <w:sz w:val="17"/>
                <w:szCs w:val="17"/>
                <w:color w:val="auto"/>
              </w:rPr>
              <w:t>Japan</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 %</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1,287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1.1 %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center"/>
              <w:ind w:left="133"/>
              <w:spacing w:after="0"/>
              <w:rPr>
                <w:sz w:val="20"/>
                <w:szCs w:val="20"/>
                <w:color w:val="auto"/>
              </w:rPr>
            </w:pPr>
            <w:r>
              <w:rPr>
                <w:rFonts w:ascii="Arial" w:cs="Arial" w:eastAsia="Arial" w:hAnsi="Arial"/>
                <w:sz w:val="17"/>
                <w:szCs w:val="17"/>
                <w:color w:val="auto"/>
                <w:w w:val="92"/>
              </w:rPr>
              <w:t>(1,287)</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73"/>
              <w:spacing w:after="0"/>
              <w:rPr>
                <w:sz w:val="20"/>
                <w:szCs w:val="20"/>
                <w:color w:val="auto"/>
              </w:rPr>
            </w:pPr>
            <w:r>
              <w:rPr>
                <w:rFonts w:ascii="Arial" w:cs="Arial" w:eastAsia="Arial" w:hAnsi="Arial"/>
                <w:sz w:val="17"/>
                <w:szCs w:val="17"/>
                <w:color w:val="auto"/>
              </w:rPr>
              <w:t>(100.0)</w:t>
            </w:r>
          </w:p>
        </w:tc>
      </w:tr>
      <w:tr>
        <w:trPr>
          <w:trHeight w:val="26"/>
        </w:trPr>
        <w:tc>
          <w:tcPr>
            <w:tcW w:w="3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79"/>
        </w:trPr>
        <w:tc>
          <w:tcPr>
            <w:tcW w:w="3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Total revenue</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130,705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121,721</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shd w:val="clear" w:color="auto" w:fill="CCEEFF"/>
          </w:tcPr>
          <w:p>
            <w:pPr>
              <w:jc w:val="center"/>
              <w:ind w:left="153"/>
              <w:spacing w:after="0"/>
              <w:rPr>
                <w:sz w:val="20"/>
                <w:szCs w:val="20"/>
                <w:color w:val="auto"/>
              </w:rPr>
            </w:pPr>
            <w:r>
              <w:rPr>
                <w:rFonts w:ascii="Arial" w:cs="Arial" w:eastAsia="Arial" w:hAnsi="Arial"/>
                <w:sz w:val="17"/>
                <w:szCs w:val="17"/>
                <w:color w:val="auto"/>
                <w:w w:val="93"/>
              </w:rPr>
              <w:t>8,984</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7.4 %</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03"/>
        </w:trPr>
        <w:tc>
          <w:tcPr>
            <w:tcW w:w="37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r>
    </w:tbl>
    <w:p>
      <w:pPr>
        <w:spacing w:after="0" w:line="249"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color w:val="auto"/>
        </w:rPr>
        <w:t>Our revenue increased $9.0 million, or 7.4%, for the three months ended September 30, 2023 compared to the same period in 2022. By reportable segment, revenue in the United States increased $5.0 million, or 5.0%, for the three months ended September 30, 2023 compared to the same period in 2022. Revenue in Europe increased $5.3 million, or 24.7%, and revenue in Japan decreased $1.3 million, or 100.0% in each case for the three months ended September 30, 2023 compared to the same period in 2022. The decrease in Japan revenue was driven by our decision in the second quarter of 2022 to close our Japan operations. Revenue generated from our digital network powered by Hubs was $22.6 million and $12.1 million for the three months ended September 30, 2023 and 2022, respectively. International revenue was positively impacted by $1.7 million during three months ended September 30, 2023 compared to the same period in 2022 as a result of foreign currency movements, primarily the strengthening of the British Pound and Euro relative to the United States Dollar.</w:t>
      </w:r>
    </w:p>
    <w:p>
      <w:pPr>
        <w:spacing w:after="0" w:line="144"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color w:val="auto"/>
        </w:rPr>
        <w:t>During the three months ended September 30, 2023, we served 23,080 unique product developers and engineers, which is a decrease of 3.1% from the same period in 2022. Our decline in product developers and engineers served decreased at a higher rate than our revenue growth, resulting in an increase in the average spend per product developer and engineer primarily due to a larger portion of the business shifting to larger orders and improvements in average order values in digital network powered by Hubs.</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color w:val="auto"/>
        </w:rPr>
        <w:t>Revenue by product line and the related changes for the three months ended September 30, 2023 and 2022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7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gridSpan w:val="7"/>
          </w:tcPr>
          <w:p>
            <w:pPr>
              <w:jc w:val="right"/>
              <w:ind w:right="240"/>
              <w:spacing w:after="0"/>
              <w:rPr>
                <w:sz w:val="20"/>
                <w:szCs w:val="20"/>
                <w:color w:val="auto"/>
              </w:rPr>
            </w:pPr>
            <w:r>
              <w:rPr>
                <w:rFonts w:ascii="Arial" w:cs="Arial" w:eastAsia="Arial" w:hAnsi="Arial"/>
                <w:sz w:val="17"/>
                <w:szCs w:val="17"/>
                <w:b w:val="1"/>
                <w:bCs w:val="1"/>
                <w:color w:val="auto"/>
                <w:w w:val="94"/>
              </w:rPr>
              <w:t>Three Months Ended September 30,</w:t>
            </w: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6"/>
        </w:trPr>
        <w:tc>
          <w:tcPr>
            <w:tcW w:w="3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gridSpan w:val="3"/>
          </w:tcPr>
          <w:p>
            <w:pPr>
              <w:spacing w:after="0"/>
              <w:rPr>
                <w:sz w:val="2"/>
                <w:szCs w:val="2"/>
                <w:color w:val="auto"/>
              </w:rPr>
            </w:pPr>
          </w:p>
        </w:tc>
        <w:tc>
          <w:tcPr>
            <w:tcW w:w="880" w:type="dxa"/>
            <w:vAlign w:val="bottom"/>
          </w:tcPr>
          <w:p>
            <w:pPr>
              <w:spacing w:after="0"/>
              <w:rPr>
                <w:sz w:val="2"/>
                <w:szCs w:val="2"/>
                <w:color w:val="auto"/>
              </w:rPr>
            </w:pPr>
          </w:p>
        </w:tc>
      </w:tr>
      <w:tr>
        <w:trPr>
          <w:trHeight w:val="228"/>
        </w:trPr>
        <w:tc>
          <w:tcPr>
            <w:tcW w:w="3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7"/>
                <w:szCs w:val="17"/>
                <w:b w:val="1"/>
                <w:bCs w:val="1"/>
                <w:color w:val="auto"/>
              </w:rPr>
              <w:t>2023</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7"/>
                <w:szCs w:val="17"/>
                <w:b w:val="1"/>
                <w:bCs w:val="1"/>
                <w:color w:val="auto"/>
              </w:rPr>
              <w:t>2022</w:t>
            </w: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gridSpan w:val="3"/>
          </w:tcPr>
          <w:p>
            <w:pPr>
              <w:ind w:left="700"/>
              <w:spacing w:after="0"/>
              <w:rPr>
                <w:sz w:val="20"/>
                <w:szCs w:val="20"/>
                <w:color w:val="auto"/>
              </w:rPr>
            </w:pPr>
            <w:r>
              <w:rPr>
                <w:rFonts w:ascii="Arial" w:cs="Arial" w:eastAsia="Arial" w:hAnsi="Arial"/>
                <w:sz w:val="17"/>
                <w:szCs w:val="17"/>
                <w:b w:val="1"/>
                <w:bCs w:val="1"/>
                <w:color w:val="auto"/>
              </w:rPr>
              <w:t>Change</w:t>
            </w:r>
          </w:p>
        </w:tc>
        <w:tc>
          <w:tcPr>
            <w:tcW w:w="880" w:type="dxa"/>
            <w:vAlign w:val="bottom"/>
          </w:tcPr>
          <w:p>
            <w:pPr>
              <w:spacing w:after="0"/>
              <w:rPr>
                <w:sz w:val="19"/>
                <w:szCs w:val="19"/>
                <w:color w:val="auto"/>
              </w:rPr>
            </w:pPr>
          </w:p>
        </w:tc>
      </w:tr>
      <w:tr>
        <w:trPr>
          <w:trHeight w:val="26"/>
        </w:trPr>
        <w:tc>
          <w:tcPr>
            <w:tcW w:w="3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0"/>
        </w:trPr>
        <w:tc>
          <w:tcPr>
            <w:tcW w:w="3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5"/>
              </w:rPr>
              <w:t>% of Total</w:t>
            </w: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5"/>
              </w:rPr>
              <w:t>% of Total</w:t>
            </w: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7"/>
        </w:trPr>
        <w:tc>
          <w:tcPr>
            <w:tcW w:w="3160" w:type="dxa"/>
            <w:vAlign w:val="bottom"/>
          </w:tcPr>
          <w:p>
            <w:pPr>
              <w:ind w:left="20"/>
              <w:spacing w:after="0"/>
              <w:rPr>
                <w:sz w:val="20"/>
                <w:szCs w:val="20"/>
                <w:color w:val="auto"/>
              </w:rPr>
            </w:pPr>
            <w:r>
              <w:rPr>
                <w:rFonts w:ascii="Arial" w:cs="Arial" w:eastAsia="Arial" w:hAnsi="Arial"/>
                <w:sz w:val="17"/>
                <w:szCs w:val="17"/>
                <w:color w:val="auto"/>
              </w:rPr>
              <w:t>(dollars in thousands)</w:t>
            </w:r>
          </w:p>
        </w:tc>
        <w:tc>
          <w:tcPr>
            <w:tcW w:w="340" w:type="dxa"/>
            <w:vAlign w:val="bottom"/>
          </w:tcPr>
          <w:p>
            <w:pPr>
              <w:spacing w:after="0"/>
              <w:rPr>
                <w:sz w:val="19"/>
                <w:szCs w:val="19"/>
                <w:color w:val="auto"/>
              </w:rPr>
            </w:pPr>
          </w:p>
        </w:tc>
        <w:tc>
          <w:tcPr>
            <w:tcW w:w="860" w:type="dxa"/>
            <w:vAlign w:val="bottom"/>
          </w:tcPr>
          <w:p>
            <w:pPr>
              <w:jc w:val="right"/>
              <w:ind w:right="453"/>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0"/>
              </w:rPr>
              <w:t>Revenue</w:t>
            </w:r>
          </w:p>
        </w:tc>
        <w:tc>
          <w:tcPr>
            <w:tcW w:w="320" w:type="dxa"/>
            <w:vAlign w:val="bottom"/>
          </w:tcPr>
          <w:p>
            <w:pPr>
              <w:spacing w:after="0"/>
              <w:rPr>
                <w:sz w:val="19"/>
                <w:szCs w:val="19"/>
                <w:color w:val="auto"/>
              </w:rPr>
            </w:pPr>
          </w:p>
        </w:tc>
        <w:tc>
          <w:tcPr>
            <w:tcW w:w="880" w:type="dxa"/>
            <w:vAlign w:val="bottom"/>
          </w:tcPr>
          <w:p>
            <w:pPr>
              <w:jc w:val="right"/>
              <w:ind w:right="473"/>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0"/>
              </w:rPr>
              <w:t>Revenue</w:t>
            </w:r>
          </w:p>
        </w:tc>
        <w:tc>
          <w:tcPr>
            <w:tcW w:w="340" w:type="dxa"/>
            <w:vAlign w:val="bottom"/>
          </w:tcPr>
          <w:p>
            <w:pPr>
              <w:spacing w:after="0"/>
              <w:rPr>
                <w:sz w:val="19"/>
                <w:szCs w:val="19"/>
                <w:color w:val="auto"/>
              </w:rPr>
            </w:pPr>
          </w:p>
        </w:tc>
        <w:tc>
          <w:tcPr>
            <w:tcW w:w="860" w:type="dxa"/>
            <w:vAlign w:val="bottom"/>
          </w:tcPr>
          <w:p>
            <w:pPr>
              <w:jc w:val="right"/>
              <w:ind w:right="473"/>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ind w:right="493"/>
              <w:spacing w:after="0"/>
              <w:rPr>
                <w:sz w:val="20"/>
                <w:szCs w:val="20"/>
                <w:color w:val="auto"/>
              </w:rPr>
            </w:pPr>
            <w:r>
              <w:rPr>
                <w:rFonts w:ascii="Arial" w:cs="Arial" w:eastAsia="Arial" w:hAnsi="Arial"/>
                <w:sz w:val="17"/>
                <w:szCs w:val="17"/>
                <w:b w:val="1"/>
                <w:bCs w:val="1"/>
                <w:color w:val="auto"/>
              </w:rPr>
              <w:t>%</w:t>
            </w:r>
          </w:p>
        </w:tc>
      </w:tr>
      <w:tr>
        <w:trPr>
          <w:trHeight w:val="26"/>
        </w:trPr>
        <w:tc>
          <w:tcPr>
            <w:tcW w:w="3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1"/>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Revenue:</w:t>
            </w:r>
          </w:p>
        </w:tc>
        <w:tc>
          <w:tcPr>
            <w:tcW w:w="3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r>
      <w:tr>
        <w:trPr>
          <w:trHeight w:val="235"/>
        </w:trPr>
        <w:tc>
          <w:tcPr>
            <w:tcW w:w="3160" w:type="dxa"/>
            <w:vAlign w:val="bottom"/>
          </w:tcPr>
          <w:p>
            <w:pPr>
              <w:ind w:left="20"/>
              <w:spacing w:after="0"/>
              <w:rPr>
                <w:sz w:val="20"/>
                <w:szCs w:val="20"/>
                <w:color w:val="auto"/>
              </w:rPr>
            </w:pPr>
            <w:r>
              <w:rPr>
                <w:rFonts w:ascii="Arial" w:cs="Arial" w:eastAsia="Arial" w:hAnsi="Arial"/>
                <w:sz w:val="17"/>
                <w:szCs w:val="17"/>
                <w:color w:val="auto"/>
              </w:rPr>
              <w:t>Injection Molding</w:t>
            </w:r>
          </w:p>
        </w:tc>
        <w:tc>
          <w:tcPr>
            <w:tcW w:w="3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51,688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39.6 %</w:t>
            </w:r>
          </w:p>
        </w:tc>
        <w:tc>
          <w:tcPr>
            <w:tcW w:w="100" w:type="dxa"/>
            <w:vAlign w:val="bottom"/>
          </w:tcPr>
          <w:p>
            <w:pPr>
              <w:spacing w:after="0"/>
              <w:rPr>
                <w:sz w:val="20"/>
                <w:szCs w:val="20"/>
                <w:color w:val="auto"/>
              </w:rPr>
            </w:pP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48,940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40.2 %</w:t>
            </w:r>
          </w:p>
        </w:tc>
        <w:tc>
          <w:tcPr>
            <w:tcW w:w="80" w:type="dxa"/>
            <w:vAlign w:val="bottom"/>
          </w:tcPr>
          <w:p>
            <w:pPr>
              <w:spacing w:after="0"/>
              <w:rPr>
                <w:sz w:val="20"/>
                <w:szCs w:val="20"/>
                <w:color w:val="auto"/>
              </w:rPr>
            </w:pPr>
          </w:p>
        </w:tc>
        <w:tc>
          <w:tcPr>
            <w:tcW w:w="3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2,748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5.6 %</w:t>
            </w:r>
          </w:p>
        </w:tc>
      </w:tr>
      <w:tr>
        <w:trPr>
          <w:trHeight w:val="26"/>
        </w:trPr>
        <w:tc>
          <w:tcPr>
            <w:tcW w:w="3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1"/>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CNC Machining</w:t>
            </w: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52,916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7"/>
                <w:szCs w:val="17"/>
                <w:color w:val="auto"/>
              </w:rPr>
              <w:t>40.5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47,489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rPr>
              <w:t>39.0</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5,427</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7"/>
                <w:szCs w:val="17"/>
                <w:color w:val="auto"/>
              </w:rPr>
              <w:t>11.4</w:t>
            </w:r>
          </w:p>
        </w:tc>
      </w:tr>
      <w:tr>
        <w:trPr>
          <w:trHeight w:val="235"/>
        </w:trPr>
        <w:tc>
          <w:tcPr>
            <w:tcW w:w="3160" w:type="dxa"/>
            <w:vAlign w:val="bottom"/>
          </w:tcPr>
          <w:p>
            <w:pPr>
              <w:ind w:left="20"/>
              <w:spacing w:after="0"/>
              <w:rPr>
                <w:sz w:val="20"/>
                <w:szCs w:val="20"/>
                <w:color w:val="auto"/>
              </w:rPr>
            </w:pPr>
            <w:r>
              <w:rPr>
                <w:rFonts w:ascii="Arial" w:cs="Arial" w:eastAsia="Arial" w:hAnsi="Arial"/>
                <w:sz w:val="17"/>
                <w:szCs w:val="17"/>
                <w:color w:val="auto"/>
              </w:rPr>
              <w:t>3D Printing</w:t>
            </w: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21,622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113"/>
              <w:spacing w:after="0"/>
              <w:rPr>
                <w:sz w:val="20"/>
                <w:szCs w:val="20"/>
                <w:color w:val="auto"/>
              </w:rPr>
            </w:pPr>
            <w:r>
              <w:rPr>
                <w:rFonts w:ascii="Arial" w:cs="Arial" w:eastAsia="Arial" w:hAnsi="Arial"/>
                <w:sz w:val="17"/>
                <w:szCs w:val="17"/>
                <w:color w:val="auto"/>
              </w:rPr>
              <w:t>16.5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19,823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133"/>
              <w:spacing w:after="0"/>
              <w:rPr>
                <w:sz w:val="20"/>
                <w:szCs w:val="20"/>
                <w:color w:val="auto"/>
              </w:rPr>
            </w:pPr>
            <w:r>
              <w:rPr>
                <w:rFonts w:ascii="Arial" w:cs="Arial" w:eastAsia="Arial" w:hAnsi="Arial"/>
                <w:sz w:val="17"/>
                <w:szCs w:val="17"/>
                <w:color w:val="auto"/>
              </w:rPr>
              <w:t>16.3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1,799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ind w:right="113"/>
              <w:spacing w:after="0"/>
              <w:rPr>
                <w:sz w:val="20"/>
                <w:szCs w:val="20"/>
                <w:color w:val="auto"/>
              </w:rPr>
            </w:pPr>
            <w:r>
              <w:rPr>
                <w:rFonts w:ascii="Arial" w:cs="Arial" w:eastAsia="Arial" w:hAnsi="Arial"/>
                <w:sz w:val="17"/>
                <w:szCs w:val="17"/>
                <w:color w:val="auto"/>
              </w:rPr>
              <w:t>9.1</w:t>
            </w:r>
          </w:p>
        </w:tc>
      </w:tr>
      <w:tr>
        <w:trPr>
          <w:trHeight w:val="26"/>
        </w:trPr>
        <w:tc>
          <w:tcPr>
            <w:tcW w:w="3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1"/>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Sheet Metal</w:t>
            </w: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4,291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7"/>
                <w:szCs w:val="17"/>
                <w:color w:val="auto"/>
              </w:rPr>
              <w:t>3.3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5,219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rPr>
              <w:t>4.3</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(928)</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(17.8)</w:t>
            </w:r>
          </w:p>
        </w:tc>
      </w:tr>
      <w:tr>
        <w:trPr>
          <w:trHeight w:val="235"/>
        </w:trPr>
        <w:tc>
          <w:tcPr>
            <w:tcW w:w="3160" w:type="dxa"/>
            <w:vAlign w:val="bottom"/>
          </w:tcPr>
          <w:p>
            <w:pPr>
              <w:ind w:left="20"/>
              <w:spacing w:after="0"/>
              <w:rPr>
                <w:sz w:val="20"/>
                <w:szCs w:val="20"/>
                <w:color w:val="auto"/>
              </w:rPr>
            </w:pPr>
            <w:r>
              <w:rPr>
                <w:rFonts w:ascii="Arial" w:cs="Arial" w:eastAsia="Arial" w:hAnsi="Arial"/>
                <w:sz w:val="17"/>
                <w:szCs w:val="17"/>
                <w:color w:val="auto"/>
              </w:rPr>
              <w:t>Other Revenue</w:t>
            </w: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188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113"/>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133"/>
              <w:spacing w:after="0"/>
              <w:rPr>
                <w:sz w:val="20"/>
                <w:szCs w:val="20"/>
                <w:color w:val="auto"/>
              </w:rPr>
            </w:pPr>
            <w:r>
              <w:rPr>
                <w:rFonts w:ascii="Arial" w:cs="Arial" w:eastAsia="Arial" w:hAnsi="Arial"/>
                <w:sz w:val="17"/>
                <w:szCs w:val="17"/>
                <w:color w:val="auto"/>
              </w:rPr>
              <w:t>0.2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ind w:right="73"/>
              <w:spacing w:after="0"/>
              <w:rPr>
                <w:sz w:val="20"/>
                <w:szCs w:val="20"/>
                <w:color w:val="auto"/>
              </w:rPr>
            </w:pPr>
            <w:r>
              <w:rPr>
                <w:rFonts w:ascii="Arial" w:cs="Arial" w:eastAsia="Arial" w:hAnsi="Arial"/>
                <w:sz w:val="17"/>
                <w:szCs w:val="17"/>
                <w:color w:val="auto"/>
              </w:rPr>
              <w:t>(24.8)</w:t>
            </w:r>
          </w:p>
        </w:tc>
      </w:tr>
      <w:tr>
        <w:trPr>
          <w:trHeight w:val="26"/>
        </w:trPr>
        <w:tc>
          <w:tcPr>
            <w:tcW w:w="3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79"/>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Revenue</w:t>
            </w:r>
          </w:p>
        </w:tc>
        <w:tc>
          <w:tcPr>
            <w:tcW w:w="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130,705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121,721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8,984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7.4 %</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103"/>
        </w:trPr>
        <w:tc>
          <w:tcPr>
            <w:tcW w:w="31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r>
    </w:tbl>
    <w:p>
      <w:pPr>
        <w:spacing w:after="0" w:line="249" w:lineRule="exact"/>
        <w:rPr>
          <w:sz w:val="20"/>
          <w:szCs w:val="20"/>
          <w:color w:val="auto"/>
        </w:rPr>
      </w:pPr>
    </w:p>
    <w:p>
      <w:pPr>
        <w:ind w:right="320"/>
        <w:spacing w:after="0" w:line="288" w:lineRule="auto"/>
        <w:rPr>
          <w:sz w:val="20"/>
          <w:szCs w:val="20"/>
          <w:color w:val="auto"/>
        </w:rPr>
      </w:pPr>
      <w:r>
        <w:rPr>
          <w:rFonts w:ascii="Arial" w:cs="Arial" w:eastAsia="Arial" w:hAnsi="Arial"/>
          <w:sz w:val="17"/>
          <w:szCs w:val="17"/>
          <w:color w:val="auto"/>
        </w:rPr>
        <w:t>By product line, our revenue increase was driven by a 11.4% increase in CNC Machining revenue, a 5.6% increase in Injection Molding revenue and a 9.1% increase in 3D Printing revenue, which was partially offset by a 17.8% decrease in</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5"/>
          <w:szCs w:val="15"/>
          <w:color w:val="auto"/>
        </w:rPr>
        <w:t>Sheet Metal revenue and a 24.8% decrease in Other Revenue, in each case for the three months ended September 30, 2023 compared to the same period in 2022.</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 of Revenue, Gross Profit and Gross Margin</w:t>
      </w:r>
    </w:p>
    <w:p>
      <w:pPr>
        <w:spacing w:after="0" w:line="184"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i w:val="1"/>
          <w:iCs w:val="1"/>
          <w:color w:val="auto"/>
        </w:rPr>
        <w:t xml:space="preserve">Cost of Revenue. </w:t>
      </w:r>
      <w:r>
        <w:rPr>
          <w:rFonts w:ascii="Arial" w:cs="Arial" w:eastAsia="Arial" w:hAnsi="Arial"/>
          <w:sz w:val="16"/>
          <w:szCs w:val="16"/>
          <w:color w:val="auto"/>
        </w:rPr>
        <w:t>Cost of revenue increased $3.3 million, or 4.9%, for the three months ended September 30, 2023 compared to the same period in 2022, which</w:t>
      </w:r>
      <w:r>
        <w:rPr>
          <w:rFonts w:ascii="Arial" w:cs="Arial" w:eastAsia="Arial" w:hAnsi="Arial"/>
          <w:sz w:val="16"/>
          <w:szCs w:val="16"/>
          <w:i w:val="1"/>
          <w:iCs w:val="1"/>
          <w:color w:val="auto"/>
        </w:rPr>
        <w:t xml:space="preserve"> </w:t>
      </w:r>
      <w:r>
        <w:rPr>
          <w:rFonts w:ascii="Arial" w:cs="Arial" w:eastAsia="Arial" w:hAnsi="Arial"/>
          <w:sz w:val="16"/>
          <w:szCs w:val="16"/>
          <w:color w:val="auto"/>
        </w:rPr>
        <w:t>was less than the rate of revenue increase of 7.4% for the three months ended September 30, 2023 compared to the same period in 2022. The increase in the cost of revenue of $3.3 million was primarily driven by higher revenue volumes in our digital network offering, partly offset by reductions in contract labor, headcount and overtime leading to lower personnel and related costs of $1.8 million and lower raw material and product costs of $0.9 million in our digital manufacturing factory offering during the three months ended September 30, 2023 compared to the same period in 2022.</w:t>
      </w:r>
    </w:p>
    <w:p>
      <w:pPr>
        <w:spacing w:after="0" w:line="127" w:lineRule="exact"/>
        <w:rPr>
          <w:sz w:val="20"/>
          <w:szCs w:val="20"/>
          <w:color w:val="auto"/>
        </w:rPr>
      </w:pPr>
    </w:p>
    <w:p>
      <w:pPr>
        <w:jc w:val="both"/>
        <w:ind w:right="160"/>
        <w:spacing w:after="0" w:line="272" w:lineRule="auto"/>
        <w:rPr>
          <w:sz w:val="20"/>
          <w:szCs w:val="20"/>
          <w:color w:val="auto"/>
        </w:rPr>
      </w:pPr>
      <w:r>
        <w:rPr>
          <w:rFonts w:ascii="Arial" w:cs="Arial" w:eastAsia="Arial" w:hAnsi="Arial"/>
          <w:sz w:val="17"/>
          <w:szCs w:val="17"/>
          <w:i w:val="1"/>
          <w:iCs w:val="1"/>
          <w:color w:val="auto"/>
        </w:rPr>
        <w:t xml:space="preserve">Gross Profit and Gross Margin. </w:t>
      </w:r>
      <w:r>
        <w:rPr>
          <w:rFonts w:ascii="Arial" w:cs="Arial" w:eastAsia="Arial" w:hAnsi="Arial"/>
          <w:sz w:val="17"/>
          <w:szCs w:val="17"/>
          <w:color w:val="auto"/>
        </w:rPr>
        <w:t>Gross profit increased from $53.6 million in the three months ended September 30, 2022 to $59.3 million in the three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September 30, 2023. Gross margin increased from 44.1% in the three months ended September 30, 2022 to 45.4% in the three months ended September 30, 2023.</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Expenses, Other (Loss) Income, net and Provision for Income Taxes</w:t>
      </w:r>
    </w:p>
    <w:p>
      <w:pPr>
        <w:spacing w:after="0" w:line="184"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i w:val="1"/>
          <w:iCs w:val="1"/>
          <w:color w:val="auto"/>
        </w:rPr>
        <w:t xml:space="preserve">Marketing and Sales. </w:t>
      </w:r>
      <w:r>
        <w:rPr>
          <w:rFonts w:ascii="Arial" w:cs="Arial" w:eastAsia="Arial" w:hAnsi="Arial"/>
          <w:sz w:val="16"/>
          <w:szCs w:val="16"/>
          <w:color w:val="auto"/>
        </w:rPr>
        <w:t>Marketing and sales expenses increased $1.1 million, or 5.3%, during the three months ended September 30, 2023 compared to the same</w:t>
      </w:r>
      <w:r>
        <w:rPr>
          <w:rFonts w:ascii="Arial" w:cs="Arial" w:eastAsia="Arial" w:hAnsi="Arial"/>
          <w:sz w:val="16"/>
          <w:szCs w:val="16"/>
          <w:i w:val="1"/>
          <w:iCs w:val="1"/>
          <w:color w:val="auto"/>
        </w:rPr>
        <w:t xml:space="preserve"> </w:t>
      </w:r>
      <w:r>
        <w:rPr>
          <w:rFonts w:ascii="Arial" w:cs="Arial" w:eastAsia="Arial" w:hAnsi="Arial"/>
          <w:sz w:val="16"/>
          <w:szCs w:val="16"/>
          <w:color w:val="auto"/>
        </w:rPr>
        <w:t>period in 2022. The increase in marketing and sales expenses was primarily driven by increases in personnel and related costs of $1.2 million and marketing program cost decreases of $0.1 million during the three months ended September 30, 2023 when compared to the same period in 2022.</w:t>
      </w:r>
    </w:p>
    <w:p>
      <w:pPr>
        <w:spacing w:after="0" w:line="114"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i w:val="1"/>
          <w:iCs w:val="1"/>
          <w:color w:val="auto"/>
        </w:rPr>
        <w:t xml:space="preserve">Research and Development. </w:t>
      </w:r>
      <w:r>
        <w:rPr>
          <w:rFonts w:ascii="Arial" w:cs="Arial" w:eastAsia="Arial" w:hAnsi="Arial"/>
          <w:sz w:val="17"/>
          <w:szCs w:val="17"/>
          <w:color w:val="auto"/>
        </w:rPr>
        <w:t>Our research and development expenses increased $0.8 million, or 8.6%, during the three months ended September 30, 2023</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same period in 2022 primarily due to increases of $1.1 million in personnel and related costs, which were partially offset by decreases of $0.3 million in professional services and other operating costs.</w:t>
      </w:r>
    </w:p>
    <w:p>
      <w:pPr>
        <w:spacing w:after="0" w:line="146" w:lineRule="exact"/>
        <w:rPr>
          <w:sz w:val="20"/>
          <w:szCs w:val="20"/>
          <w:color w:val="auto"/>
        </w:rPr>
      </w:pPr>
    </w:p>
    <w:p>
      <w:pPr>
        <w:spacing w:after="0" w:line="264" w:lineRule="auto"/>
        <w:rPr>
          <w:sz w:val="20"/>
          <w:szCs w:val="20"/>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Our general and administrative expenses increased $0.6 million, or 3.5%, during the three months ended September 30, 2023</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same period in 2022 primarily due to a $0.5 million reserve for specific receivables deemed to be uncollectible in the current period, an increase of $0.4 million in professional services and operating costs and a benefit of $1.2 million in the prior year resulting from the sale of a facility during the three months ended September 30, 2022. These increases were partially offset by decreases of personnel and related costs of $0.9 million and $0.5 million stock based compensation costs in the current period.</w:t>
      </w:r>
    </w:p>
    <w:p>
      <w:pPr>
        <w:spacing w:after="0" w:line="14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i w:val="1"/>
          <w:iCs w:val="1"/>
          <w:color w:val="auto"/>
        </w:rPr>
        <w:t xml:space="preserve">Closure of Japan business. </w:t>
      </w:r>
      <w:r>
        <w:rPr>
          <w:rFonts w:ascii="Arial" w:cs="Arial" w:eastAsia="Arial" w:hAnsi="Arial"/>
          <w:sz w:val="17"/>
          <w:szCs w:val="17"/>
          <w:color w:val="auto"/>
        </w:rPr>
        <w:t>Our decision to close our Japan business resulted in minimal operating expenses during the three months ended September 30, 2023,</w:t>
      </w:r>
      <w:r>
        <w:rPr>
          <w:rFonts w:ascii="Arial" w:cs="Arial" w:eastAsia="Arial" w:hAnsi="Arial"/>
          <w:sz w:val="17"/>
          <w:szCs w:val="17"/>
          <w:i w:val="1"/>
          <w:iCs w:val="1"/>
          <w:color w:val="auto"/>
        </w:rPr>
        <w:t xml:space="preserve"> </w:t>
      </w:r>
      <w:r>
        <w:rPr>
          <w:rFonts w:ascii="Arial" w:cs="Arial" w:eastAsia="Arial" w:hAnsi="Arial"/>
          <w:sz w:val="17"/>
          <w:szCs w:val="17"/>
          <w:color w:val="auto"/>
        </w:rPr>
        <w:t>a decrease of $1.2 million or 98.2% compared to the same period in 2022. During the three months ended September 30, 2022, we recognized $0.1 million of employee severance and $1.1 million related to the write-down of fixed assets.</w:t>
      </w:r>
    </w:p>
    <w:p>
      <w:pPr>
        <w:spacing w:after="0" w:line="133"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i w:val="1"/>
          <w:iCs w:val="1"/>
          <w:color w:val="auto"/>
        </w:rPr>
        <w:t xml:space="preserve">Other income (loss), net. </w:t>
      </w:r>
      <w:r>
        <w:rPr>
          <w:rFonts w:ascii="Arial" w:cs="Arial" w:eastAsia="Arial" w:hAnsi="Arial"/>
          <w:sz w:val="17"/>
          <w:szCs w:val="17"/>
          <w:color w:val="auto"/>
        </w:rPr>
        <w:t>We recognized other income, net of $0.3 million for the three months ended September 30, 2023, an improvement of $0.3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other loss, net of zero for the three months ended September 30, 2022. Other income, net for the three months ended September 30, 2023 primarily consisted of $0.5 million in interest income on investments and other income, partially offset by $0.2 million of foreign currency losses. Other loss, net for the three months ended September 30, 2022 primarily consisted of a $0.4 million loss on foreign currency, which was offset by $0.4 million in interest income on investments and other income.</w:t>
      </w:r>
    </w:p>
    <w:p>
      <w:pPr>
        <w:spacing w:after="0" w:line="153"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i w:val="1"/>
          <w:iCs w:val="1"/>
          <w:color w:val="auto"/>
        </w:rPr>
        <w:t xml:space="preserve">Provision for Income Taxes. </w:t>
      </w:r>
      <w:r>
        <w:rPr>
          <w:rFonts w:ascii="Arial" w:cs="Arial" w:eastAsia="Arial" w:hAnsi="Arial"/>
          <w:sz w:val="17"/>
          <w:szCs w:val="17"/>
          <w:color w:val="auto"/>
        </w:rPr>
        <w:t>Our effective tax rate of 25.9% for the three months ended September 30, 2023 decreased 8.6% compared to 34.5% for the same</w:t>
      </w:r>
      <w:r>
        <w:rPr>
          <w:rFonts w:ascii="Arial" w:cs="Arial" w:eastAsia="Arial" w:hAnsi="Arial"/>
          <w:sz w:val="17"/>
          <w:szCs w:val="17"/>
          <w:i w:val="1"/>
          <w:iCs w:val="1"/>
          <w:color w:val="auto"/>
        </w:rPr>
        <w:t xml:space="preserve"> </w:t>
      </w:r>
      <w:r>
        <w:rPr>
          <w:rFonts w:ascii="Arial" w:cs="Arial" w:eastAsia="Arial" w:hAnsi="Arial"/>
          <w:sz w:val="17"/>
          <w:szCs w:val="17"/>
          <w:color w:val="auto"/>
        </w:rPr>
        <w:t>period in 2022. The decrease in the effective tax rate is primarily due to a decrease in losses in jurisdictions that are not eligible for tax benefits due to valuation allowances. Our income tax provision of $2.8 million for the three months ended September 30, 2023 increased $0.7 million as compared our income tax provision of $2.1 million to the same period in 2022.</w:t>
      </w: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4" w:name="page25"/>
    <w:bookmarkEnd w:id="2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Nine Months Ended September 30, 2023 and 2022</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Revenue by reportable segment and the related changes for the nine months ended September 30, 2023 and 2022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76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40" w:type="dxa"/>
            <w:vAlign w:val="bottom"/>
            <w:gridSpan w:val="7"/>
          </w:tcPr>
          <w:p>
            <w:pPr>
              <w:jc w:val="right"/>
              <w:ind w:right="140"/>
              <w:spacing w:after="0"/>
              <w:rPr>
                <w:sz w:val="20"/>
                <w:szCs w:val="20"/>
                <w:color w:val="auto"/>
              </w:rPr>
            </w:pPr>
            <w:r>
              <w:rPr>
                <w:rFonts w:ascii="Arial" w:cs="Arial" w:eastAsia="Arial" w:hAnsi="Arial"/>
                <w:sz w:val="17"/>
                <w:szCs w:val="17"/>
                <w:b w:val="1"/>
                <w:bCs w:val="1"/>
                <w:color w:val="auto"/>
                <w:w w:val="92"/>
              </w:rPr>
              <w:t>Nine Months Ended September 30,</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6"/>
        </w:trPr>
        <w:tc>
          <w:tcPr>
            <w:tcW w:w="3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gridSpan w:val="3"/>
          </w:tcPr>
          <w:p>
            <w:pPr>
              <w:spacing w:after="0"/>
              <w:rPr>
                <w:sz w:val="2"/>
                <w:szCs w:val="2"/>
                <w:color w:val="auto"/>
              </w:rPr>
            </w:pPr>
          </w:p>
        </w:tc>
        <w:tc>
          <w:tcPr>
            <w:tcW w:w="820" w:type="dxa"/>
            <w:vAlign w:val="bottom"/>
          </w:tcPr>
          <w:p>
            <w:pPr>
              <w:spacing w:after="0"/>
              <w:rPr>
                <w:sz w:val="2"/>
                <w:szCs w:val="2"/>
                <w:color w:val="auto"/>
              </w:rPr>
            </w:pPr>
          </w:p>
        </w:tc>
      </w:tr>
      <w:tr>
        <w:trPr>
          <w:trHeight w:val="228"/>
        </w:trPr>
        <w:tc>
          <w:tcPr>
            <w:tcW w:w="3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Arial" w:cs="Arial" w:eastAsia="Arial" w:hAnsi="Arial"/>
                <w:sz w:val="17"/>
                <w:szCs w:val="17"/>
                <w:b w:val="1"/>
                <w:bCs w:val="1"/>
                <w:color w:val="auto"/>
              </w:rPr>
              <w:t>2023</w:t>
            </w: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7"/>
                <w:szCs w:val="17"/>
                <w:b w:val="1"/>
                <w:bCs w:val="1"/>
                <w:color w:val="auto"/>
              </w:rPr>
              <w:t>2022</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3"/>
          </w:tcPr>
          <w:p>
            <w:pPr>
              <w:ind w:left="620"/>
              <w:spacing w:after="0"/>
              <w:rPr>
                <w:sz w:val="20"/>
                <w:szCs w:val="20"/>
                <w:color w:val="auto"/>
              </w:rPr>
            </w:pPr>
            <w:r>
              <w:rPr>
                <w:rFonts w:ascii="Arial" w:cs="Arial" w:eastAsia="Arial" w:hAnsi="Arial"/>
                <w:sz w:val="17"/>
                <w:szCs w:val="17"/>
                <w:b w:val="1"/>
                <w:bCs w:val="1"/>
                <w:color w:val="auto"/>
              </w:rPr>
              <w:t>Change</w:t>
            </w:r>
          </w:p>
        </w:tc>
        <w:tc>
          <w:tcPr>
            <w:tcW w:w="820" w:type="dxa"/>
            <w:vAlign w:val="bottom"/>
          </w:tcPr>
          <w:p>
            <w:pPr>
              <w:spacing w:after="0"/>
              <w:rPr>
                <w:sz w:val="19"/>
                <w:szCs w:val="19"/>
                <w:color w:val="auto"/>
              </w:rPr>
            </w:pPr>
          </w:p>
        </w:tc>
      </w:tr>
      <w:tr>
        <w:trPr>
          <w:trHeight w:val="26"/>
        </w:trPr>
        <w:tc>
          <w:tcPr>
            <w:tcW w:w="3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0"/>
        </w:trPr>
        <w:tc>
          <w:tcPr>
            <w:tcW w:w="3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5"/>
              </w:rPr>
              <w:t>% of Total</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5"/>
              </w:rPr>
              <w:t>% of Total</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7"/>
        </w:trPr>
        <w:tc>
          <w:tcPr>
            <w:tcW w:w="3740" w:type="dxa"/>
            <w:vAlign w:val="bottom"/>
          </w:tcPr>
          <w:p>
            <w:pPr>
              <w:ind w:left="20"/>
              <w:spacing w:after="0"/>
              <w:rPr>
                <w:sz w:val="20"/>
                <w:szCs w:val="20"/>
                <w:color w:val="auto"/>
              </w:rPr>
            </w:pPr>
            <w:r>
              <w:rPr>
                <w:rFonts w:ascii="Arial" w:cs="Arial" w:eastAsia="Arial" w:hAnsi="Arial"/>
                <w:sz w:val="17"/>
                <w:szCs w:val="17"/>
                <w:color w:val="auto"/>
              </w:rPr>
              <w:t>(dollars in thousands)</w:t>
            </w:r>
          </w:p>
        </w:tc>
        <w:tc>
          <w:tcPr>
            <w:tcW w:w="280" w:type="dxa"/>
            <w:vAlign w:val="bottom"/>
          </w:tcPr>
          <w:p>
            <w:pPr>
              <w:spacing w:after="0"/>
              <w:rPr>
                <w:sz w:val="19"/>
                <w:szCs w:val="19"/>
                <w:color w:val="auto"/>
              </w:rPr>
            </w:pPr>
          </w:p>
        </w:tc>
        <w:tc>
          <w:tcPr>
            <w:tcW w:w="820" w:type="dxa"/>
            <w:vAlign w:val="bottom"/>
          </w:tcPr>
          <w:p>
            <w:pPr>
              <w:jc w:val="right"/>
              <w:ind w:right="413"/>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0"/>
              </w:rPr>
              <w:t>Revenue</w:t>
            </w:r>
          </w:p>
        </w:tc>
        <w:tc>
          <w:tcPr>
            <w:tcW w:w="300" w:type="dxa"/>
            <w:vAlign w:val="bottom"/>
          </w:tcPr>
          <w:p>
            <w:pPr>
              <w:spacing w:after="0"/>
              <w:rPr>
                <w:sz w:val="19"/>
                <w:szCs w:val="19"/>
                <w:color w:val="auto"/>
              </w:rPr>
            </w:pPr>
          </w:p>
        </w:tc>
        <w:tc>
          <w:tcPr>
            <w:tcW w:w="820" w:type="dxa"/>
            <w:vAlign w:val="bottom"/>
          </w:tcPr>
          <w:p>
            <w:pPr>
              <w:jc w:val="right"/>
              <w:ind w:right="433"/>
              <w:spacing w:after="0"/>
              <w:rPr>
                <w:sz w:val="20"/>
                <w:szCs w:val="20"/>
                <w:color w:val="auto"/>
              </w:rPr>
            </w:pPr>
            <w:r>
              <w:rPr>
                <w:rFonts w:ascii="Arial" w:cs="Arial" w:eastAsia="Arial" w:hAnsi="Arial"/>
                <w:sz w:val="17"/>
                <w:szCs w:val="17"/>
                <w:b w:val="1"/>
                <w:bCs w:val="1"/>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0"/>
              </w:rPr>
              <w:t>Revenue</w:t>
            </w:r>
          </w:p>
        </w:tc>
        <w:tc>
          <w:tcPr>
            <w:tcW w:w="300" w:type="dxa"/>
            <w:vAlign w:val="bottom"/>
          </w:tcPr>
          <w:p>
            <w:pPr>
              <w:spacing w:after="0"/>
              <w:rPr>
                <w:sz w:val="19"/>
                <w:szCs w:val="19"/>
                <w:color w:val="auto"/>
              </w:rPr>
            </w:pPr>
          </w:p>
        </w:tc>
        <w:tc>
          <w:tcPr>
            <w:tcW w:w="800" w:type="dxa"/>
            <w:vAlign w:val="bottom"/>
          </w:tcPr>
          <w:p>
            <w:pPr>
              <w:jc w:val="right"/>
              <w:ind w:right="433"/>
              <w:spacing w:after="0"/>
              <w:rPr>
                <w:sz w:val="20"/>
                <w:szCs w:val="20"/>
                <w:color w:val="auto"/>
              </w:rPr>
            </w:pPr>
            <w:r>
              <w:rPr>
                <w:rFonts w:ascii="Arial" w:cs="Arial" w:eastAsia="Arial" w:hAnsi="Arial"/>
                <w:sz w:val="17"/>
                <w:szCs w:val="17"/>
                <w:b w:val="1"/>
                <w:bCs w:val="1"/>
                <w:color w:val="auto"/>
              </w:rPr>
              <w:t>$</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ind w:right="453"/>
              <w:spacing w:after="0"/>
              <w:rPr>
                <w:sz w:val="20"/>
                <w:szCs w:val="20"/>
                <w:color w:val="auto"/>
              </w:rPr>
            </w:pPr>
            <w:r>
              <w:rPr>
                <w:rFonts w:ascii="Arial" w:cs="Arial" w:eastAsia="Arial" w:hAnsi="Arial"/>
                <w:sz w:val="17"/>
                <w:szCs w:val="17"/>
                <w:b w:val="1"/>
                <w:bCs w:val="1"/>
                <w:color w:val="auto"/>
              </w:rPr>
              <w:t>%</w:t>
            </w:r>
          </w:p>
        </w:tc>
      </w:tr>
      <w:tr>
        <w:trPr>
          <w:trHeight w:val="26"/>
        </w:trPr>
        <w:tc>
          <w:tcPr>
            <w:tcW w:w="3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21"/>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Revenue:</w:t>
            </w:r>
          </w:p>
        </w:tc>
        <w:tc>
          <w:tcPr>
            <w:tcW w:w="2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r>
      <w:tr>
        <w:trPr>
          <w:trHeight w:val="235"/>
        </w:trPr>
        <w:tc>
          <w:tcPr>
            <w:tcW w:w="3740" w:type="dxa"/>
            <w:vAlign w:val="bottom"/>
          </w:tcPr>
          <w:p>
            <w:pPr>
              <w:ind w:left="20"/>
              <w:spacing w:after="0"/>
              <w:rPr>
                <w:sz w:val="20"/>
                <w:szCs w:val="20"/>
                <w:color w:val="auto"/>
              </w:rPr>
            </w:pPr>
            <w:r>
              <w:rPr>
                <w:rFonts w:ascii="Arial" w:cs="Arial" w:eastAsia="Arial" w:hAnsi="Arial"/>
                <w:sz w:val="17"/>
                <w:szCs w:val="17"/>
                <w:color w:val="auto"/>
              </w:rPr>
              <w:t>United States</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298,007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78.7 %</w:t>
            </w:r>
          </w:p>
        </w:tc>
        <w:tc>
          <w:tcPr>
            <w:tcW w:w="80" w:type="dxa"/>
            <w:vAlign w:val="bottom"/>
          </w:tcPr>
          <w:p>
            <w:pPr>
              <w:spacing w:after="0"/>
              <w:rPr>
                <w:sz w:val="20"/>
                <w:szCs w:val="20"/>
                <w:color w:val="auto"/>
              </w:rPr>
            </w:pP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295,121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79.2 %</w:t>
            </w:r>
          </w:p>
        </w:tc>
        <w:tc>
          <w:tcPr>
            <w:tcW w:w="100" w:type="dxa"/>
            <w:vAlign w:val="bottom"/>
          </w:tcPr>
          <w:p>
            <w:pPr>
              <w:spacing w:after="0"/>
              <w:rPr>
                <w:sz w:val="20"/>
                <w:szCs w:val="20"/>
                <w:color w:val="auto"/>
              </w:rPr>
            </w:pP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2,886</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1.0 %</w:t>
            </w:r>
          </w:p>
        </w:tc>
      </w:tr>
      <w:tr>
        <w:trPr>
          <w:trHeight w:val="26"/>
        </w:trPr>
        <w:tc>
          <w:tcPr>
            <w:tcW w:w="3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1"/>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Europe</w:t>
            </w:r>
          </w:p>
        </w:tc>
        <w:tc>
          <w:tcPr>
            <w:tcW w:w="2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80,822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21.3 %</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69,441</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18.6 %</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11,381</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7"/>
                <w:szCs w:val="17"/>
                <w:color w:val="auto"/>
              </w:rPr>
              <w:t>16.4</w:t>
            </w:r>
          </w:p>
        </w:tc>
      </w:tr>
      <w:tr>
        <w:trPr>
          <w:trHeight w:val="235"/>
        </w:trPr>
        <w:tc>
          <w:tcPr>
            <w:tcW w:w="3740" w:type="dxa"/>
            <w:vAlign w:val="bottom"/>
          </w:tcPr>
          <w:p>
            <w:pPr>
              <w:ind w:left="20"/>
              <w:spacing w:after="0"/>
              <w:rPr>
                <w:sz w:val="20"/>
                <w:szCs w:val="20"/>
                <w:color w:val="auto"/>
              </w:rPr>
            </w:pPr>
            <w:r>
              <w:rPr>
                <w:rFonts w:ascii="Arial" w:cs="Arial" w:eastAsia="Arial" w:hAnsi="Arial"/>
                <w:sz w:val="17"/>
                <w:szCs w:val="17"/>
                <w:color w:val="auto"/>
              </w:rPr>
              <w:t>Japan</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 %</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8,229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2.2 %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(8,229)</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73"/>
              <w:spacing w:after="0"/>
              <w:rPr>
                <w:sz w:val="20"/>
                <w:szCs w:val="20"/>
                <w:color w:val="auto"/>
              </w:rPr>
            </w:pPr>
            <w:r>
              <w:rPr>
                <w:rFonts w:ascii="Arial" w:cs="Arial" w:eastAsia="Arial" w:hAnsi="Arial"/>
                <w:sz w:val="17"/>
                <w:szCs w:val="17"/>
                <w:color w:val="auto"/>
              </w:rPr>
              <w:t>(100.0)</w:t>
            </w:r>
          </w:p>
        </w:tc>
      </w:tr>
      <w:tr>
        <w:trPr>
          <w:trHeight w:val="26"/>
        </w:trPr>
        <w:tc>
          <w:tcPr>
            <w:tcW w:w="3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79"/>
        </w:trPr>
        <w:tc>
          <w:tcPr>
            <w:tcW w:w="3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Total revenue</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378,829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372,791</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6,038</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1.6 %</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03"/>
        </w:trPr>
        <w:tc>
          <w:tcPr>
            <w:tcW w:w="37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r>
    </w:tbl>
    <w:p>
      <w:pPr>
        <w:spacing w:after="0" w:line="171"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color w:val="auto"/>
        </w:rPr>
        <w:t>Our revenue increased $6.0 million, or 1.6%, for the nine months ended September 30, 2023 compared to the same period in 2022. By reportable segment, revenue in the United States increased $2.9 million, or 1.0%, for the nine months ended September 30, 2023 compared to the same period in 2022. Revenue in Europe increased $11.4 million, or 16.4%, and revenue in Japan decreased $8.2 million, or 100.0% in each case for the nine months ended September 30, 2023 compared to the same period in 2022. The decrease in Japan revenue was driven by our decision in the second quarter of 2022 to close our Japan operations. Revenue generated from our digital network powered by Hubs was $60.1 million and $33.7 million for the nine months ended September 30, 2023 and 2022, respectively. International revenue was negatively impacted by $1.3 million during nine months ended September 30, 2023 compared to the same period in 2022 as a result of foreign currency movements, primarily the weakening of the British Pound and Euro relative to the United States Dollar.</w:t>
      </w:r>
    </w:p>
    <w:p>
      <w:pPr>
        <w:spacing w:after="0" w:line="131"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During the nine months ended September 30, 2023, we served 45,668 unique product developers and engineers, a decrease of 4.4% from the same period in 2022. Our decrease in product developers and engineers served decreased at a higher rate than our revenue growth, resulting in an increase in the average spend per product developer and engineer primarily due to a larger portion of the business shifting to larger orders and improvements in average order values in digital network powered by Hubs.</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color w:val="auto"/>
        </w:rPr>
        <w:t>Revenue by product line and the related changes for the nine months ended September 30, 2023 and 2022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71367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gridSpan w:val="7"/>
          </w:tcPr>
          <w:p>
            <w:pPr>
              <w:jc w:val="right"/>
              <w:ind w:right="280"/>
              <w:spacing w:after="0"/>
              <w:rPr>
                <w:sz w:val="20"/>
                <w:szCs w:val="20"/>
                <w:color w:val="auto"/>
              </w:rPr>
            </w:pPr>
            <w:r>
              <w:rPr>
                <w:rFonts w:ascii="Arial" w:cs="Arial" w:eastAsia="Arial" w:hAnsi="Arial"/>
                <w:sz w:val="17"/>
                <w:szCs w:val="17"/>
                <w:b w:val="1"/>
                <w:bCs w:val="1"/>
                <w:color w:val="auto"/>
                <w:w w:val="95"/>
              </w:rPr>
              <w:t>Nine Months Ended September 30,</w:t>
            </w: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6"/>
        </w:trPr>
        <w:tc>
          <w:tcPr>
            <w:tcW w:w="3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gridSpan w:val="3"/>
          </w:tcPr>
          <w:p>
            <w:pPr>
              <w:spacing w:after="0"/>
              <w:rPr>
                <w:sz w:val="2"/>
                <w:szCs w:val="2"/>
                <w:color w:val="auto"/>
              </w:rPr>
            </w:pPr>
          </w:p>
        </w:tc>
        <w:tc>
          <w:tcPr>
            <w:tcW w:w="880" w:type="dxa"/>
            <w:vAlign w:val="bottom"/>
          </w:tcPr>
          <w:p>
            <w:pPr>
              <w:spacing w:after="0"/>
              <w:rPr>
                <w:sz w:val="2"/>
                <w:szCs w:val="2"/>
                <w:color w:val="auto"/>
              </w:rPr>
            </w:pPr>
          </w:p>
        </w:tc>
      </w:tr>
      <w:tr>
        <w:trPr>
          <w:trHeight w:val="228"/>
        </w:trPr>
        <w:tc>
          <w:tcPr>
            <w:tcW w:w="3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7"/>
                <w:szCs w:val="17"/>
                <w:b w:val="1"/>
                <w:bCs w:val="1"/>
                <w:color w:val="auto"/>
              </w:rPr>
              <w:t>2023</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7"/>
                <w:szCs w:val="17"/>
                <w:b w:val="1"/>
                <w:bCs w:val="1"/>
                <w:color w:val="auto"/>
              </w:rPr>
              <w:t>2022</w:t>
            </w: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gridSpan w:val="3"/>
          </w:tcPr>
          <w:p>
            <w:pPr>
              <w:ind w:left="700"/>
              <w:spacing w:after="0"/>
              <w:rPr>
                <w:sz w:val="20"/>
                <w:szCs w:val="20"/>
                <w:color w:val="auto"/>
              </w:rPr>
            </w:pPr>
            <w:r>
              <w:rPr>
                <w:rFonts w:ascii="Arial" w:cs="Arial" w:eastAsia="Arial" w:hAnsi="Arial"/>
                <w:sz w:val="17"/>
                <w:szCs w:val="17"/>
                <w:b w:val="1"/>
                <w:bCs w:val="1"/>
                <w:color w:val="auto"/>
              </w:rPr>
              <w:t>Change</w:t>
            </w:r>
          </w:p>
        </w:tc>
        <w:tc>
          <w:tcPr>
            <w:tcW w:w="880" w:type="dxa"/>
            <w:vAlign w:val="bottom"/>
          </w:tcPr>
          <w:p>
            <w:pPr>
              <w:spacing w:after="0"/>
              <w:rPr>
                <w:sz w:val="19"/>
                <w:szCs w:val="19"/>
                <w:color w:val="auto"/>
              </w:rPr>
            </w:pPr>
          </w:p>
        </w:tc>
      </w:tr>
      <w:tr>
        <w:trPr>
          <w:trHeight w:val="26"/>
        </w:trPr>
        <w:tc>
          <w:tcPr>
            <w:tcW w:w="3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0"/>
        </w:trPr>
        <w:tc>
          <w:tcPr>
            <w:tcW w:w="3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5"/>
              </w:rPr>
              <w:t>% of Total</w:t>
            </w: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5"/>
              </w:rPr>
              <w:t>% of Total</w:t>
            </w: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7"/>
        </w:trPr>
        <w:tc>
          <w:tcPr>
            <w:tcW w:w="3160" w:type="dxa"/>
            <w:vAlign w:val="bottom"/>
          </w:tcPr>
          <w:p>
            <w:pPr>
              <w:ind w:left="20"/>
              <w:spacing w:after="0"/>
              <w:rPr>
                <w:sz w:val="20"/>
                <w:szCs w:val="20"/>
                <w:color w:val="auto"/>
              </w:rPr>
            </w:pPr>
            <w:r>
              <w:rPr>
                <w:rFonts w:ascii="Arial" w:cs="Arial" w:eastAsia="Arial" w:hAnsi="Arial"/>
                <w:sz w:val="17"/>
                <w:szCs w:val="17"/>
                <w:color w:val="auto"/>
              </w:rPr>
              <w:t>(dollars in thousands)</w:t>
            </w:r>
          </w:p>
        </w:tc>
        <w:tc>
          <w:tcPr>
            <w:tcW w:w="340" w:type="dxa"/>
            <w:vAlign w:val="bottom"/>
          </w:tcPr>
          <w:p>
            <w:pPr>
              <w:spacing w:after="0"/>
              <w:rPr>
                <w:sz w:val="19"/>
                <w:szCs w:val="19"/>
                <w:color w:val="auto"/>
              </w:rPr>
            </w:pPr>
          </w:p>
        </w:tc>
        <w:tc>
          <w:tcPr>
            <w:tcW w:w="860" w:type="dxa"/>
            <w:vAlign w:val="bottom"/>
          </w:tcPr>
          <w:p>
            <w:pPr>
              <w:jc w:val="right"/>
              <w:ind w:right="453"/>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0"/>
              </w:rPr>
              <w:t>Revenue</w:t>
            </w:r>
          </w:p>
        </w:tc>
        <w:tc>
          <w:tcPr>
            <w:tcW w:w="320" w:type="dxa"/>
            <w:vAlign w:val="bottom"/>
          </w:tcPr>
          <w:p>
            <w:pPr>
              <w:spacing w:after="0"/>
              <w:rPr>
                <w:sz w:val="19"/>
                <w:szCs w:val="19"/>
                <w:color w:val="auto"/>
              </w:rPr>
            </w:pPr>
          </w:p>
        </w:tc>
        <w:tc>
          <w:tcPr>
            <w:tcW w:w="880" w:type="dxa"/>
            <w:vAlign w:val="bottom"/>
          </w:tcPr>
          <w:p>
            <w:pPr>
              <w:jc w:val="right"/>
              <w:ind w:right="473"/>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0"/>
              </w:rPr>
              <w:t>Revenue</w:t>
            </w:r>
          </w:p>
        </w:tc>
        <w:tc>
          <w:tcPr>
            <w:tcW w:w="340" w:type="dxa"/>
            <w:vAlign w:val="bottom"/>
          </w:tcPr>
          <w:p>
            <w:pPr>
              <w:spacing w:after="0"/>
              <w:rPr>
                <w:sz w:val="19"/>
                <w:szCs w:val="19"/>
                <w:color w:val="auto"/>
              </w:rPr>
            </w:pPr>
          </w:p>
        </w:tc>
        <w:tc>
          <w:tcPr>
            <w:tcW w:w="860" w:type="dxa"/>
            <w:vAlign w:val="bottom"/>
          </w:tcPr>
          <w:p>
            <w:pPr>
              <w:jc w:val="right"/>
              <w:ind w:right="473"/>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ind w:right="493"/>
              <w:spacing w:after="0"/>
              <w:rPr>
                <w:sz w:val="20"/>
                <w:szCs w:val="20"/>
                <w:color w:val="auto"/>
              </w:rPr>
            </w:pPr>
            <w:r>
              <w:rPr>
                <w:rFonts w:ascii="Arial" w:cs="Arial" w:eastAsia="Arial" w:hAnsi="Arial"/>
                <w:sz w:val="17"/>
                <w:szCs w:val="17"/>
                <w:b w:val="1"/>
                <w:bCs w:val="1"/>
                <w:color w:val="auto"/>
              </w:rPr>
              <w:t>%</w:t>
            </w:r>
          </w:p>
        </w:tc>
      </w:tr>
      <w:tr>
        <w:trPr>
          <w:trHeight w:val="26"/>
        </w:trPr>
        <w:tc>
          <w:tcPr>
            <w:tcW w:w="3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1"/>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Revenue:</w:t>
            </w:r>
          </w:p>
        </w:tc>
        <w:tc>
          <w:tcPr>
            <w:tcW w:w="3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r>
      <w:tr>
        <w:trPr>
          <w:trHeight w:val="235"/>
        </w:trPr>
        <w:tc>
          <w:tcPr>
            <w:tcW w:w="3160" w:type="dxa"/>
            <w:vAlign w:val="bottom"/>
          </w:tcPr>
          <w:p>
            <w:pPr>
              <w:ind w:left="20"/>
              <w:spacing w:after="0"/>
              <w:rPr>
                <w:sz w:val="20"/>
                <w:szCs w:val="20"/>
                <w:color w:val="auto"/>
              </w:rPr>
            </w:pPr>
            <w:r>
              <w:rPr>
                <w:rFonts w:ascii="Arial" w:cs="Arial" w:eastAsia="Arial" w:hAnsi="Arial"/>
                <w:sz w:val="17"/>
                <w:szCs w:val="17"/>
                <w:color w:val="auto"/>
              </w:rPr>
              <w:t>Injection Molding</w:t>
            </w:r>
          </w:p>
        </w:tc>
        <w:tc>
          <w:tcPr>
            <w:tcW w:w="3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152,455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40.2 %</w:t>
            </w:r>
          </w:p>
        </w:tc>
        <w:tc>
          <w:tcPr>
            <w:tcW w:w="100" w:type="dxa"/>
            <w:vAlign w:val="bottom"/>
          </w:tcPr>
          <w:p>
            <w:pPr>
              <w:spacing w:after="0"/>
              <w:rPr>
                <w:sz w:val="20"/>
                <w:szCs w:val="20"/>
                <w:color w:val="auto"/>
              </w:rPr>
            </w:pP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155,693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41.8 %</w:t>
            </w:r>
          </w:p>
        </w:tc>
        <w:tc>
          <w:tcPr>
            <w:tcW w:w="80" w:type="dxa"/>
            <w:vAlign w:val="bottom"/>
          </w:tcPr>
          <w:p>
            <w:pPr>
              <w:spacing w:after="0"/>
              <w:rPr>
                <w:sz w:val="20"/>
                <w:szCs w:val="20"/>
                <w:color w:val="auto"/>
              </w:rPr>
            </w:pPr>
          </w:p>
        </w:tc>
        <w:tc>
          <w:tcPr>
            <w:tcW w:w="3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(3,238)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6"/>
        </w:trPr>
        <w:tc>
          <w:tcPr>
            <w:tcW w:w="3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1"/>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CNC Machining</w:t>
            </w: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149,317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7"/>
                <w:szCs w:val="17"/>
                <w:color w:val="auto"/>
              </w:rPr>
              <w:t>39.4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141,809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rPr>
              <w:t>38.0</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7,508</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7"/>
                <w:szCs w:val="17"/>
                <w:color w:val="auto"/>
              </w:rPr>
              <w:t>5.3</w:t>
            </w:r>
          </w:p>
        </w:tc>
      </w:tr>
      <w:tr>
        <w:trPr>
          <w:trHeight w:val="235"/>
        </w:trPr>
        <w:tc>
          <w:tcPr>
            <w:tcW w:w="3160" w:type="dxa"/>
            <w:vAlign w:val="bottom"/>
          </w:tcPr>
          <w:p>
            <w:pPr>
              <w:ind w:left="20"/>
              <w:spacing w:after="0"/>
              <w:rPr>
                <w:sz w:val="20"/>
                <w:szCs w:val="20"/>
                <w:color w:val="auto"/>
              </w:rPr>
            </w:pPr>
            <w:r>
              <w:rPr>
                <w:rFonts w:ascii="Arial" w:cs="Arial" w:eastAsia="Arial" w:hAnsi="Arial"/>
                <w:sz w:val="17"/>
                <w:szCs w:val="17"/>
                <w:color w:val="auto"/>
              </w:rPr>
              <w:t>3D Printing</w:t>
            </w: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63,952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113"/>
              <w:spacing w:after="0"/>
              <w:rPr>
                <w:sz w:val="20"/>
                <w:szCs w:val="20"/>
                <w:color w:val="auto"/>
              </w:rPr>
            </w:pPr>
            <w:r>
              <w:rPr>
                <w:rFonts w:ascii="Arial" w:cs="Arial" w:eastAsia="Arial" w:hAnsi="Arial"/>
                <w:sz w:val="17"/>
                <w:szCs w:val="17"/>
                <w:color w:val="auto"/>
              </w:rPr>
              <w:t>16.9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59,458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133"/>
              <w:spacing w:after="0"/>
              <w:rPr>
                <w:sz w:val="20"/>
                <w:szCs w:val="20"/>
                <w:color w:val="auto"/>
              </w:rPr>
            </w:pPr>
            <w:r>
              <w:rPr>
                <w:rFonts w:ascii="Arial" w:cs="Arial" w:eastAsia="Arial" w:hAnsi="Arial"/>
                <w:sz w:val="17"/>
                <w:szCs w:val="17"/>
                <w:color w:val="auto"/>
              </w:rPr>
              <w:t>16.0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4,494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ind w:left="460"/>
              <w:spacing w:after="0"/>
              <w:rPr>
                <w:sz w:val="20"/>
                <w:szCs w:val="20"/>
                <w:color w:val="auto"/>
              </w:rPr>
            </w:pPr>
            <w:r>
              <w:rPr>
                <w:rFonts w:ascii="Arial" w:cs="Arial" w:eastAsia="Arial" w:hAnsi="Arial"/>
                <w:sz w:val="17"/>
                <w:szCs w:val="17"/>
                <w:color w:val="auto"/>
              </w:rPr>
              <w:t>7.6</w:t>
            </w:r>
          </w:p>
        </w:tc>
      </w:tr>
      <w:tr>
        <w:trPr>
          <w:trHeight w:val="26"/>
        </w:trPr>
        <w:tc>
          <w:tcPr>
            <w:tcW w:w="3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1"/>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Sheet Metal</w:t>
            </w: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12,478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7"/>
                <w:szCs w:val="17"/>
                <w:color w:val="auto"/>
              </w:rPr>
              <w:t>3.3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15,066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rPr>
              <w:t>4.0</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(2,588)</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(17.2)</w:t>
            </w:r>
          </w:p>
        </w:tc>
      </w:tr>
      <w:tr>
        <w:trPr>
          <w:trHeight w:val="235"/>
        </w:trPr>
        <w:tc>
          <w:tcPr>
            <w:tcW w:w="3160" w:type="dxa"/>
            <w:vAlign w:val="bottom"/>
          </w:tcPr>
          <w:p>
            <w:pPr>
              <w:ind w:left="20"/>
              <w:spacing w:after="0"/>
              <w:rPr>
                <w:sz w:val="20"/>
                <w:szCs w:val="20"/>
                <w:color w:val="auto"/>
              </w:rPr>
            </w:pPr>
            <w:r>
              <w:rPr>
                <w:rFonts w:ascii="Arial" w:cs="Arial" w:eastAsia="Arial" w:hAnsi="Arial"/>
                <w:sz w:val="17"/>
                <w:szCs w:val="17"/>
                <w:color w:val="auto"/>
              </w:rPr>
              <w:t>Other Revenue</w:t>
            </w: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627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113"/>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765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133"/>
              <w:spacing w:after="0"/>
              <w:rPr>
                <w:sz w:val="20"/>
                <w:szCs w:val="20"/>
                <w:color w:val="auto"/>
              </w:rPr>
            </w:pPr>
            <w:r>
              <w:rPr>
                <w:rFonts w:ascii="Arial" w:cs="Arial" w:eastAsia="Arial" w:hAnsi="Arial"/>
                <w:sz w:val="17"/>
                <w:szCs w:val="17"/>
                <w:color w:val="auto"/>
              </w:rPr>
              <w:t>0.2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(138)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ind w:right="73"/>
              <w:spacing w:after="0"/>
              <w:rPr>
                <w:sz w:val="20"/>
                <w:szCs w:val="20"/>
                <w:color w:val="auto"/>
              </w:rPr>
            </w:pPr>
            <w:r>
              <w:rPr>
                <w:rFonts w:ascii="Arial" w:cs="Arial" w:eastAsia="Arial" w:hAnsi="Arial"/>
                <w:sz w:val="17"/>
                <w:szCs w:val="17"/>
                <w:color w:val="auto"/>
              </w:rPr>
              <w:t>(18.0)</w:t>
            </w:r>
          </w:p>
        </w:tc>
      </w:tr>
      <w:tr>
        <w:trPr>
          <w:trHeight w:val="26"/>
        </w:trPr>
        <w:tc>
          <w:tcPr>
            <w:tcW w:w="3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79"/>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Revenue</w:t>
            </w:r>
          </w:p>
        </w:tc>
        <w:tc>
          <w:tcPr>
            <w:tcW w:w="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378,829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372,791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6,038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7"/>
                <w:szCs w:val="17"/>
                <w:color w:val="auto"/>
                <w:w w:val="91"/>
              </w:rPr>
              <w:t>1.6 %</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103"/>
        </w:trPr>
        <w:tc>
          <w:tcPr>
            <w:tcW w:w="31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r>
    </w:tbl>
    <w:p>
      <w:pPr>
        <w:spacing w:after="0" w:line="15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By product line, our revenue increase was driven by a 5.3% increase in CNC Machining revenue and a 7.6% increase in 3D Printing revenue, which was partially offset by a 2.1% decrease in Injection Molding revenue, a 17.2% decrease in Sheet Metal revenue and a 18.0% decrease in Other Revenue in each case for the nine months ended September 30, 2023 compared to the same period in 2022.</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 of Revenue, Gross Profit and Gross Margin</w:t>
      </w:r>
    </w:p>
    <w:p>
      <w:pPr>
        <w:spacing w:after="0" w:line="197" w:lineRule="exact"/>
        <w:rPr>
          <w:sz w:val="20"/>
          <w:szCs w:val="20"/>
          <w:color w:val="auto"/>
        </w:rPr>
      </w:pPr>
    </w:p>
    <w:p>
      <w:pPr>
        <w:ind w:right="180"/>
        <w:spacing w:after="0" w:line="284" w:lineRule="auto"/>
        <w:rPr>
          <w:sz w:val="20"/>
          <w:szCs w:val="20"/>
          <w:color w:val="auto"/>
        </w:rPr>
      </w:pPr>
      <w:r>
        <w:rPr>
          <w:rFonts w:ascii="Arial" w:cs="Arial" w:eastAsia="Arial" w:hAnsi="Arial"/>
          <w:sz w:val="16"/>
          <w:szCs w:val="16"/>
          <w:i w:val="1"/>
          <w:iCs w:val="1"/>
          <w:color w:val="auto"/>
        </w:rPr>
        <w:t xml:space="preserve">Cost of Revenue. </w:t>
      </w:r>
      <w:r>
        <w:rPr>
          <w:rFonts w:ascii="Arial" w:cs="Arial" w:eastAsia="Arial" w:hAnsi="Arial"/>
          <w:sz w:val="16"/>
          <w:szCs w:val="16"/>
          <w:color w:val="auto"/>
        </w:rPr>
        <w:t>Cost of revenue increased $6.7 million, or 3.3%, for the nine months ended September 30, 2023 compared to the same period in 2022, which</w:t>
      </w:r>
      <w:r>
        <w:rPr>
          <w:rFonts w:ascii="Arial" w:cs="Arial" w:eastAsia="Arial" w:hAnsi="Arial"/>
          <w:sz w:val="16"/>
          <w:szCs w:val="16"/>
          <w:i w:val="1"/>
          <w:iCs w:val="1"/>
          <w:color w:val="auto"/>
        </w:rPr>
        <w:t xml:space="preserve"> </w:t>
      </w:r>
      <w:r>
        <w:rPr>
          <w:rFonts w:ascii="Arial" w:cs="Arial" w:eastAsia="Arial" w:hAnsi="Arial"/>
          <w:sz w:val="16"/>
          <w:szCs w:val="16"/>
          <w:color w:val="auto"/>
        </w:rPr>
        <w:t>was higher than the rate of revenue increase of 1.6% for the nine months ended September 30, 2023 compared to the same period in 2022. The increase in cost of revenue of $6.7 million was primarily driven by higher revenue volumes in our digital network offering, partly offset by reductions in contract labor, headcount and overtime leading to lower personnel and related costs of $7.9 million and lower raw material and product costs of $2.7 million in our digital manufacturing factory offering during the nine months ended September 30, 2023 compared to the same period in 2022.</w:t>
      </w:r>
    </w:p>
    <w:p>
      <w:pPr>
        <w:spacing w:after="0" w:line="127"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i w:val="1"/>
          <w:iCs w:val="1"/>
          <w:color w:val="auto"/>
        </w:rPr>
        <w:t xml:space="preserve">Gross Profit and Gross Margin. </w:t>
      </w:r>
      <w:r>
        <w:rPr>
          <w:rFonts w:ascii="Arial" w:cs="Arial" w:eastAsia="Arial" w:hAnsi="Arial"/>
          <w:sz w:val="17"/>
          <w:szCs w:val="17"/>
          <w:color w:val="auto"/>
        </w:rPr>
        <w:t>Gross profit decreased from $166.9 million in the nine months ended September 30, 2022 to $166.2 million in the nine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September 30, 2023. Gross margin decreased from 44.8% in the nine months ended September 30, 2022 to 43.9% in the nine months ended September 30, 2023.</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Expenses, Other Income (Loss), net and Provision for Income Taxes</w:t>
      </w:r>
    </w:p>
    <w:p>
      <w:pPr>
        <w:spacing w:after="0" w:line="197"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i w:val="1"/>
          <w:iCs w:val="1"/>
          <w:color w:val="auto"/>
        </w:rPr>
        <w:t xml:space="preserve">Marketing and Sales. </w:t>
      </w:r>
      <w:r>
        <w:rPr>
          <w:rFonts w:ascii="Arial" w:cs="Arial" w:eastAsia="Arial" w:hAnsi="Arial"/>
          <w:sz w:val="17"/>
          <w:szCs w:val="17"/>
          <w:color w:val="auto"/>
        </w:rPr>
        <w:t>Marketing and sales expenses increased $3.6 million, or 5.8%, during the nine months ended September 30, 2023 compared to the same</w:t>
      </w:r>
      <w:r>
        <w:rPr>
          <w:rFonts w:ascii="Arial" w:cs="Arial" w:eastAsia="Arial" w:hAnsi="Arial"/>
          <w:sz w:val="17"/>
          <w:szCs w:val="17"/>
          <w:i w:val="1"/>
          <w:iCs w:val="1"/>
          <w:color w:val="auto"/>
        </w:rPr>
        <w:t xml:space="preserve"> </w:t>
      </w:r>
      <w:r>
        <w:rPr>
          <w:rFonts w:ascii="Arial" w:cs="Arial" w:eastAsia="Arial" w:hAnsi="Arial"/>
          <w:sz w:val="17"/>
          <w:szCs w:val="17"/>
          <w:color w:val="auto"/>
        </w:rPr>
        <w:t>period in 2022. The increase was driven by increases in personnel and related costs of $3.1 million and marketing program cost increases of $0.5 million during the nine months ended September 30, 2023 when compared to the same period in 2022.</w:t>
      </w:r>
    </w:p>
    <w:p>
      <w:pPr>
        <w:spacing w:after="0" w:line="133" w:lineRule="exact"/>
        <w:rPr>
          <w:sz w:val="20"/>
          <w:szCs w:val="20"/>
          <w:color w:val="auto"/>
        </w:rPr>
      </w:pPr>
    </w:p>
    <w:p>
      <w:pPr>
        <w:ind w:right="600"/>
        <w:spacing w:after="0" w:line="272" w:lineRule="auto"/>
        <w:rPr>
          <w:sz w:val="20"/>
          <w:szCs w:val="20"/>
          <w:color w:val="auto"/>
        </w:rPr>
      </w:pPr>
      <w:r>
        <w:rPr>
          <w:rFonts w:ascii="Arial" w:cs="Arial" w:eastAsia="Arial" w:hAnsi="Arial"/>
          <w:sz w:val="17"/>
          <w:szCs w:val="17"/>
          <w:i w:val="1"/>
          <w:iCs w:val="1"/>
          <w:color w:val="auto"/>
        </w:rPr>
        <w:t xml:space="preserve">Research and Development. </w:t>
      </w:r>
      <w:r>
        <w:rPr>
          <w:rFonts w:ascii="Arial" w:cs="Arial" w:eastAsia="Arial" w:hAnsi="Arial"/>
          <w:sz w:val="17"/>
          <w:szCs w:val="17"/>
          <w:color w:val="auto"/>
        </w:rPr>
        <w:t>Our research and development expenses increased $1.3 million, or 4.5%, during the nine months ended September 30, 2023</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same period in 2022 primarily due to personnel and related cost increases of $2.1 million, which were partially offset by decreases in professional services and other operating costs of $0.8 million.</w:t>
      </w:r>
    </w:p>
    <w:p>
      <w:pPr>
        <w:spacing w:after="0" w:line="133"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Our general and administrative expenses decreased $0.1 million, or 0.1%, during the nine months ended September 30, 2023</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same period in 2022 primarily due to decreases in stock based compensation costs of $1.4 million, personnel and related costs of $0.9 million and $0.4 million of amortization and other costs, partially offset by the prior comparable period including a benefit of $1.2 million related to the sale of a facility, an increase of $0.9 million in professional services and a $0.5 million reserve for specific receivables deemed to be uncollectible in the current period.</w:t>
      </w:r>
    </w:p>
    <w:p>
      <w:pPr>
        <w:spacing w:after="0" w:line="136"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i w:val="1"/>
          <w:iCs w:val="1"/>
          <w:color w:val="auto"/>
        </w:rPr>
        <w:t xml:space="preserve">Closure of Japan business. </w:t>
      </w:r>
      <w:r>
        <w:rPr>
          <w:rFonts w:ascii="Arial" w:cs="Arial" w:eastAsia="Arial" w:hAnsi="Arial"/>
          <w:sz w:val="17"/>
          <w:szCs w:val="17"/>
          <w:color w:val="auto"/>
        </w:rPr>
        <w:t>Our decision to close our Japan business resulted in $0.2 million in operating expenses during the nine months ended September 30,</w:t>
      </w:r>
      <w:r>
        <w:rPr>
          <w:rFonts w:ascii="Arial" w:cs="Arial" w:eastAsia="Arial" w:hAnsi="Arial"/>
          <w:sz w:val="17"/>
          <w:szCs w:val="17"/>
          <w:i w:val="1"/>
          <w:iCs w:val="1"/>
          <w:color w:val="auto"/>
        </w:rPr>
        <w:t xml:space="preserve"> </w:t>
      </w:r>
      <w:r>
        <w:rPr>
          <w:rFonts w:ascii="Arial" w:cs="Arial" w:eastAsia="Arial" w:hAnsi="Arial"/>
          <w:sz w:val="17"/>
          <w:szCs w:val="17"/>
          <w:color w:val="auto"/>
        </w:rPr>
        <w:t>2023, a decrease of $6.2 million or 97.1% compared to the same period in 2022. During the nine months ended September 30, 2022, we recognized $2.3 million of employee severance, $2.3 million related to the write-down of fixed assets, $0.9 million of facility-related charges, $0.6 million in goodwill impairment and $0.3 million in other closure related charges.</w:t>
      </w:r>
    </w:p>
    <w:p>
      <w:pPr>
        <w:spacing w:after="0" w:line="136"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i w:val="1"/>
          <w:iCs w:val="1"/>
          <w:color w:val="auto"/>
        </w:rPr>
        <w:t xml:space="preserve">Other loss, net. </w:t>
      </w:r>
      <w:r>
        <w:rPr>
          <w:rFonts w:ascii="Arial" w:cs="Arial" w:eastAsia="Arial" w:hAnsi="Arial"/>
          <w:sz w:val="16"/>
          <w:szCs w:val="16"/>
          <w:color w:val="auto"/>
        </w:rPr>
        <w:t>We recognized other loss, net of $1.8 million for the nine months ended September 30, 2023, an increase of $1.4 million compared to other loss,</w:t>
      </w:r>
      <w:r>
        <w:rPr>
          <w:rFonts w:ascii="Arial" w:cs="Arial" w:eastAsia="Arial" w:hAnsi="Arial"/>
          <w:sz w:val="16"/>
          <w:szCs w:val="16"/>
          <w:i w:val="1"/>
          <w:iCs w:val="1"/>
          <w:color w:val="auto"/>
        </w:rPr>
        <w:t xml:space="preserve"> </w:t>
      </w:r>
      <w:r>
        <w:rPr>
          <w:rFonts w:ascii="Arial" w:cs="Arial" w:eastAsia="Arial" w:hAnsi="Arial"/>
          <w:sz w:val="16"/>
          <w:szCs w:val="16"/>
          <w:color w:val="auto"/>
        </w:rPr>
        <w:t>net of $0.3 million for the nine months ended September 30, 2022. Other loss, net for the nine months ended September 30, 2023 primarily consisted of a $3.9 million foreign currency translation loss from the substantial completion on the closure of our Japan business, which was partially offset by $2.1 million in interest income on investments and other income. Other loss, net for the nine months ended September 30, 2022 primarily consisted of a $0.8 million loss on foreign currency, which was offset by $0.5 million in interest income on investments and other income.</w:t>
      </w:r>
    </w:p>
    <w:p>
      <w:pPr>
        <w:spacing w:after="0" w:line="127"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i w:val="1"/>
          <w:iCs w:val="1"/>
          <w:color w:val="auto"/>
        </w:rPr>
        <w:t xml:space="preserve">Provision for Income Taxes. </w:t>
      </w:r>
      <w:r>
        <w:rPr>
          <w:rFonts w:ascii="Arial" w:cs="Arial" w:eastAsia="Arial" w:hAnsi="Arial"/>
          <w:sz w:val="16"/>
          <w:szCs w:val="16"/>
          <w:color w:val="auto"/>
        </w:rPr>
        <w:t>Our effective tax rate of 43.2% for the nine months ended September 30, 2023 increased 4.8% compared to 38.4% for the same</w:t>
      </w:r>
      <w:r>
        <w:rPr>
          <w:rFonts w:ascii="Arial" w:cs="Arial" w:eastAsia="Arial" w:hAnsi="Arial"/>
          <w:sz w:val="16"/>
          <w:szCs w:val="16"/>
          <w:i w:val="1"/>
          <w:iCs w:val="1"/>
          <w:color w:val="auto"/>
        </w:rPr>
        <w:t xml:space="preserve"> </w:t>
      </w:r>
      <w:r>
        <w:rPr>
          <w:rFonts w:ascii="Arial" w:cs="Arial" w:eastAsia="Arial" w:hAnsi="Arial"/>
          <w:sz w:val="16"/>
          <w:szCs w:val="16"/>
          <w:color w:val="auto"/>
        </w:rPr>
        <w:t>period in 2022. The increase in the effective tax rate is primarily due to the foreign currency translation loss from the substantial completion on the closure of our Japan business, which is not deductible for tax purposes. Our income tax provision of $7.8 million for the nine months ended September 30, 2023 increased $0.6 million compared to our income tax provision of $7.2 million for the nine months ended September 30, 2022.</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Liquidity and Capital Resources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cash flows during the nine months ended September 30,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76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80" w:type="dxa"/>
            <w:vAlign w:val="bottom"/>
            <w:gridSpan w:val="4"/>
          </w:tcPr>
          <w:p>
            <w:pPr>
              <w:jc w:val="right"/>
              <w:ind w:right="133"/>
              <w:spacing w:after="0"/>
              <w:rPr>
                <w:sz w:val="20"/>
                <w:szCs w:val="20"/>
                <w:color w:val="auto"/>
              </w:rPr>
            </w:pPr>
            <w:r>
              <w:rPr>
                <w:rFonts w:ascii="Arial" w:cs="Arial" w:eastAsia="Arial" w:hAnsi="Arial"/>
                <w:sz w:val="17"/>
                <w:szCs w:val="17"/>
                <w:b w:val="1"/>
                <w:bCs w:val="1"/>
                <w:color w:val="auto"/>
                <w:w w:val="94"/>
              </w:rPr>
              <w:t>Nine Months Ended September 30,</w:t>
            </w:r>
          </w:p>
        </w:tc>
      </w:tr>
      <w:tr>
        <w:trPr>
          <w:trHeight w:val="26"/>
        </w:trPr>
        <w:tc>
          <w:tcPr>
            <w:tcW w:w="8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8"/>
        </w:trPr>
        <w:tc>
          <w:tcPr>
            <w:tcW w:w="8200" w:type="dxa"/>
            <w:vAlign w:val="bottom"/>
          </w:tcPr>
          <w:p>
            <w:pPr>
              <w:ind w:left="20"/>
              <w:spacing w:after="0"/>
              <w:rPr>
                <w:sz w:val="20"/>
                <w:szCs w:val="20"/>
                <w:color w:val="auto"/>
              </w:rPr>
            </w:pPr>
            <w:r>
              <w:rPr>
                <w:rFonts w:ascii="Arial" w:cs="Arial" w:eastAsia="Arial" w:hAnsi="Arial"/>
                <w:sz w:val="17"/>
                <w:szCs w:val="17"/>
                <w:color w:val="auto"/>
              </w:rPr>
              <w:t>(dollars in thousands)</w:t>
            </w:r>
          </w:p>
        </w:tc>
        <w:tc>
          <w:tcPr>
            <w:tcW w:w="160" w:type="dxa"/>
            <w:vAlign w:val="bottom"/>
          </w:tcPr>
          <w:p>
            <w:pPr>
              <w:spacing w:after="0"/>
              <w:rPr>
                <w:sz w:val="19"/>
                <w:szCs w:val="19"/>
                <w:color w:val="auto"/>
              </w:rPr>
            </w:pPr>
          </w:p>
        </w:tc>
        <w:tc>
          <w:tcPr>
            <w:tcW w:w="1320" w:type="dxa"/>
            <w:vAlign w:val="bottom"/>
          </w:tcPr>
          <w:p>
            <w:pPr>
              <w:jc w:val="right"/>
              <w:ind w:right="473"/>
              <w:spacing w:after="0"/>
              <w:rPr>
                <w:sz w:val="20"/>
                <w:szCs w:val="20"/>
                <w:color w:val="auto"/>
              </w:rPr>
            </w:pPr>
            <w:r>
              <w:rPr>
                <w:rFonts w:ascii="Arial" w:cs="Arial" w:eastAsia="Arial" w:hAnsi="Arial"/>
                <w:sz w:val="17"/>
                <w:szCs w:val="17"/>
                <w:b w:val="1"/>
                <w:bCs w:val="1"/>
                <w:color w:val="auto"/>
              </w:rPr>
              <w:t>2023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3"/>
              <w:spacing w:after="0"/>
              <w:rPr>
                <w:sz w:val="20"/>
                <w:szCs w:val="20"/>
                <w:color w:val="auto"/>
              </w:rPr>
            </w:pPr>
            <w:r>
              <w:rPr>
                <w:rFonts w:ascii="Arial" w:cs="Arial" w:eastAsia="Arial" w:hAnsi="Arial"/>
                <w:sz w:val="17"/>
                <w:szCs w:val="17"/>
                <w:b w:val="1"/>
                <w:bCs w:val="1"/>
                <w:color w:val="auto"/>
              </w:rPr>
              <w:t>2022</w:t>
            </w:r>
          </w:p>
        </w:tc>
      </w:tr>
      <w:tr>
        <w:trPr>
          <w:trHeight w:val="26"/>
        </w:trPr>
        <w:tc>
          <w:tcPr>
            <w:tcW w:w="8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4"/>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56,046</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51,564</w:t>
            </w:r>
          </w:p>
        </w:tc>
      </w:tr>
      <w:tr>
        <w:trPr>
          <w:trHeight w:val="235"/>
        </w:trPr>
        <w:tc>
          <w:tcPr>
            <w:tcW w:w="8200" w:type="dxa"/>
            <w:vAlign w:val="bottom"/>
          </w:tcPr>
          <w:p>
            <w:pPr>
              <w:ind w:left="20"/>
              <w:spacing w:after="0"/>
              <w:rPr>
                <w:sz w:val="20"/>
                <w:szCs w:val="20"/>
                <w:color w:val="auto"/>
              </w:rPr>
            </w:pPr>
            <w:r>
              <w:rPr>
                <w:rFonts w:ascii="Arial" w:cs="Arial" w:eastAsia="Arial" w:hAnsi="Arial"/>
                <w:sz w:val="17"/>
                <w:szCs w:val="17"/>
                <w:color w:val="auto"/>
              </w:rPr>
              <w:t>Net cash provided by (used in) investing activities</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9,873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(43,365)</w:t>
            </w:r>
          </w:p>
        </w:tc>
      </w:tr>
      <w:tr>
        <w:trPr>
          <w:trHeight w:val="26"/>
        </w:trPr>
        <w:tc>
          <w:tcPr>
            <w:tcW w:w="8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cash used in financing activities</w:t>
            </w: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(38,737)</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(12,795)</w:t>
            </w:r>
          </w:p>
        </w:tc>
      </w:tr>
      <w:tr>
        <w:trPr>
          <w:trHeight w:val="235"/>
        </w:trPr>
        <w:tc>
          <w:tcPr>
            <w:tcW w:w="8200" w:type="dxa"/>
            <w:vAlign w:val="bottom"/>
          </w:tcPr>
          <w:p>
            <w:pPr>
              <w:ind w:left="20"/>
              <w:spacing w:after="0"/>
              <w:rPr>
                <w:sz w:val="20"/>
                <w:szCs w:val="20"/>
                <w:color w:val="auto"/>
              </w:rPr>
            </w:pPr>
            <w:r>
              <w:rPr>
                <w:rFonts w:ascii="Arial" w:cs="Arial" w:eastAsia="Arial" w:hAnsi="Arial"/>
                <w:sz w:val="17"/>
                <w:szCs w:val="17"/>
                <w:color w:val="auto"/>
              </w:rPr>
              <w:t>Effect of exchange rate changes on cash and cash equivalents</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(244)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(1,972)</w:t>
            </w:r>
          </w:p>
        </w:tc>
      </w:tr>
      <w:tr>
        <w:trPr>
          <w:trHeight w:val="26"/>
        </w:trPr>
        <w:tc>
          <w:tcPr>
            <w:tcW w:w="8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9"/>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increase (decrease) in cash and cash equivalents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26,938</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(6,568)</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03"/>
        </w:trPr>
        <w:tc>
          <w:tcPr>
            <w:tcW w:w="82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r>
    </w:tbl>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Sources of Liquidity</w:t>
      </w:r>
    </w:p>
    <w:p>
      <w:pPr>
        <w:spacing w:after="0" w:line="197"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Historically, we have primarily financed our operations and capital expenditures through cash flow from operations. We had cash and cash equivalents of $83.5 million as of September 30, 2023, an increase of $26.9 million from December 31, 2022. The increase in our cash was primarily due to cash provided by operating activities of $56.0 million and proceeds from call redemptions and maturities of marketable securities of $19.1 million, which were partially offset by $9.9 million for purchases of property, equipment and other capital assets, and $39.1 million in repurchases of common stock.</w:t>
      </w:r>
    </w:p>
    <w:p>
      <w:pPr>
        <w:spacing w:after="0" w:line="123" w:lineRule="exact"/>
        <w:rPr>
          <w:sz w:val="20"/>
          <w:szCs w:val="20"/>
          <w:color w:val="auto"/>
        </w:rPr>
      </w:pPr>
    </w:p>
    <w:p>
      <w:pPr>
        <w:ind w:right="260"/>
        <w:spacing w:after="0" w:line="288" w:lineRule="auto"/>
        <w:rPr>
          <w:sz w:val="20"/>
          <w:szCs w:val="20"/>
          <w:color w:val="auto"/>
        </w:rPr>
      </w:pPr>
      <w:r>
        <w:rPr>
          <w:rFonts w:ascii="Arial" w:cs="Arial" w:eastAsia="Arial" w:hAnsi="Arial"/>
          <w:sz w:val="17"/>
          <w:szCs w:val="17"/>
          <w:color w:val="auto"/>
        </w:rPr>
        <w:t>We believe that our existing cash and cash equivalents together with cash generated from operations will be sufficient to meet our working capital and capital expenditure requirements for at least the next 12 months.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Flows from Operating Activities</w:t>
      </w:r>
    </w:p>
    <w:p>
      <w:pPr>
        <w:spacing w:after="0" w:line="197" w:lineRule="exact"/>
        <w:rPr>
          <w:sz w:val="20"/>
          <w:szCs w:val="20"/>
          <w:color w:val="auto"/>
        </w:rPr>
      </w:pPr>
    </w:p>
    <w:p>
      <w:pPr>
        <w:ind w:right="140"/>
        <w:spacing w:after="0" w:line="279" w:lineRule="auto"/>
        <w:rPr>
          <w:sz w:val="20"/>
          <w:szCs w:val="20"/>
          <w:color w:val="auto"/>
        </w:rPr>
      </w:pPr>
      <w:r>
        <w:rPr>
          <w:rFonts w:ascii="Arial" w:cs="Arial" w:eastAsia="Arial" w:hAnsi="Arial"/>
          <w:sz w:val="16"/>
          <w:szCs w:val="16"/>
          <w:color w:val="auto"/>
        </w:rPr>
        <w:t>Cash flows from operating activities were $56.0 million during the nine months ended September 30, 2023 and primarily consisted of net income of $10.2 million, adjusted for certain non-cash items, including depreciation and amortization of $28.2 million, stock-based compensation expense of $11.8 million, foreign currency translation losses of $3.9 million, interest on finance lease obligations of $0.9 million and changes in operating assets and liabilities and other items totaling $10.6 million, which were partially offset by deferred taxes of $9.2 million and a gain on the disposal of property and equipment of $0.5 million. Cash flows from operating activities were $51.6 million during the nine months ended September 30, 2022 and primarily consisted of net income of $11.6 million, adjusted for certain non-cash items, including depreciation and amortization of $30.0 million and stock-based compensation expense of $13.3 million, impairments related to the closure of our Japan business of $2.8 million, changes in operating assets and liabilities and other items totaling $3.9 million, which were partially offset by deferred taxes of $8.9 million and a gain on disposal of property and equipment of $1.2 million.</w:t>
      </w:r>
    </w:p>
    <w:p>
      <w:pPr>
        <w:spacing w:after="0" w:line="132" w:lineRule="exact"/>
        <w:rPr>
          <w:sz w:val="20"/>
          <w:szCs w:val="20"/>
          <w:color w:val="auto"/>
        </w:rPr>
      </w:pPr>
    </w:p>
    <w:p>
      <w:pPr>
        <w:jc w:val="both"/>
        <w:ind w:right="180"/>
        <w:spacing w:after="0" w:line="288" w:lineRule="auto"/>
        <w:rPr>
          <w:sz w:val="20"/>
          <w:szCs w:val="20"/>
          <w:color w:val="auto"/>
        </w:rPr>
      </w:pPr>
      <w:r>
        <w:rPr>
          <w:rFonts w:ascii="Arial" w:cs="Arial" w:eastAsia="Arial" w:hAnsi="Arial"/>
          <w:sz w:val="16"/>
          <w:szCs w:val="16"/>
          <w:color w:val="auto"/>
        </w:rPr>
        <w:t>Cash flows from operating activities increased $4.5 million during the nine months ended September 30, 2023 compared to the same period in 2022, primarily due to increases in interest on finance lease obligations of $0.9 million, foreign currency translation losses of $3.9 million and changes in operating assets and liabilities totaling $6.7 million, which were partially offset by decreases in net income of $1.4 million, stock-based compensation of $1.5 million, impairments related to the closure of Japan business of $2.8 million and depreciation and amortization of $1.8 million.</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Flows from Investing Activities</w:t>
      </w:r>
    </w:p>
    <w:p>
      <w:pPr>
        <w:spacing w:after="0" w:line="197" w:lineRule="exact"/>
        <w:rPr>
          <w:sz w:val="20"/>
          <w:szCs w:val="20"/>
          <w:color w:val="auto"/>
        </w:rPr>
      </w:pPr>
    </w:p>
    <w:p>
      <w:pPr>
        <w:spacing w:after="0" w:line="358" w:lineRule="auto"/>
        <w:rPr>
          <w:sz w:val="20"/>
          <w:szCs w:val="20"/>
          <w:color w:val="auto"/>
        </w:rPr>
      </w:pPr>
      <w:r>
        <w:rPr>
          <w:rFonts w:ascii="Arial" w:cs="Arial" w:eastAsia="Arial" w:hAnsi="Arial"/>
          <w:sz w:val="15"/>
          <w:szCs w:val="15"/>
          <w:color w:val="auto"/>
        </w:rPr>
        <w:t>Cash provided by investing activities was $9.9 million during the nine months ended September 30, 2023, consisting of $19.1 million in proceeds from call redemptions and maturities of marketable securities, which were partially offset by $9.2 million for net purchases of property, equipment and other capital assets.</w:t>
      </w:r>
    </w:p>
    <w:p>
      <w:pPr>
        <w:spacing w:after="0" w:line="74" w:lineRule="exact"/>
        <w:rPr>
          <w:sz w:val="20"/>
          <w:szCs w:val="20"/>
          <w:color w:val="auto"/>
        </w:rPr>
      </w:pPr>
    </w:p>
    <w:p>
      <w:pPr>
        <w:ind w:right="760"/>
        <w:spacing w:after="0" w:line="288" w:lineRule="auto"/>
        <w:rPr>
          <w:sz w:val="20"/>
          <w:szCs w:val="20"/>
          <w:color w:val="auto"/>
        </w:rPr>
      </w:pPr>
      <w:r>
        <w:rPr>
          <w:rFonts w:ascii="Arial" w:cs="Arial" w:eastAsia="Arial" w:hAnsi="Arial"/>
          <w:sz w:val="17"/>
          <w:szCs w:val="17"/>
          <w:color w:val="auto"/>
        </w:rPr>
        <w:t>Cash used in investing activities was $43.4 million during the nine months ended September 30, 2022, consisting of $30.2 million for net purchases of marketable securities and $13.2 million for net purchases of property, equipment and other capital assets.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Flows from Financing Activities</w:t>
      </w:r>
    </w:p>
    <w:p>
      <w:pPr>
        <w:spacing w:after="0" w:line="197"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Cash used in financing activities was $38.7 million during the nine months ended September 30, 2023, consisting of $39.1 million in repurchases of common stock, $1.4 million in purchases of shares withheld for tax obligations associated with equity transactions, and $0.2 million for repayments of finance lease obligations, which were partially offset by $2.0 million in proceeds from exercises of stock option.</w:t>
      </w:r>
    </w:p>
    <w:p>
      <w:pPr>
        <w:spacing w:after="0" w:line="133"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Cash used in financing activities was $12.8 million during the nine months ended September 30, 2022, consisting of $13.1 million in repurchases of common stock, $1.6 million in purchases of shares withheld for tax obligations associated with equity transactions and $0.4 million for repayments of finance lease obligations, which were partially offset by $2.3 million in proceeds from exercises of stock options.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Estimates</w:t>
      </w:r>
    </w:p>
    <w:p>
      <w:pPr>
        <w:spacing w:after="0" w:line="203"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We have adopted various accounting policies to prepare the Consolidated Financial Statements in accordance with accounting principles generally accepted in the United States of America (U.S. GAAP). The preparation of these financial statements requires us to make estimates, judgements and assumptions. Our significant accounting policies and estimates are disclosed in Note 2 to the Consolidated Financial Statements included Pat II, Item 8 in our Annual Report on Form 10-K for the year ended December 31, 2022. There were no material changes to our critical accounting policies and estimates during the nine months ended September 30, 2023.</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90"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For information on recent accounting pronouncements, see Note 2 to the Consolidated Financial Statements appearing in Part I, Item 1 in this Quarterly Report on Form 10-Q.</w:t>
      </w:r>
    </w:p>
    <w:p>
      <w:pPr>
        <w:spacing w:after="0" w:line="200" w:lineRule="exact"/>
        <w:rPr>
          <w:sz w:val="20"/>
          <w:szCs w:val="20"/>
          <w:color w:val="auto"/>
        </w:rPr>
      </w:pPr>
    </w:p>
    <w:p>
      <w:pPr>
        <w:spacing w:after="0" w:line="337"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00"/>
          </w:cols>
          <w:pgMar w:left="320" w:top="127" w:right="479" w:bottom="1440" w:gutter="0" w:footer="0" w:header="0"/>
        </w:sectPr>
      </w:pPr>
    </w:p>
    <w:bookmarkStart w:id="28" w:name="page29"/>
    <w:bookmarkEnd w:id="2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Risk</w:t>
      </w:r>
    </w:p>
    <w:p>
      <w:pPr>
        <w:spacing w:after="0" w:line="190"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As a result of our foreign operations, we have revenue, expenses, assets and liabilities that are denominated in foreign currencies. We generate revenue and incur production costs and operating expenses in British Pounds, Euros and Japanese Yen.</w:t>
      </w:r>
    </w:p>
    <w:p>
      <w:pPr>
        <w:spacing w:after="0" w:line="11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Our operating results and cash flows are adversely impacted when the United States Dollar appreciates relative to foreign currencies. Additionally, our operating results and cash flows are adversely impacted when the British Pound appreciates relative to the Euro. As we expand internationally, our results of operations and cash flows will become increasingly subject to changes in foreign currency exchange rates.</w:t>
      </w:r>
    </w:p>
    <w:p>
      <w:pPr>
        <w:spacing w:after="0" w:line="146"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We have not used forward contracts or currency borrowings to hedge our exposure to foreign currency risk. Foreign currency risk can be assessed by estimating the change in results of operations or financial position resulting from a hypothetical 10% adverse change in foreign exchange rates. We believe such a change would generally not have a material impact on our financial position, but could have a material impact on our results of operations. During the nine months ended September 30, 2023, we recognized a foreign currency translation loss of $3.9 million in connection with substantially completing our closure of our Japan business. We recognized foreign currency losses of $0.2 million and $0.4 million during the three months ended September 30, 2023 and 2022, respectively. We recognized foreign currency losses of $0.1 million and $0.8 million during the nine months ended September 30, 2023 and 2022, respectively. The changes in foreign exchange rates had a positive impact on consolidated revenue of $1.7 million for the three months ended September 30, 2023 and a negative impact of $1.3 million for the nine months ended September 30, 2023 as compared to the same period in 2022.</w:t>
      </w: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9" w:name="page30"/>
    <w:bookmarkEnd w:id="2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190" w:lineRule="exact"/>
        <w:rPr>
          <w:sz w:val="20"/>
          <w:szCs w:val="20"/>
          <w:color w:val="auto"/>
        </w:rPr>
      </w:pPr>
    </w:p>
    <w:p>
      <w:pPr>
        <w:ind w:right="60"/>
        <w:spacing w:after="0" w:line="280" w:lineRule="auto"/>
        <w:rPr>
          <w:sz w:val="20"/>
          <w:szCs w:val="20"/>
          <w:color w:val="auto"/>
        </w:rPr>
      </w:pPr>
      <w:r>
        <w:rPr>
          <w:rFonts w:ascii="Arial" w:cs="Arial" w:eastAsia="Arial" w:hAnsi="Arial"/>
          <w:sz w:val="16"/>
          <w:szCs w:val="16"/>
          <w:color w:val="auto"/>
        </w:rPr>
        <w:t>Our management, with the participation of our Chief Executive Officer and Chief Financial Officer, has evaluated the effectiveness of the design and operation of our disclosure controls and procedures (as defined in Rule 13a-15(e) under the Securities Exchange Act of 1934 (Exchange Act)) as of the end of the period covered by this report. Based upon that evaluation, the Chief Executive Officer and Chief Financial Officer have concluded that, as of the end of the period covered by this quarterly report, our disclosure controls and procedures are effective and provide reasonable assurance that information required to be disclosed by us in the reports that we file or submit under the Exchange Act is recorded, processed, summarized and reported accurately and within the time frames specified in the SEC’s rules and forms and accumulated and communicated to our management, including our Chief Executive Officer and Chief Financial Officer, as appropriate to allow timely decisions regarding required disclosure.</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03" w:lineRule="exact"/>
        <w:rPr>
          <w:sz w:val="20"/>
          <w:szCs w:val="20"/>
          <w:color w:val="auto"/>
        </w:rPr>
      </w:pPr>
    </w:p>
    <w:p>
      <w:pPr>
        <w:spacing w:after="0" w:line="321" w:lineRule="auto"/>
        <w:rPr>
          <w:sz w:val="20"/>
          <w:szCs w:val="20"/>
          <w:color w:val="auto"/>
        </w:rPr>
      </w:pPr>
      <w:r>
        <w:rPr>
          <w:rFonts w:ascii="Arial" w:cs="Arial" w:eastAsia="Arial" w:hAnsi="Arial"/>
          <w:sz w:val="16"/>
          <w:szCs w:val="16"/>
          <w:color w:val="auto"/>
        </w:rPr>
        <w:t>There have been no changes in our internal control over financial reporting (as such term is defined in Rule 13a-15(f) under the Exchange Act) during the period covered by this report that have materially affected, or are reasonably likely to materially affect, our internal control over financial reporting.</w:t>
      </w: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30" w:name="page31"/>
    <w:bookmarkEnd w:id="3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II. OTHER INFORMATION</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190" w:lineRule="exact"/>
        <w:rPr>
          <w:sz w:val="20"/>
          <w:szCs w:val="20"/>
          <w:color w:val="auto"/>
        </w:rPr>
      </w:pPr>
    </w:p>
    <w:p>
      <w:pPr>
        <w:ind w:right="100"/>
        <w:spacing w:after="0" w:line="324" w:lineRule="auto"/>
        <w:rPr>
          <w:sz w:val="20"/>
          <w:szCs w:val="20"/>
          <w:color w:val="auto"/>
        </w:rPr>
      </w:pPr>
      <w:r>
        <w:rPr>
          <w:rFonts w:ascii="Arial" w:cs="Arial" w:eastAsia="Arial" w:hAnsi="Arial"/>
          <w:sz w:val="15"/>
          <w:szCs w:val="15"/>
          <w:color w:val="auto"/>
        </w:rPr>
        <w:t>From time to time, we are subject to various legal proceedings and claims that arise in the ordinary course of our business activities. Although the results of litigation and claims cannot be predicted with certainty, as of the date of these financial statements, we do not believe we are party to any litigation the outcome of which, if determined adversely to us, would individually or in the aggregate be reasonably expected to have a material adverse effect on our business.</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03" w:lineRule="exact"/>
        <w:rPr>
          <w:sz w:val="20"/>
          <w:szCs w:val="20"/>
          <w:color w:val="auto"/>
        </w:rPr>
      </w:pPr>
    </w:p>
    <w:p>
      <w:pPr>
        <w:ind w:right="120"/>
        <w:spacing w:after="0" w:line="288" w:lineRule="auto"/>
        <w:rPr>
          <w:sz w:val="20"/>
          <w:szCs w:val="20"/>
          <w:color w:val="auto"/>
        </w:rPr>
      </w:pPr>
      <w:r>
        <w:rPr>
          <w:rFonts w:ascii="Arial" w:cs="Arial" w:eastAsia="Arial" w:hAnsi="Arial"/>
          <w:sz w:val="17"/>
          <w:szCs w:val="17"/>
          <w:color w:val="auto"/>
        </w:rPr>
        <w:t>Part I, Item 1A. “Risk Factors” in our Annual Report on Form 10-K for the year ended December 31, 2022 includes a discussion of our risk factors. There have been no material changes from the risk factors described in our Form 10-K.</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Use of Proceeds and Issuer Purchases of Equity Securities</w:t>
      </w:r>
    </w:p>
    <w:p>
      <w:pPr>
        <w:spacing w:after="0" w:line="190"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On February 9, 2017, our board of directors authorized the repurchase of shares of our common stock from time to time on the open market or in privately negotiated purchases, at an aggregate purchase price of up to $50 million. On May 16, 2019, we announced that our board of directors approved a $50 million increase in our authorized stock repurchase program and extended the term of the program through December 31, 2023, which increased the stock repurchase program to $100 million. On December 8, 2021, our board of directors approved another $50 million increase in our authorized stock repurchase program, which increased the total repurchases authorized to $150 million. On November 17, 2022, our board of directors approved a $50 million increase in our authorized stock repurchase program, which increased the total repurchases authorized to $200 million and extended the term of the program through December 31, 2024. On February 7, 2023 our board of directors approved a $50 million increase in our authorized stock repurchase program, which increased the stock repurchase authorized to $250 million. We have $93.3 million remaining under this authorization. The timing and amount of any share repurchases will be determined by our management based on market conditions and other factors.</w:t>
      </w:r>
    </w:p>
    <w:p>
      <w:pPr>
        <w:spacing w:after="0" w:line="147" w:lineRule="exact"/>
        <w:rPr>
          <w:sz w:val="20"/>
          <w:szCs w:val="20"/>
          <w:color w:val="auto"/>
        </w:rPr>
      </w:pPr>
    </w:p>
    <w:p>
      <w:pPr>
        <w:ind w:right="320"/>
        <w:spacing w:after="0" w:line="288" w:lineRule="auto"/>
        <w:rPr>
          <w:sz w:val="20"/>
          <w:szCs w:val="20"/>
          <w:color w:val="auto"/>
        </w:rPr>
      </w:pPr>
      <w:r>
        <w:rPr>
          <w:rFonts w:ascii="Arial" w:cs="Arial" w:eastAsia="Arial" w:hAnsi="Arial"/>
          <w:sz w:val="17"/>
          <w:szCs w:val="17"/>
          <w:color w:val="auto"/>
        </w:rPr>
        <w:t>During the three months ended September 30, 2023, we repurchased 310,568 shares of our common stock at a total purchase price of $9.0 million under this program. Common stock repurchase activity through September 30, 2023 was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center"/>
              <w:ind w:right="33"/>
              <w:spacing w:after="0"/>
              <w:rPr>
                <w:sz w:val="20"/>
                <w:szCs w:val="20"/>
                <w:color w:val="auto"/>
              </w:rPr>
            </w:pPr>
            <w:r>
              <w:rPr>
                <w:rFonts w:ascii="Arial" w:cs="Arial" w:eastAsia="Arial" w:hAnsi="Arial"/>
                <w:sz w:val="17"/>
                <w:szCs w:val="17"/>
                <w:b w:val="1"/>
                <w:bCs w:val="1"/>
                <w:color w:val="auto"/>
                <w:w w:val="98"/>
              </w:rPr>
              <w:t>Maximum Dollar</w:t>
            </w:r>
          </w:p>
        </w:tc>
      </w:tr>
      <w:tr>
        <w:trPr>
          <w:trHeight w:val="209"/>
        </w:trPr>
        <w:tc>
          <w:tcPr>
            <w:tcW w:w="4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60" w:type="dxa"/>
            <w:vAlign w:val="bottom"/>
            <w:gridSpan w:val="2"/>
          </w:tcPr>
          <w:p>
            <w:pPr>
              <w:ind w:left="100"/>
              <w:spacing w:after="0"/>
              <w:rPr>
                <w:sz w:val="20"/>
                <w:szCs w:val="20"/>
                <w:color w:val="auto"/>
              </w:rPr>
            </w:pPr>
            <w:r>
              <w:rPr>
                <w:rFonts w:ascii="Arial" w:cs="Arial" w:eastAsia="Arial" w:hAnsi="Arial"/>
                <w:sz w:val="17"/>
                <w:szCs w:val="17"/>
                <w:b w:val="1"/>
                <w:bCs w:val="1"/>
                <w:color w:val="auto"/>
                <w:w w:val="94"/>
              </w:rPr>
              <w:t>Value of Shares that</w:t>
            </w:r>
          </w:p>
        </w:tc>
      </w:tr>
      <w:tr>
        <w:trPr>
          <w:trHeight w:val="209"/>
        </w:trPr>
        <w:tc>
          <w:tcPr>
            <w:tcW w:w="4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7"/>
                <w:szCs w:val="17"/>
                <w:b w:val="1"/>
                <w:bCs w:val="1"/>
                <w:color w:val="auto"/>
                <w:w w:val="95"/>
              </w:rPr>
              <w:t>Total Number of</w:t>
            </w:r>
          </w:p>
        </w:tc>
        <w:tc>
          <w:tcPr>
            <w:tcW w:w="200" w:type="dxa"/>
            <w:vAlign w:val="bottom"/>
          </w:tcPr>
          <w:p>
            <w:pPr>
              <w:spacing w:after="0"/>
              <w:rPr>
                <w:sz w:val="18"/>
                <w:szCs w:val="18"/>
                <w:color w:val="auto"/>
              </w:rPr>
            </w:pPr>
          </w:p>
        </w:tc>
        <w:tc>
          <w:tcPr>
            <w:tcW w:w="1460" w:type="dxa"/>
            <w:vAlign w:val="bottom"/>
          </w:tcPr>
          <w:p>
            <w:pPr>
              <w:jc w:val="center"/>
              <w:ind w:right="33"/>
              <w:spacing w:after="0"/>
              <w:rPr>
                <w:sz w:val="20"/>
                <w:szCs w:val="20"/>
                <w:color w:val="auto"/>
              </w:rPr>
            </w:pPr>
            <w:r>
              <w:rPr>
                <w:rFonts w:ascii="Arial" w:cs="Arial" w:eastAsia="Arial" w:hAnsi="Arial"/>
                <w:sz w:val="17"/>
                <w:szCs w:val="17"/>
                <w:b w:val="1"/>
                <w:bCs w:val="1"/>
                <w:color w:val="auto"/>
                <w:w w:val="94"/>
              </w:rPr>
              <w:t>May Yet Be</w:t>
            </w:r>
          </w:p>
        </w:tc>
      </w:tr>
      <w:tr>
        <w:trPr>
          <w:trHeight w:val="209"/>
        </w:trPr>
        <w:tc>
          <w:tcPr>
            <w:tcW w:w="4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7"/>
                <w:szCs w:val="17"/>
                <w:b w:val="1"/>
                <w:bCs w:val="1"/>
                <w:color w:val="auto"/>
                <w:w w:val="88"/>
              </w:rPr>
              <w:t>Shares Purchased as</w:t>
            </w:r>
          </w:p>
        </w:tc>
        <w:tc>
          <w:tcPr>
            <w:tcW w:w="200" w:type="dxa"/>
            <w:vAlign w:val="bottom"/>
          </w:tcPr>
          <w:p>
            <w:pPr>
              <w:spacing w:after="0"/>
              <w:rPr>
                <w:sz w:val="18"/>
                <w:szCs w:val="18"/>
                <w:color w:val="auto"/>
              </w:rPr>
            </w:pPr>
          </w:p>
        </w:tc>
        <w:tc>
          <w:tcPr>
            <w:tcW w:w="1460" w:type="dxa"/>
            <w:vAlign w:val="bottom"/>
          </w:tcPr>
          <w:p>
            <w:pPr>
              <w:jc w:val="center"/>
              <w:ind w:right="33"/>
              <w:spacing w:after="0"/>
              <w:rPr>
                <w:sz w:val="20"/>
                <w:szCs w:val="20"/>
                <w:color w:val="auto"/>
              </w:rPr>
            </w:pPr>
            <w:r>
              <w:rPr>
                <w:rFonts w:ascii="Arial" w:cs="Arial" w:eastAsia="Arial" w:hAnsi="Arial"/>
                <w:sz w:val="17"/>
                <w:szCs w:val="17"/>
                <w:b w:val="1"/>
                <w:bCs w:val="1"/>
                <w:color w:val="auto"/>
                <w:w w:val="92"/>
              </w:rPr>
              <w:t>Purchased Under</w:t>
            </w:r>
          </w:p>
        </w:tc>
      </w:tr>
      <w:tr>
        <w:trPr>
          <w:trHeight w:val="209"/>
        </w:trPr>
        <w:tc>
          <w:tcPr>
            <w:tcW w:w="4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7"/>
                <w:szCs w:val="17"/>
                <w:b w:val="1"/>
                <w:bCs w:val="1"/>
                <w:color w:val="auto"/>
                <w:w w:val="93"/>
              </w:rPr>
              <w:t>Part of Publicly</w:t>
            </w:r>
          </w:p>
        </w:tc>
        <w:tc>
          <w:tcPr>
            <w:tcW w:w="200" w:type="dxa"/>
            <w:vAlign w:val="bottom"/>
          </w:tcPr>
          <w:p>
            <w:pPr>
              <w:spacing w:after="0"/>
              <w:rPr>
                <w:sz w:val="18"/>
                <w:szCs w:val="18"/>
                <w:color w:val="auto"/>
              </w:rPr>
            </w:pPr>
          </w:p>
        </w:tc>
        <w:tc>
          <w:tcPr>
            <w:tcW w:w="1460" w:type="dxa"/>
            <w:vAlign w:val="bottom"/>
          </w:tcPr>
          <w:p>
            <w:pPr>
              <w:jc w:val="center"/>
              <w:ind w:right="53"/>
              <w:spacing w:after="0"/>
              <w:rPr>
                <w:sz w:val="20"/>
                <w:szCs w:val="20"/>
                <w:color w:val="auto"/>
              </w:rPr>
            </w:pPr>
            <w:r>
              <w:rPr>
                <w:rFonts w:ascii="Arial" w:cs="Arial" w:eastAsia="Arial" w:hAnsi="Arial"/>
                <w:sz w:val="17"/>
                <w:szCs w:val="17"/>
                <w:b w:val="1"/>
                <w:bCs w:val="1"/>
                <w:color w:val="auto"/>
                <w:w w:val="89"/>
              </w:rPr>
              <w:t>the Plans</w:t>
            </w:r>
          </w:p>
        </w:tc>
      </w:tr>
      <w:tr>
        <w:trPr>
          <w:trHeight w:val="209"/>
        </w:trPr>
        <w:tc>
          <w:tcPr>
            <w:tcW w:w="4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jc w:val="right"/>
              <w:ind w:right="73"/>
              <w:spacing w:after="0"/>
              <w:rPr>
                <w:sz w:val="20"/>
                <w:szCs w:val="20"/>
                <w:color w:val="auto"/>
              </w:rPr>
            </w:pPr>
            <w:r>
              <w:rPr>
                <w:rFonts w:ascii="Arial" w:cs="Arial" w:eastAsia="Arial" w:hAnsi="Arial"/>
                <w:sz w:val="17"/>
                <w:szCs w:val="17"/>
                <w:b w:val="1"/>
                <w:bCs w:val="1"/>
                <w:color w:val="auto"/>
              </w:rPr>
              <w:t>Total Number of</w:t>
            </w:r>
          </w:p>
        </w:tc>
        <w:tc>
          <w:tcPr>
            <w:tcW w:w="100" w:type="dxa"/>
            <w:vAlign w:val="bottom"/>
          </w:tcPr>
          <w:p>
            <w:pPr>
              <w:spacing w:after="0"/>
              <w:rPr>
                <w:sz w:val="18"/>
                <w:szCs w:val="18"/>
                <w:color w:val="auto"/>
              </w:rPr>
            </w:pPr>
          </w:p>
        </w:tc>
        <w:tc>
          <w:tcPr>
            <w:tcW w:w="1660" w:type="dxa"/>
            <w:vAlign w:val="bottom"/>
            <w:gridSpan w:val="3"/>
          </w:tcPr>
          <w:p>
            <w:pPr>
              <w:jc w:val="center"/>
              <w:ind w:right="80"/>
              <w:spacing w:after="0"/>
              <w:rPr>
                <w:sz w:val="20"/>
                <w:szCs w:val="20"/>
                <w:color w:val="auto"/>
              </w:rPr>
            </w:pPr>
            <w:r>
              <w:rPr>
                <w:rFonts w:ascii="Arial" w:cs="Arial" w:eastAsia="Arial" w:hAnsi="Arial"/>
                <w:sz w:val="17"/>
                <w:szCs w:val="17"/>
                <w:b w:val="1"/>
                <w:bCs w:val="1"/>
                <w:color w:val="auto"/>
                <w:w w:val="92"/>
              </w:rPr>
              <w:t>Average Price Paid</w:t>
            </w:r>
          </w:p>
        </w:tc>
        <w:tc>
          <w:tcPr>
            <w:tcW w:w="1600" w:type="dxa"/>
            <w:vAlign w:val="bottom"/>
          </w:tcPr>
          <w:p>
            <w:pPr>
              <w:jc w:val="center"/>
              <w:spacing w:after="0"/>
              <w:rPr>
                <w:sz w:val="20"/>
                <w:szCs w:val="20"/>
                <w:color w:val="auto"/>
              </w:rPr>
            </w:pPr>
            <w:r>
              <w:rPr>
                <w:rFonts w:ascii="Arial" w:cs="Arial" w:eastAsia="Arial" w:hAnsi="Arial"/>
                <w:sz w:val="17"/>
                <w:szCs w:val="17"/>
                <w:b w:val="1"/>
                <w:bCs w:val="1"/>
                <w:color w:val="auto"/>
                <w:w w:val="91"/>
              </w:rPr>
              <w:t>Announced Plans or</w:t>
            </w:r>
          </w:p>
        </w:tc>
        <w:tc>
          <w:tcPr>
            <w:tcW w:w="200" w:type="dxa"/>
            <w:vAlign w:val="bottom"/>
          </w:tcPr>
          <w:p>
            <w:pPr>
              <w:spacing w:after="0"/>
              <w:rPr>
                <w:sz w:val="18"/>
                <w:szCs w:val="18"/>
                <w:color w:val="auto"/>
              </w:rPr>
            </w:pPr>
          </w:p>
        </w:tc>
        <w:tc>
          <w:tcPr>
            <w:tcW w:w="1460" w:type="dxa"/>
            <w:vAlign w:val="bottom"/>
          </w:tcPr>
          <w:p>
            <w:pPr>
              <w:jc w:val="center"/>
              <w:ind w:right="33"/>
              <w:spacing w:after="0"/>
              <w:rPr>
                <w:sz w:val="20"/>
                <w:szCs w:val="20"/>
                <w:color w:val="auto"/>
              </w:rPr>
            </w:pPr>
            <w:r>
              <w:rPr>
                <w:rFonts w:ascii="Arial" w:cs="Arial" w:eastAsia="Arial" w:hAnsi="Arial"/>
                <w:sz w:val="17"/>
                <w:szCs w:val="17"/>
                <w:b w:val="1"/>
                <w:bCs w:val="1"/>
                <w:color w:val="auto"/>
                <w:w w:val="93"/>
              </w:rPr>
              <w:t>or Programs (in</w:t>
            </w:r>
          </w:p>
        </w:tc>
      </w:tr>
      <w:tr>
        <w:trPr>
          <w:trHeight w:val="227"/>
        </w:trPr>
        <w:tc>
          <w:tcPr>
            <w:tcW w:w="4640" w:type="dxa"/>
            <w:vAlign w:val="bottom"/>
            <w:gridSpan w:val="2"/>
          </w:tcPr>
          <w:p>
            <w:pPr>
              <w:ind w:left="20"/>
              <w:spacing w:after="0"/>
              <w:rPr>
                <w:sz w:val="20"/>
                <w:szCs w:val="20"/>
                <w:color w:val="auto"/>
              </w:rPr>
            </w:pPr>
            <w:r>
              <w:rPr>
                <w:rFonts w:ascii="Arial" w:cs="Arial" w:eastAsia="Arial" w:hAnsi="Arial"/>
                <w:sz w:val="17"/>
                <w:szCs w:val="17"/>
                <w:b w:val="1"/>
                <w:bCs w:val="1"/>
                <w:color w:val="auto"/>
              </w:rPr>
              <w:t>Period</w:t>
            </w:r>
          </w:p>
        </w:tc>
        <w:tc>
          <w:tcPr>
            <w:tcW w:w="1580" w:type="dxa"/>
            <w:vAlign w:val="bottom"/>
          </w:tcPr>
          <w:p>
            <w:pPr>
              <w:jc w:val="right"/>
              <w:ind w:right="33"/>
              <w:spacing w:after="0"/>
              <w:rPr>
                <w:sz w:val="20"/>
                <w:szCs w:val="20"/>
                <w:color w:val="auto"/>
              </w:rPr>
            </w:pPr>
            <w:r>
              <w:rPr>
                <w:rFonts w:ascii="Arial" w:cs="Arial" w:eastAsia="Arial" w:hAnsi="Arial"/>
                <w:sz w:val="17"/>
                <w:szCs w:val="17"/>
                <w:b w:val="1"/>
                <w:bCs w:val="1"/>
                <w:color w:val="auto"/>
                <w:w w:val="97"/>
              </w:rPr>
              <w:t>Shares Purchased</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4"/>
              </w:rPr>
              <w:t>per Share</w:t>
            </w:r>
          </w:p>
        </w:tc>
        <w:tc>
          <w:tcPr>
            <w:tcW w:w="1600" w:type="dxa"/>
            <w:vAlign w:val="bottom"/>
          </w:tcPr>
          <w:p>
            <w:pPr>
              <w:jc w:val="center"/>
              <w:spacing w:after="0"/>
              <w:rPr>
                <w:sz w:val="20"/>
                <w:szCs w:val="20"/>
                <w:color w:val="auto"/>
              </w:rPr>
            </w:pPr>
            <w:r>
              <w:rPr>
                <w:rFonts w:ascii="Arial" w:cs="Arial" w:eastAsia="Arial" w:hAnsi="Arial"/>
                <w:sz w:val="17"/>
                <w:szCs w:val="17"/>
                <w:b w:val="1"/>
                <w:bCs w:val="1"/>
                <w:color w:val="auto"/>
                <w:w w:val="90"/>
              </w:rPr>
              <w:t>Programs</w:t>
            </w:r>
          </w:p>
        </w:tc>
        <w:tc>
          <w:tcPr>
            <w:tcW w:w="200" w:type="dxa"/>
            <w:vAlign w:val="bottom"/>
          </w:tcPr>
          <w:p>
            <w:pPr>
              <w:spacing w:after="0"/>
              <w:rPr>
                <w:sz w:val="19"/>
                <w:szCs w:val="19"/>
                <w:color w:val="auto"/>
              </w:rPr>
            </w:pPr>
          </w:p>
        </w:tc>
        <w:tc>
          <w:tcPr>
            <w:tcW w:w="1460" w:type="dxa"/>
            <w:vAlign w:val="bottom"/>
          </w:tcPr>
          <w:p>
            <w:pPr>
              <w:jc w:val="center"/>
              <w:ind w:right="33"/>
              <w:spacing w:after="0"/>
              <w:rPr>
                <w:sz w:val="20"/>
                <w:szCs w:val="20"/>
                <w:color w:val="auto"/>
              </w:rPr>
            </w:pPr>
            <w:r>
              <w:rPr>
                <w:rFonts w:ascii="Arial" w:cs="Arial" w:eastAsia="Arial" w:hAnsi="Arial"/>
                <w:sz w:val="17"/>
                <w:szCs w:val="17"/>
                <w:b w:val="1"/>
                <w:bCs w:val="1"/>
                <w:color w:val="auto"/>
                <w:w w:val="90"/>
              </w:rPr>
              <w:t>thousands) (1)</w:t>
            </w:r>
          </w:p>
        </w:tc>
      </w:tr>
      <w:tr>
        <w:trPr>
          <w:trHeight w:val="26"/>
        </w:trPr>
        <w:tc>
          <w:tcPr>
            <w:tcW w:w="4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r>
      <w:tr>
        <w:trPr>
          <w:trHeight w:val="234"/>
        </w:trPr>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July 1, 2023 through July 31, 2023</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CCEEFF"/>
            </w:tcBorders>
            <w:gridSpan w:val="2"/>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102,239</w:t>
            </w:r>
          </w:p>
        </w:tc>
      </w:tr>
      <w:tr>
        <w:trPr>
          <w:trHeight w:val="235"/>
        </w:trPr>
        <w:tc>
          <w:tcPr>
            <w:tcW w:w="4640" w:type="dxa"/>
            <w:vAlign w:val="bottom"/>
            <w:gridSpan w:val="2"/>
          </w:tcPr>
          <w:p>
            <w:pPr>
              <w:ind w:left="20"/>
              <w:spacing w:after="0"/>
              <w:rPr>
                <w:sz w:val="20"/>
                <w:szCs w:val="20"/>
                <w:color w:val="auto"/>
              </w:rPr>
            </w:pPr>
            <w:r>
              <w:rPr>
                <w:rFonts w:ascii="Arial" w:cs="Arial" w:eastAsia="Arial" w:hAnsi="Arial"/>
                <w:sz w:val="17"/>
                <w:szCs w:val="17"/>
                <w:color w:val="auto"/>
              </w:rPr>
              <w:t>August 1, 2023 through August 31, 2023</w:t>
            </w:r>
          </w:p>
        </w:tc>
        <w:tc>
          <w:tcPr>
            <w:tcW w:w="1580" w:type="dxa"/>
            <w:vAlign w:val="bottom"/>
          </w:tcPr>
          <w:p>
            <w:pPr>
              <w:jc w:val="right"/>
              <w:spacing w:after="0"/>
              <w:rPr>
                <w:sz w:val="20"/>
                <w:szCs w:val="20"/>
                <w:color w:val="auto"/>
              </w:rPr>
            </w:pPr>
            <w:r>
              <w:rPr>
                <w:rFonts w:ascii="Arial" w:cs="Arial" w:eastAsia="Arial" w:hAnsi="Arial"/>
                <w:sz w:val="17"/>
                <w:szCs w:val="17"/>
                <w:color w:val="auto"/>
              </w:rPr>
              <w:t>228,204</w:t>
            </w:r>
          </w:p>
        </w:tc>
        <w:tc>
          <w:tcPr>
            <w:tcW w:w="360" w:type="dxa"/>
            <w:vAlign w:val="bottom"/>
            <w:gridSpan w:val="2"/>
          </w:tcPr>
          <w:p>
            <w:pPr>
              <w:jc w:val="right"/>
              <w:ind w:right="73"/>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28.95</w:t>
            </w:r>
          </w:p>
        </w:tc>
        <w:tc>
          <w:tcPr>
            <w:tcW w:w="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228,204</w:t>
            </w:r>
          </w:p>
        </w:tc>
        <w:tc>
          <w:tcPr>
            <w:tcW w:w="200" w:type="dxa"/>
            <w:vAlign w:val="bottom"/>
          </w:tcPr>
          <w:p>
            <w:pPr>
              <w:ind w:left="100"/>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95,631</w:t>
            </w:r>
          </w:p>
        </w:tc>
      </w:tr>
      <w:tr>
        <w:trPr>
          <w:trHeight w:val="26"/>
        </w:trPr>
        <w:tc>
          <w:tcPr>
            <w:tcW w:w="4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61"/>
        </w:trPr>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September 1, 2023 through September 30, 2023</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82,364</w:t>
            </w:r>
          </w:p>
        </w:tc>
        <w:tc>
          <w:tcPr>
            <w:tcW w:w="360" w:type="dxa"/>
            <w:vAlign w:val="bottom"/>
            <w:tcBorders>
              <w:bottom w:val="single" w:sz="8" w:color="CCEEFF"/>
            </w:tcBorders>
            <w:gridSpan w:val="2"/>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28.80</w:t>
            </w:r>
          </w:p>
        </w:tc>
        <w:tc>
          <w:tcPr>
            <w:tcW w:w="8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82,364</w:t>
            </w:r>
          </w:p>
        </w:tc>
        <w:tc>
          <w:tcPr>
            <w:tcW w:w="2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93,258</w:t>
            </w:r>
          </w:p>
        </w:tc>
      </w:tr>
      <w:tr>
        <w:trPr>
          <w:trHeight w:val="254"/>
        </w:trPr>
        <w:tc>
          <w:tcPr>
            <w:tcW w:w="4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310,568</w:t>
            </w:r>
          </w:p>
        </w:tc>
        <w:tc>
          <w:tcPr>
            <w:tcW w:w="360" w:type="dxa"/>
            <w:vAlign w:val="bottom"/>
            <w:gridSpan w:val="2"/>
          </w:tcPr>
          <w:p>
            <w:pPr>
              <w:jc w:val="right"/>
              <w:ind w:right="73"/>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28.92</w:t>
            </w:r>
          </w:p>
        </w:tc>
        <w:tc>
          <w:tcPr>
            <w:tcW w:w="80" w:type="dxa"/>
            <w:vAlign w:val="bottom"/>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310,568</w:t>
            </w:r>
          </w:p>
        </w:tc>
        <w:tc>
          <w:tcPr>
            <w:tcW w:w="200" w:type="dxa"/>
            <w:vAlign w:val="bottom"/>
          </w:tcPr>
          <w:p>
            <w:pPr>
              <w:ind w:left="100"/>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93,258</w:t>
            </w:r>
          </w:p>
        </w:tc>
      </w:tr>
      <w:tr>
        <w:trPr>
          <w:trHeight w:val="20"/>
        </w:trPr>
        <w:tc>
          <w:tcPr>
            <w:tcW w:w="4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No matters to disclose.</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No matters to disclose.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190" w:lineRule="exact"/>
        <w:rPr>
          <w:sz w:val="20"/>
          <w:szCs w:val="20"/>
          <w:color w:val="auto"/>
        </w:rPr>
      </w:pPr>
    </w:p>
    <w:p>
      <w:pPr>
        <w:jc w:val="both"/>
        <w:ind w:right="320"/>
        <w:spacing w:after="0" w:line="279" w:lineRule="auto"/>
        <w:rPr>
          <w:sz w:val="20"/>
          <w:szCs w:val="20"/>
          <w:color w:val="auto"/>
        </w:rPr>
      </w:pPr>
      <w:r>
        <w:rPr>
          <w:rFonts w:ascii="Arial" w:cs="Arial" w:eastAsia="Arial" w:hAnsi="Arial"/>
          <w:sz w:val="16"/>
          <w:szCs w:val="16"/>
          <w:color w:val="auto"/>
        </w:rPr>
        <w:t>During the three months ended September 30, 2023, none of our directors or officers (as defined in Rule 16a-1(f) of the Exchange Act) adopted, modified or terminated any contract, instruction or written plan for the purchase or sale of our securities that was intended to satisfy the affirmative defense conditions of Rule 10b5-1(c) of the Exchange Act or any non-Rule 10b5-1 trading arrangement (as defined in Item 408(c) of Regulation S-K).</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Exhibits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documents are filed as part of this report:</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4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Exhibit Number</w:t>
            </w:r>
          </w:p>
        </w:tc>
        <w:tc>
          <w:tcPr>
            <w:tcW w:w="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5960" w:type="dxa"/>
            <w:vAlign w:val="bottom"/>
            <w:gridSpan w:val="7"/>
          </w:tcPr>
          <w:p>
            <w:pPr>
              <w:ind w:left="400"/>
              <w:spacing w:after="0"/>
              <w:rPr>
                <w:sz w:val="20"/>
                <w:szCs w:val="20"/>
                <w:color w:val="auto"/>
              </w:rPr>
            </w:pPr>
            <w:r>
              <w:rPr>
                <w:rFonts w:ascii="Arial" w:cs="Arial" w:eastAsia="Arial" w:hAnsi="Arial"/>
                <w:sz w:val="14"/>
                <w:szCs w:val="14"/>
                <w:b w:val="1"/>
                <w:bCs w:val="1"/>
                <w:color w:val="auto"/>
              </w:rPr>
              <w:t>Description of Exhibit</w:t>
            </w:r>
          </w:p>
        </w:tc>
      </w:tr>
      <w:tr>
        <w:trPr>
          <w:trHeight w:val="23"/>
        </w:trPr>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150"/>
        </w:trPr>
        <w:tc>
          <w:tcPr>
            <w:tcW w:w="1360" w:type="dxa"/>
            <w:vAlign w:val="bottom"/>
          </w:tcPr>
          <w:p>
            <w:pPr>
              <w:jc w:val="center"/>
              <w:spacing w:after="0" w:line="150" w:lineRule="exact"/>
              <w:rPr>
                <w:sz w:val="20"/>
                <w:szCs w:val="20"/>
                <w:color w:val="auto"/>
              </w:rPr>
            </w:pPr>
            <w:r>
              <w:rPr>
                <w:rFonts w:ascii="Arial" w:cs="Arial" w:eastAsia="Arial" w:hAnsi="Arial"/>
                <w:sz w:val="14"/>
                <w:szCs w:val="14"/>
                <w:color w:val="auto"/>
                <w:w w:val="81"/>
              </w:rPr>
              <w:t>3.1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80" w:type="dxa"/>
            <w:vAlign w:val="bottom"/>
            <w:tcBorders>
              <w:bottom w:val="single" w:sz="8" w:color="0000EE"/>
            </w:tcBorders>
            <w:gridSpan w:val="9"/>
          </w:tcPr>
          <w:p>
            <w:pPr>
              <w:spacing w:after="0" w:line="150" w:lineRule="exact"/>
              <w:rPr>
                <w:rFonts w:ascii="Arial" w:cs="Arial" w:eastAsia="Arial" w:hAnsi="Arial"/>
                <w:sz w:val="14"/>
                <w:szCs w:val="14"/>
                <w:color w:val="0000EE"/>
                <w:w w:val="90"/>
              </w:rPr>
            </w:pPr>
            <w:hyperlink r:id="rId71">
              <w:r>
                <w:rPr>
                  <w:rFonts w:ascii="Arial" w:cs="Arial" w:eastAsia="Arial" w:hAnsi="Arial"/>
                  <w:sz w:val="14"/>
                  <w:szCs w:val="14"/>
                  <w:color w:val="0000EE"/>
                  <w:w w:val="90"/>
                </w:rPr>
                <w:t>Third Amended and Restated Articles of Incorporation of Proto Labs, Inc. (incorporated by reference to Exhibit 3.2 to the Company’s Registration Statement on Form S-1/A,</w:t>
              </w:r>
            </w:hyperlink>
          </w:p>
        </w:tc>
        <w:tc>
          <w:tcPr>
            <w:tcW w:w="100" w:type="dxa"/>
            <w:vAlign w:val="bottom"/>
          </w:tcPr>
          <w:p>
            <w:pPr>
              <w:spacing w:after="0"/>
              <w:rPr>
                <w:sz w:val="13"/>
                <w:szCs w:val="13"/>
                <w:color w:val="auto"/>
              </w:rPr>
            </w:pPr>
          </w:p>
        </w:tc>
      </w:tr>
      <w:tr>
        <w:trPr>
          <w:trHeight w:val="150"/>
        </w:trPr>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gridSpan w:val="10"/>
          </w:tcPr>
          <w:p>
            <w:pPr>
              <w:spacing w:after="0" w:line="150" w:lineRule="exact"/>
              <w:rPr>
                <w:rFonts w:ascii="Arial" w:cs="Arial" w:eastAsia="Arial" w:hAnsi="Arial"/>
                <w:sz w:val="14"/>
                <w:szCs w:val="14"/>
                <w:color w:val="0000EE"/>
              </w:rPr>
            </w:pPr>
            <w:hyperlink r:id="rId71">
              <w:r>
                <w:rPr>
                  <w:rFonts w:ascii="Arial" w:cs="Arial" w:eastAsia="Arial" w:hAnsi="Arial"/>
                  <w:sz w:val="14"/>
                  <w:szCs w:val="14"/>
                  <w:color w:val="0000EE"/>
                </w:rPr>
                <w:t>filed on February 13, 2012).</w:t>
              </w:r>
            </w:hyperlink>
          </w:p>
        </w:tc>
      </w:tr>
      <w:tr>
        <w:trPr>
          <w:trHeight w:val="20"/>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r>
      <w:tr>
        <w:trPr>
          <w:trHeight w:val="189"/>
        </w:trPr>
        <w:tc>
          <w:tcPr>
            <w:tcW w:w="1360" w:type="dxa"/>
            <w:vAlign w:val="bottom"/>
          </w:tcPr>
          <w:p>
            <w:pPr>
              <w:jc w:val="center"/>
              <w:spacing w:after="0"/>
              <w:rPr>
                <w:sz w:val="20"/>
                <w:szCs w:val="20"/>
                <w:color w:val="auto"/>
              </w:rPr>
            </w:pPr>
            <w:r>
              <w:rPr>
                <w:rFonts w:ascii="Arial" w:cs="Arial" w:eastAsia="Arial" w:hAnsi="Arial"/>
                <w:sz w:val="14"/>
                <w:szCs w:val="14"/>
                <w:color w:val="auto"/>
                <w:w w:val="81"/>
              </w:rPr>
              <w:t>3.2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80" w:type="dxa"/>
            <w:vAlign w:val="bottom"/>
            <w:gridSpan w:val="10"/>
          </w:tcPr>
          <w:p>
            <w:pPr>
              <w:spacing w:after="0"/>
              <w:rPr>
                <w:rFonts w:ascii="Arial" w:cs="Arial" w:eastAsia="Arial" w:hAnsi="Arial"/>
                <w:sz w:val="14"/>
                <w:szCs w:val="14"/>
                <w:color w:val="0000EE"/>
                <w:w w:val="94"/>
              </w:rPr>
            </w:pPr>
            <w:hyperlink r:id="rId72">
              <w:r>
                <w:rPr>
                  <w:rFonts w:ascii="Arial" w:cs="Arial" w:eastAsia="Arial" w:hAnsi="Arial"/>
                  <w:sz w:val="14"/>
                  <w:szCs w:val="14"/>
                  <w:color w:val="0000EE"/>
                  <w:w w:val="94"/>
                </w:rPr>
                <w:t>Articles of Amendment to Third Amended and Restated Articles of Incorporation of Proto Labs, Inc. dated May 20, 2015 (incorporated by reference to Exhibit 3.1 to the</w:t>
              </w:r>
            </w:hyperlink>
          </w:p>
        </w:tc>
      </w:tr>
      <w:tr>
        <w:trPr>
          <w:trHeight w:val="150"/>
        </w:trPr>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20" w:type="dxa"/>
            <w:vAlign w:val="bottom"/>
            <w:tcBorders>
              <w:top w:val="single" w:sz="8" w:color="0000EE"/>
            </w:tcBorders>
            <w:gridSpan w:val="7"/>
          </w:tcPr>
          <w:p>
            <w:pPr>
              <w:spacing w:after="0" w:line="150" w:lineRule="exact"/>
              <w:rPr>
                <w:rFonts w:ascii="Arial" w:cs="Arial" w:eastAsia="Arial" w:hAnsi="Arial"/>
                <w:sz w:val="14"/>
                <w:szCs w:val="14"/>
                <w:color w:val="0000EE"/>
              </w:rPr>
            </w:pPr>
            <w:hyperlink r:id="rId72">
              <w:r>
                <w:rPr>
                  <w:rFonts w:ascii="Arial" w:cs="Arial" w:eastAsia="Arial" w:hAnsi="Arial"/>
                  <w:sz w:val="14"/>
                  <w:szCs w:val="14"/>
                  <w:color w:val="0000EE"/>
                </w:rPr>
                <w:t>Company's Form 8-K, filed with the Commission on May 21, 2015).</w:t>
              </w:r>
            </w:hyperlink>
          </w:p>
        </w:tc>
        <w:tc>
          <w:tcPr>
            <w:tcW w:w="360" w:type="dxa"/>
            <w:vAlign w:val="bottom"/>
            <w:gridSpan w:val="3"/>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r>
      <w:tr>
        <w:trPr>
          <w:trHeight w:val="189"/>
        </w:trPr>
        <w:tc>
          <w:tcPr>
            <w:tcW w:w="1360" w:type="dxa"/>
            <w:vAlign w:val="bottom"/>
          </w:tcPr>
          <w:p>
            <w:pPr>
              <w:jc w:val="center"/>
              <w:spacing w:after="0"/>
              <w:rPr>
                <w:sz w:val="20"/>
                <w:szCs w:val="20"/>
                <w:color w:val="auto"/>
              </w:rPr>
            </w:pPr>
            <w:r>
              <w:rPr>
                <w:rFonts w:ascii="Arial" w:cs="Arial" w:eastAsia="Arial" w:hAnsi="Arial"/>
                <w:sz w:val="14"/>
                <w:szCs w:val="14"/>
                <w:color w:val="auto"/>
                <w:w w:val="81"/>
              </w:rPr>
              <w:t>3.3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80" w:type="dxa"/>
            <w:vAlign w:val="bottom"/>
            <w:gridSpan w:val="10"/>
          </w:tcPr>
          <w:p>
            <w:pPr>
              <w:spacing w:after="0"/>
              <w:rPr>
                <w:rFonts w:ascii="Arial" w:cs="Arial" w:eastAsia="Arial" w:hAnsi="Arial"/>
                <w:sz w:val="14"/>
                <w:szCs w:val="14"/>
                <w:color w:val="0000EE"/>
                <w:w w:val="92"/>
              </w:rPr>
            </w:pPr>
            <w:hyperlink r:id="rId73">
              <w:r>
                <w:rPr>
                  <w:rFonts w:ascii="Arial" w:cs="Arial" w:eastAsia="Arial" w:hAnsi="Arial"/>
                  <w:sz w:val="14"/>
                  <w:szCs w:val="14"/>
                  <w:color w:val="0000EE"/>
                  <w:w w:val="92"/>
                </w:rPr>
                <w:t>Third Amended and Restated By-Laws of Proto Labs, Inc., as amended through November 15, 2022 (incorporated by reference to Exhibit 3.2 to the Company's Form 8-K,</w:t>
              </w:r>
            </w:hyperlink>
          </w:p>
        </w:tc>
      </w:tr>
      <w:tr>
        <w:trPr>
          <w:trHeight w:val="150"/>
        </w:trPr>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60" w:type="dxa"/>
            <w:vAlign w:val="bottom"/>
            <w:tcBorders>
              <w:top w:val="single" w:sz="8" w:color="0000EE"/>
              <w:bottom w:val="single" w:sz="8" w:color="0000EE"/>
            </w:tcBorders>
            <w:gridSpan w:val="2"/>
          </w:tcPr>
          <w:p>
            <w:pPr>
              <w:spacing w:after="0" w:line="150" w:lineRule="exact"/>
              <w:rPr>
                <w:rFonts w:ascii="Arial" w:cs="Arial" w:eastAsia="Arial" w:hAnsi="Arial"/>
                <w:sz w:val="14"/>
                <w:szCs w:val="14"/>
                <w:color w:val="0000EE"/>
                <w:w w:val="90"/>
              </w:rPr>
            </w:pPr>
            <w:hyperlink r:id="rId73">
              <w:r>
                <w:rPr>
                  <w:rFonts w:ascii="Arial" w:cs="Arial" w:eastAsia="Arial" w:hAnsi="Arial"/>
                  <w:sz w:val="14"/>
                  <w:szCs w:val="14"/>
                  <w:color w:val="0000EE"/>
                  <w:w w:val="90"/>
                </w:rPr>
                <w:t>filed on November 15, 2022).</w:t>
              </w:r>
            </w:hyperlink>
          </w:p>
        </w:tc>
        <w:tc>
          <w:tcPr>
            <w:tcW w:w="7860" w:type="dxa"/>
            <w:vAlign w:val="bottom"/>
            <w:tcBorders>
              <w:top w:val="single" w:sz="8" w:color="0000EE"/>
            </w:tcBorders>
            <w:gridSpan w:val="6"/>
          </w:tcPr>
          <w:p>
            <w:pPr>
              <w:spacing w:after="0"/>
              <w:rPr>
                <w:sz w:val="13"/>
                <w:szCs w:val="13"/>
                <w:color w:val="auto"/>
              </w:rPr>
            </w:pPr>
          </w:p>
        </w:tc>
        <w:tc>
          <w:tcPr>
            <w:tcW w:w="260" w:type="dxa"/>
            <w:vAlign w:val="bottom"/>
            <w:gridSpan w:val="2"/>
          </w:tcPr>
          <w:p>
            <w:pPr>
              <w:spacing w:after="0"/>
              <w:rPr>
                <w:sz w:val="13"/>
                <w:szCs w:val="13"/>
                <w:color w:val="auto"/>
              </w:rPr>
            </w:pPr>
          </w:p>
        </w:tc>
      </w:tr>
      <w:tr>
        <w:trPr>
          <w:trHeight w:val="189"/>
        </w:trPr>
        <w:tc>
          <w:tcPr>
            <w:tcW w:w="1360" w:type="dxa"/>
            <w:vAlign w:val="bottom"/>
          </w:tcPr>
          <w:p>
            <w:pPr>
              <w:jc w:val="center"/>
              <w:spacing w:after="0"/>
              <w:rPr>
                <w:sz w:val="20"/>
                <w:szCs w:val="20"/>
                <w:color w:val="auto"/>
              </w:rPr>
            </w:pPr>
            <w:r>
              <w:rPr>
                <w:rFonts w:ascii="Arial" w:cs="Arial" w:eastAsia="Arial" w:hAnsi="Arial"/>
                <w:sz w:val="14"/>
                <w:szCs w:val="14"/>
                <w:color w:val="auto"/>
                <w:w w:val="87"/>
              </w:rPr>
              <w:t>31.1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80" w:type="dxa"/>
            <w:vAlign w:val="bottom"/>
            <w:gridSpan w:val="10"/>
          </w:tcPr>
          <w:p>
            <w:pPr>
              <w:spacing w:after="0"/>
              <w:rPr>
                <w:sz w:val="20"/>
                <w:szCs w:val="20"/>
                <w:color w:val="auto"/>
              </w:rPr>
            </w:pPr>
            <w:r>
              <w:rPr>
                <w:rFonts w:ascii="Arial" w:cs="Arial" w:eastAsia="Arial" w:hAnsi="Arial"/>
                <w:sz w:val="14"/>
                <w:szCs w:val="14"/>
                <w:color w:val="0000EE"/>
              </w:rPr>
              <w:t>Certification of the Chief Executive Officer pursuant to Section 302 of the Sarbanes-Oxley Act*</w:t>
            </w:r>
          </w:p>
        </w:tc>
      </w:tr>
      <w:tr>
        <w:trPr>
          <w:trHeight w:val="189"/>
        </w:trPr>
        <w:tc>
          <w:tcPr>
            <w:tcW w:w="1360" w:type="dxa"/>
            <w:vAlign w:val="bottom"/>
          </w:tcPr>
          <w:p>
            <w:pPr>
              <w:jc w:val="center"/>
              <w:spacing w:after="0"/>
              <w:rPr>
                <w:sz w:val="20"/>
                <w:szCs w:val="20"/>
                <w:color w:val="auto"/>
              </w:rPr>
            </w:pPr>
            <w:r>
              <w:rPr>
                <w:rFonts w:ascii="Arial" w:cs="Arial" w:eastAsia="Arial" w:hAnsi="Arial"/>
                <w:sz w:val="14"/>
                <w:szCs w:val="14"/>
                <w:color w:val="auto"/>
                <w:w w:val="87"/>
              </w:rPr>
              <w:t>31.2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360" w:type="dxa"/>
            <w:vAlign w:val="bottom"/>
            <w:tcBorders>
              <w:top w:val="single" w:sz="8" w:color="0000EE"/>
            </w:tcBorders>
            <w:gridSpan w:val="5"/>
          </w:tcPr>
          <w:p>
            <w:pPr>
              <w:spacing w:after="0"/>
              <w:rPr>
                <w:sz w:val="20"/>
                <w:szCs w:val="20"/>
                <w:color w:val="auto"/>
              </w:rPr>
            </w:pPr>
            <w:r>
              <w:rPr>
                <w:rFonts w:ascii="Arial" w:cs="Arial" w:eastAsia="Arial" w:hAnsi="Arial"/>
                <w:sz w:val="14"/>
                <w:szCs w:val="14"/>
                <w:color w:val="0000EE"/>
                <w:w w:val="92"/>
              </w:rPr>
              <w:t>Certification of the Chief Financial Officer pursuant to Section 302 of the Sarbanes-Oxley Act*</w:t>
            </w:r>
          </w:p>
        </w:tc>
        <w:tc>
          <w:tcPr>
            <w:tcW w:w="4420" w:type="dxa"/>
            <w:vAlign w:val="bottom"/>
            <w:gridSpan w:val="5"/>
          </w:tcPr>
          <w:p>
            <w:pPr>
              <w:spacing w:after="0"/>
              <w:rPr>
                <w:sz w:val="16"/>
                <w:szCs w:val="16"/>
                <w:color w:val="auto"/>
              </w:rPr>
            </w:pPr>
          </w:p>
        </w:tc>
      </w:tr>
      <w:tr>
        <w:trPr>
          <w:trHeight w:val="20"/>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20" w:type="dxa"/>
            <w:vAlign w:val="bottom"/>
            <w:gridSpan w:val="4"/>
            <w:shd w:val="clear" w:color="auto" w:fill="0000EE"/>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2640" w:type="dxa"/>
            <w:vAlign w:val="bottom"/>
            <w:gridSpan w:val="4"/>
          </w:tcPr>
          <w:p>
            <w:pPr>
              <w:spacing w:after="0" w:line="20" w:lineRule="exact"/>
              <w:rPr>
                <w:sz w:val="1"/>
                <w:szCs w:val="1"/>
                <w:color w:val="auto"/>
              </w:rPr>
            </w:pPr>
          </w:p>
        </w:tc>
      </w:tr>
      <w:tr>
        <w:trPr>
          <w:trHeight w:val="189"/>
        </w:trPr>
        <w:tc>
          <w:tcPr>
            <w:tcW w:w="1360" w:type="dxa"/>
            <w:vAlign w:val="bottom"/>
          </w:tcPr>
          <w:p>
            <w:pPr>
              <w:jc w:val="center"/>
              <w:spacing w:after="0"/>
              <w:rPr>
                <w:sz w:val="20"/>
                <w:szCs w:val="20"/>
                <w:color w:val="auto"/>
              </w:rPr>
            </w:pPr>
            <w:r>
              <w:rPr>
                <w:rFonts w:ascii="Arial" w:cs="Arial" w:eastAsia="Arial" w:hAnsi="Arial"/>
                <w:sz w:val="14"/>
                <w:szCs w:val="14"/>
                <w:color w:val="auto"/>
                <w:w w:val="87"/>
              </w:rPr>
              <w:t>32.1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80" w:type="dxa"/>
            <w:vAlign w:val="bottom"/>
            <w:gridSpan w:val="10"/>
          </w:tcPr>
          <w:p>
            <w:pPr>
              <w:spacing w:after="0"/>
              <w:rPr>
                <w:sz w:val="20"/>
                <w:szCs w:val="20"/>
                <w:color w:val="auto"/>
              </w:rPr>
            </w:pPr>
            <w:r>
              <w:rPr>
                <w:rFonts w:ascii="Arial" w:cs="Arial" w:eastAsia="Arial" w:hAnsi="Arial"/>
                <w:sz w:val="14"/>
                <w:szCs w:val="14"/>
                <w:color w:val="0000EE"/>
              </w:rPr>
              <w:t>Certification of the Chief Executive Officer and the Chief Financial Officer pursuant to Section 906 of the Sarbanes-Oxley Act*</w:t>
            </w:r>
          </w:p>
        </w:tc>
      </w:tr>
      <w:tr>
        <w:trPr>
          <w:trHeight w:val="20"/>
        </w:trPr>
        <w:tc>
          <w:tcPr>
            <w:tcW w:w="1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140" w:type="dxa"/>
            <w:vAlign w:val="bottom"/>
            <w:gridSpan w:val="6"/>
            <w:shd w:val="clear" w:color="auto" w:fill="0000EE"/>
          </w:tcPr>
          <w:p>
            <w:pPr>
              <w:spacing w:after="0" w:line="20" w:lineRule="exact"/>
              <w:rPr>
                <w:sz w:val="1"/>
                <w:szCs w:val="1"/>
                <w:color w:val="auto"/>
              </w:rPr>
            </w:pPr>
          </w:p>
        </w:tc>
        <w:tc>
          <w:tcPr>
            <w:tcW w:w="2640" w:type="dxa"/>
            <w:vAlign w:val="bottom"/>
            <w:gridSpan w:val="4"/>
          </w:tcPr>
          <w:p>
            <w:pPr>
              <w:spacing w:after="0" w:line="20" w:lineRule="exact"/>
              <w:rPr>
                <w:sz w:val="1"/>
                <w:szCs w:val="1"/>
                <w:color w:val="auto"/>
              </w:rPr>
            </w:pPr>
          </w:p>
        </w:tc>
      </w:tr>
      <w:tr>
        <w:trPr>
          <w:trHeight w:val="218"/>
        </w:trPr>
        <w:tc>
          <w:tcPr>
            <w:tcW w:w="144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101.INS</w:t>
            </w:r>
          </w:p>
        </w:tc>
        <w:tc>
          <w:tcPr>
            <w:tcW w:w="20" w:type="dxa"/>
            <w:vAlign w:val="bottom"/>
          </w:tcPr>
          <w:p>
            <w:pPr>
              <w:spacing w:after="0"/>
              <w:rPr>
                <w:sz w:val="18"/>
                <w:szCs w:val="18"/>
                <w:color w:val="auto"/>
              </w:rPr>
            </w:pPr>
          </w:p>
        </w:tc>
        <w:tc>
          <w:tcPr>
            <w:tcW w:w="9780" w:type="dxa"/>
            <w:vAlign w:val="bottom"/>
            <w:gridSpan w:val="10"/>
          </w:tcPr>
          <w:p>
            <w:pPr>
              <w:spacing w:after="0"/>
              <w:rPr>
                <w:sz w:val="20"/>
                <w:szCs w:val="20"/>
                <w:color w:val="auto"/>
              </w:rPr>
            </w:pPr>
            <w:r>
              <w:rPr>
                <w:rFonts w:ascii="Arial" w:cs="Arial" w:eastAsia="Arial" w:hAnsi="Arial"/>
                <w:sz w:val="14"/>
                <w:szCs w:val="14"/>
                <w:color w:val="auto"/>
                <w:w w:val="90"/>
              </w:rPr>
              <w:t>Inline XBRL Instance Document (the Instance Document does not appear in the Interactive Data File because its XBRL tags are embedded within the Inline XBRL document)</w:t>
            </w:r>
          </w:p>
        </w:tc>
      </w:tr>
      <w:tr>
        <w:trPr>
          <w:trHeight w:val="209"/>
        </w:trPr>
        <w:tc>
          <w:tcPr>
            <w:tcW w:w="1440" w:type="dxa"/>
            <w:vAlign w:val="bottom"/>
            <w:gridSpan w:val="2"/>
          </w:tcPr>
          <w:p>
            <w:pPr>
              <w:jc w:val="center"/>
              <w:ind w:right="80"/>
              <w:spacing w:after="0"/>
              <w:rPr>
                <w:sz w:val="20"/>
                <w:szCs w:val="20"/>
                <w:color w:val="auto"/>
              </w:rPr>
            </w:pPr>
            <w:r>
              <w:rPr>
                <w:rFonts w:ascii="Arial" w:cs="Arial" w:eastAsia="Arial" w:hAnsi="Arial"/>
                <w:sz w:val="14"/>
                <w:szCs w:val="14"/>
                <w:color w:val="auto"/>
                <w:w w:val="91"/>
              </w:rPr>
              <w:t>101.SCH</w:t>
            </w:r>
          </w:p>
        </w:tc>
        <w:tc>
          <w:tcPr>
            <w:tcW w:w="20" w:type="dxa"/>
            <w:vAlign w:val="bottom"/>
          </w:tcPr>
          <w:p>
            <w:pPr>
              <w:spacing w:after="0"/>
              <w:rPr>
                <w:sz w:val="18"/>
                <w:szCs w:val="18"/>
                <w:color w:val="auto"/>
              </w:rPr>
            </w:pPr>
          </w:p>
        </w:tc>
        <w:tc>
          <w:tcPr>
            <w:tcW w:w="9780" w:type="dxa"/>
            <w:vAlign w:val="bottom"/>
            <w:gridSpan w:val="10"/>
          </w:tcPr>
          <w:p>
            <w:pPr>
              <w:spacing w:after="0"/>
              <w:rPr>
                <w:sz w:val="20"/>
                <w:szCs w:val="20"/>
                <w:color w:val="auto"/>
              </w:rPr>
            </w:pPr>
            <w:r>
              <w:rPr>
                <w:rFonts w:ascii="Arial" w:cs="Arial" w:eastAsia="Arial" w:hAnsi="Arial"/>
                <w:sz w:val="14"/>
                <w:szCs w:val="14"/>
                <w:color w:val="auto"/>
              </w:rPr>
              <w:t>Inline XBRL Taxonomy Extension Schema Document</w:t>
            </w:r>
          </w:p>
        </w:tc>
      </w:tr>
      <w:tr>
        <w:trPr>
          <w:trHeight w:val="209"/>
        </w:trPr>
        <w:tc>
          <w:tcPr>
            <w:tcW w:w="1440" w:type="dxa"/>
            <w:vAlign w:val="bottom"/>
            <w:gridSpan w:val="2"/>
          </w:tcPr>
          <w:p>
            <w:pPr>
              <w:jc w:val="center"/>
              <w:ind w:right="80"/>
              <w:spacing w:after="0"/>
              <w:rPr>
                <w:sz w:val="20"/>
                <w:szCs w:val="20"/>
                <w:color w:val="auto"/>
              </w:rPr>
            </w:pPr>
            <w:r>
              <w:rPr>
                <w:rFonts w:ascii="Arial" w:cs="Arial" w:eastAsia="Arial" w:hAnsi="Arial"/>
                <w:sz w:val="14"/>
                <w:szCs w:val="14"/>
                <w:color w:val="auto"/>
                <w:w w:val="95"/>
              </w:rPr>
              <w:t>101.CAL</w:t>
            </w:r>
          </w:p>
        </w:tc>
        <w:tc>
          <w:tcPr>
            <w:tcW w:w="20" w:type="dxa"/>
            <w:vAlign w:val="bottom"/>
          </w:tcPr>
          <w:p>
            <w:pPr>
              <w:spacing w:after="0"/>
              <w:rPr>
                <w:sz w:val="18"/>
                <w:szCs w:val="18"/>
                <w:color w:val="auto"/>
              </w:rPr>
            </w:pPr>
          </w:p>
        </w:tc>
        <w:tc>
          <w:tcPr>
            <w:tcW w:w="9780" w:type="dxa"/>
            <w:vAlign w:val="bottom"/>
            <w:gridSpan w:val="10"/>
          </w:tcPr>
          <w:p>
            <w:pPr>
              <w:spacing w:after="0"/>
              <w:rPr>
                <w:sz w:val="20"/>
                <w:szCs w:val="20"/>
                <w:color w:val="auto"/>
              </w:rPr>
            </w:pPr>
            <w:r>
              <w:rPr>
                <w:rFonts w:ascii="Arial" w:cs="Arial" w:eastAsia="Arial" w:hAnsi="Arial"/>
                <w:sz w:val="14"/>
                <w:szCs w:val="14"/>
                <w:color w:val="auto"/>
              </w:rPr>
              <w:t>Inline XBRL Taxonomy Extension Calculation Linkbase Document</w:t>
            </w:r>
          </w:p>
        </w:tc>
      </w:tr>
      <w:tr>
        <w:trPr>
          <w:trHeight w:val="209"/>
        </w:trPr>
        <w:tc>
          <w:tcPr>
            <w:tcW w:w="144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101.DEF</w:t>
            </w:r>
          </w:p>
        </w:tc>
        <w:tc>
          <w:tcPr>
            <w:tcW w:w="20" w:type="dxa"/>
            <w:vAlign w:val="bottom"/>
          </w:tcPr>
          <w:p>
            <w:pPr>
              <w:spacing w:after="0"/>
              <w:rPr>
                <w:sz w:val="18"/>
                <w:szCs w:val="18"/>
                <w:color w:val="auto"/>
              </w:rPr>
            </w:pPr>
          </w:p>
        </w:tc>
        <w:tc>
          <w:tcPr>
            <w:tcW w:w="9780" w:type="dxa"/>
            <w:vAlign w:val="bottom"/>
            <w:gridSpan w:val="10"/>
          </w:tcPr>
          <w:p>
            <w:pPr>
              <w:spacing w:after="0"/>
              <w:rPr>
                <w:sz w:val="20"/>
                <w:szCs w:val="20"/>
                <w:color w:val="auto"/>
              </w:rPr>
            </w:pPr>
            <w:r>
              <w:rPr>
                <w:rFonts w:ascii="Arial" w:cs="Arial" w:eastAsia="Arial" w:hAnsi="Arial"/>
                <w:sz w:val="14"/>
                <w:szCs w:val="14"/>
                <w:color w:val="auto"/>
              </w:rPr>
              <w:t>Inline XBRL Taxonomy Extension Definition Linkbase Document</w:t>
            </w:r>
          </w:p>
        </w:tc>
      </w:tr>
      <w:tr>
        <w:trPr>
          <w:trHeight w:val="209"/>
        </w:trPr>
        <w:tc>
          <w:tcPr>
            <w:tcW w:w="1440" w:type="dxa"/>
            <w:vAlign w:val="bottom"/>
            <w:gridSpan w:val="2"/>
          </w:tcPr>
          <w:p>
            <w:pPr>
              <w:jc w:val="center"/>
              <w:ind w:right="80"/>
              <w:spacing w:after="0"/>
              <w:rPr>
                <w:sz w:val="20"/>
                <w:szCs w:val="20"/>
                <w:color w:val="auto"/>
              </w:rPr>
            </w:pPr>
            <w:r>
              <w:rPr>
                <w:rFonts w:ascii="Arial" w:cs="Arial" w:eastAsia="Arial" w:hAnsi="Arial"/>
                <w:sz w:val="14"/>
                <w:szCs w:val="14"/>
                <w:color w:val="auto"/>
                <w:w w:val="96"/>
              </w:rPr>
              <w:t>101.LAB</w:t>
            </w:r>
          </w:p>
        </w:tc>
        <w:tc>
          <w:tcPr>
            <w:tcW w:w="20" w:type="dxa"/>
            <w:vAlign w:val="bottom"/>
          </w:tcPr>
          <w:p>
            <w:pPr>
              <w:spacing w:after="0"/>
              <w:rPr>
                <w:sz w:val="18"/>
                <w:szCs w:val="18"/>
                <w:color w:val="auto"/>
              </w:rPr>
            </w:pPr>
          </w:p>
        </w:tc>
        <w:tc>
          <w:tcPr>
            <w:tcW w:w="9780" w:type="dxa"/>
            <w:vAlign w:val="bottom"/>
            <w:gridSpan w:val="10"/>
          </w:tcPr>
          <w:p>
            <w:pPr>
              <w:spacing w:after="0"/>
              <w:rPr>
                <w:sz w:val="20"/>
                <w:szCs w:val="20"/>
                <w:color w:val="auto"/>
              </w:rPr>
            </w:pPr>
            <w:r>
              <w:rPr>
                <w:rFonts w:ascii="Arial" w:cs="Arial" w:eastAsia="Arial" w:hAnsi="Arial"/>
                <w:sz w:val="14"/>
                <w:szCs w:val="14"/>
                <w:color w:val="auto"/>
              </w:rPr>
              <w:t>Inline XBRL Taxonomy Extension Label Linkbase Document</w:t>
            </w:r>
          </w:p>
        </w:tc>
      </w:tr>
      <w:tr>
        <w:trPr>
          <w:trHeight w:val="209"/>
        </w:trPr>
        <w:tc>
          <w:tcPr>
            <w:tcW w:w="144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101.PRE</w:t>
            </w:r>
          </w:p>
        </w:tc>
        <w:tc>
          <w:tcPr>
            <w:tcW w:w="20" w:type="dxa"/>
            <w:vAlign w:val="bottom"/>
          </w:tcPr>
          <w:p>
            <w:pPr>
              <w:spacing w:after="0"/>
              <w:rPr>
                <w:sz w:val="18"/>
                <w:szCs w:val="18"/>
                <w:color w:val="auto"/>
              </w:rPr>
            </w:pPr>
          </w:p>
        </w:tc>
        <w:tc>
          <w:tcPr>
            <w:tcW w:w="9780" w:type="dxa"/>
            <w:vAlign w:val="bottom"/>
            <w:gridSpan w:val="10"/>
          </w:tcPr>
          <w:p>
            <w:pPr>
              <w:spacing w:after="0"/>
              <w:rPr>
                <w:sz w:val="20"/>
                <w:szCs w:val="20"/>
                <w:color w:val="auto"/>
              </w:rPr>
            </w:pPr>
            <w:r>
              <w:rPr>
                <w:rFonts w:ascii="Arial" w:cs="Arial" w:eastAsia="Arial" w:hAnsi="Arial"/>
                <w:sz w:val="14"/>
                <w:szCs w:val="14"/>
                <w:color w:val="auto"/>
              </w:rPr>
              <w:t>Inline XBRL Taxonomy Extension Presentation Linkbase Document</w:t>
            </w:r>
          </w:p>
        </w:tc>
      </w:tr>
    </w:tbl>
    <w:p>
      <w:pPr>
        <w:spacing w:after="0" w:line="31" w:lineRule="exact"/>
        <w:rPr>
          <w:sz w:val="20"/>
          <w:szCs w:val="20"/>
          <w:color w:val="auto"/>
        </w:rPr>
      </w:pPr>
    </w:p>
    <w:p>
      <w:pPr>
        <w:ind w:left="1460" w:hanging="887"/>
        <w:spacing w:after="0"/>
        <w:tabs>
          <w:tab w:leader="none" w:pos="1460" w:val="left"/>
        </w:tabs>
        <w:numPr>
          <w:ilvl w:val="1"/>
          <w:numId w:val="4"/>
        </w:numPr>
        <w:rPr>
          <w:rFonts w:ascii="Arial" w:cs="Arial" w:eastAsia="Arial" w:hAnsi="Arial"/>
          <w:sz w:val="14"/>
          <w:szCs w:val="14"/>
          <w:color w:val="auto"/>
        </w:rPr>
      </w:pPr>
      <w:r>
        <w:rPr>
          <w:rFonts w:ascii="Arial" w:cs="Arial" w:eastAsia="Arial" w:hAnsi="Arial"/>
          <w:sz w:val="14"/>
          <w:szCs w:val="14"/>
          <w:color w:val="auto"/>
        </w:rPr>
        <w:t>Cover Page Interactive Data File (formatted as Inline XBRL and contained in Exhibit 101)</w:t>
      </w:r>
    </w:p>
    <w:p>
      <w:pPr>
        <w:spacing w:after="0" w:line="289"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7"/>
          <w:szCs w:val="17"/>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SIGNATURE</w:t>
      </w:r>
    </w:p>
    <w:p>
      <w:pPr>
        <w:spacing w:after="0" w:line="203"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Proto Labs, Inc.</w:t>
      </w:r>
    </w:p>
    <w:p>
      <w:pPr>
        <w:spacing w:after="0" w:line="301"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17"/>
          <w:szCs w:val="17"/>
          <w:color w:val="auto"/>
        </w:rPr>
        <w:t>Date: November 3, 2023</w:t>
      </w:r>
      <w:r>
        <w:rPr>
          <w:sz w:val="20"/>
          <w:szCs w:val="20"/>
          <w:color w:val="auto"/>
        </w:rPr>
        <w:tab/>
      </w:r>
      <w:r>
        <w:rPr>
          <w:rFonts w:ascii="Arial" w:cs="Arial" w:eastAsia="Arial" w:hAnsi="Arial"/>
          <w:sz w:val="15"/>
          <w:szCs w:val="15"/>
          <w:color w:val="auto"/>
        </w:rPr>
        <w:t>/s/ Robert Bodor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24765</wp:posOffset>
            </wp:positionV>
            <wp:extent cx="28879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2887980" cy="8255"/>
                    </a:xfrm>
                    <a:prstGeom prst="rect">
                      <a:avLst/>
                    </a:prstGeom>
                    <a:noFill/>
                  </pic:spPr>
                </pic:pic>
              </a:graphicData>
            </a:graphic>
          </wp:anchor>
        </w:drawing>
      </w:r>
    </w:p>
    <w:p>
      <w:pPr>
        <w:spacing w:after="0" w:line="46"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Robert Bodor</w:t>
      </w:r>
    </w:p>
    <w:p>
      <w:pPr>
        <w:spacing w:after="0" w:line="53"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President and Chief Executive Officer</w:t>
      </w:r>
    </w:p>
    <w:p>
      <w:pPr>
        <w:spacing w:after="0" w:line="15"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(Principal Executive Officer)</w:t>
      </w:r>
    </w:p>
    <w:p>
      <w:pPr>
        <w:spacing w:after="0" w:line="300"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17"/>
          <w:szCs w:val="17"/>
          <w:color w:val="auto"/>
        </w:rPr>
        <w:t>Date: November 3, 2023</w:t>
      </w:r>
      <w:r>
        <w:rPr>
          <w:sz w:val="20"/>
          <w:szCs w:val="20"/>
          <w:color w:val="auto"/>
        </w:rPr>
        <w:tab/>
      </w:r>
      <w:r>
        <w:rPr>
          <w:rFonts w:ascii="Arial" w:cs="Arial" w:eastAsia="Arial" w:hAnsi="Arial"/>
          <w:sz w:val="15"/>
          <w:szCs w:val="15"/>
          <w:color w:val="auto"/>
        </w:rPr>
        <w:t>/s/ Daniel Schumacher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24765</wp:posOffset>
            </wp:positionV>
            <wp:extent cx="28879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2887980" cy="8255"/>
                    </a:xfrm>
                    <a:prstGeom prst="rect">
                      <a:avLst/>
                    </a:prstGeom>
                    <a:noFill/>
                  </pic:spPr>
                </pic:pic>
              </a:graphicData>
            </a:graphic>
          </wp:anchor>
        </w:drawing>
      </w:r>
    </w:p>
    <w:p>
      <w:pPr>
        <w:spacing w:after="0" w:line="46"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Daniel Schumacher</w:t>
      </w:r>
    </w:p>
    <w:p>
      <w:pPr>
        <w:spacing w:after="0" w:line="53"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Chief Financial Officer</w:t>
      </w:r>
    </w:p>
    <w:p>
      <w:pPr>
        <w:spacing w:after="0" w:line="26"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0840"/>
          </w:cols>
          <w:pgMar w:left="320" w:top="127" w:right="739" w:bottom="1440" w:gutter="0" w:footer="0" w:header="0"/>
        </w:sectPr>
      </w:pPr>
    </w:p>
    <w:bookmarkStart w:id="33" w:name="page34"/>
    <w:bookmarkEnd w:id="33"/>
    <w:p>
      <w:pPr>
        <w:jc w:val="right"/>
        <w:spacing w:after="0"/>
        <w:rPr>
          <w:sz w:val="20"/>
          <w:szCs w:val="20"/>
          <w:color w:val="auto"/>
        </w:rPr>
      </w:pPr>
      <w:r>
        <w:rPr>
          <w:rFonts w:ascii="Arial" w:cs="Arial" w:eastAsia="Arial" w:hAnsi="Arial"/>
          <w:sz w:val="17"/>
          <w:szCs w:val="17"/>
          <w:b w:val="1"/>
          <w:bCs w:val="1"/>
          <w:color w:val="auto"/>
        </w:rPr>
        <w:t>Exhibit 31.1</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RULE 13a-14(a) OR 15d-14(a)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SECURITIES EXCHANGE ACT OF 1934,</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302 OF</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I, Robert Bodor, certify that:</w:t>
      </w:r>
    </w:p>
    <w:p>
      <w:pPr>
        <w:spacing w:after="0" w:line="223" w:lineRule="exact"/>
        <w:rPr>
          <w:sz w:val="20"/>
          <w:szCs w:val="20"/>
          <w:color w:val="auto"/>
        </w:rPr>
      </w:pPr>
    </w:p>
    <w:p>
      <w:pPr>
        <w:ind w:left="640" w:hanging="165"/>
        <w:spacing w:after="0"/>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Proto Labs, Inc.;</w:t>
      </w:r>
    </w:p>
    <w:p>
      <w:pPr>
        <w:spacing w:after="0" w:line="222" w:lineRule="exact"/>
        <w:rPr>
          <w:rFonts w:ascii="Arial" w:cs="Arial" w:eastAsia="Arial" w:hAnsi="Arial"/>
          <w:sz w:val="17"/>
          <w:szCs w:val="17"/>
          <w:color w:val="auto"/>
        </w:rPr>
      </w:pPr>
    </w:p>
    <w:p>
      <w:pPr>
        <w:ind w:right="480" w:firstLine="475"/>
        <w:spacing w:after="0" w:line="358" w:lineRule="auto"/>
        <w:tabs>
          <w:tab w:leader="none" w:pos="627" w:val="left"/>
        </w:tabs>
        <w:numPr>
          <w:ilvl w:val="0"/>
          <w:numId w:val="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2" w:lineRule="exact"/>
        <w:rPr>
          <w:rFonts w:ascii="Arial" w:cs="Arial" w:eastAsia="Arial" w:hAnsi="Arial"/>
          <w:sz w:val="15"/>
          <w:szCs w:val="15"/>
          <w:color w:val="auto"/>
        </w:rPr>
      </w:pPr>
    </w:p>
    <w:p>
      <w:pPr>
        <w:ind w:right="440" w:firstLine="475"/>
        <w:spacing w:after="0" w:line="288" w:lineRule="auto"/>
        <w:tabs>
          <w:tab w:leader="none" w:pos="627"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Arial" w:cs="Arial" w:eastAsia="Arial" w:hAnsi="Arial"/>
          <w:sz w:val="17"/>
          <w:szCs w:val="17"/>
          <w:color w:val="auto"/>
        </w:rPr>
      </w:pPr>
    </w:p>
    <w:p>
      <w:pPr>
        <w:ind w:right="180" w:firstLine="475"/>
        <w:spacing w:after="0" w:line="272" w:lineRule="auto"/>
        <w:tabs>
          <w:tab w:leader="none" w:pos="627"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1" w:lineRule="exact"/>
        <w:rPr>
          <w:rFonts w:ascii="Arial" w:cs="Arial" w:eastAsia="Arial" w:hAnsi="Arial"/>
          <w:sz w:val="17"/>
          <w:szCs w:val="17"/>
          <w:color w:val="auto"/>
        </w:rPr>
      </w:pPr>
    </w:p>
    <w:p>
      <w:pPr>
        <w:ind w:left="1580" w:right="160" w:hanging="478"/>
        <w:spacing w:after="0" w:line="272" w:lineRule="auto"/>
        <w:tabs>
          <w:tab w:leader="none" w:pos="1571" w:val="left"/>
        </w:tabs>
        <w:numPr>
          <w:ilvl w:val="1"/>
          <w:numId w:val="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1" w:lineRule="exact"/>
        <w:rPr>
          <w:rFonts w:ascii="Arial" w:cs="Arial" w:eastAsia="Arial" w:hAnsi="Arial"/>
          <w:sz w:val="17"/>
          <w:szCs w:val="17"/>
          <w:color w:val="auto"/>
        </w:rPr>
      </w:pPr>
    </w:p>
    <w:p>
      <w:pPr>
        <w:ind w:left="1580" w:right="100" w:hanging="478"/>
        <w:spacing w:after="0" w:line="272" w:lineRule="auto"/>
        <w:tabs>
          <w:tab w:leader="none" w:pos="1568" w:val="left"/>
        </w:tabs>
        <w:numPr>
          <w:ilvl w:val="1"/>
          <w:numId w:val="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1" w:lineRule="exact"/>
        <w:rPr>
          <w:rFonts w:ascii="Arial" w:cs="Arial" w:eastAsia="Arial" w:hAnsi="Arial"/>
          <w:sz w:val="17"/>
          <w:szCs w:val="17"/>
          <w:color w:val="auto"/>
        </w:rPr>
      </w:pPr>
    </w:p>
    <w:p>
      <w:pPr>
        <w:jc w:val="both"/>
        <w:ind w:left="1580" w:right="260" w:hanging="478"/>
        <w:spacing w:after="0" w:line="358" w:lineRule="auto"/>
        <w:tabs>
          <w:tab w:leader="none" w:pos="1571" w:val="left"/>
        </w:tabs>
        <w:numPr>
          <w:ilvl w:val="1"/>
          <w:numId w:val="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Arial" w:cs="Arial" w:eastAsia="Arial" w:hAnsi="Arial"/>
          <w:sz w:val="15"/>
          <w:szCs w:val="15"/>
          <w:color w:val="auto"/>
        </w:rPr>
      </w:pPr>
    </w:p>
    <w:p>
      <w:pPr>
        <w:ind w:left="1580" w:right="260" w:hanging="478"/>
        <w:spacing w:after="0" w:line="272" w:lineRule="auto"/>
        <w:tabs>
          <w:tab w:leader="none" w:pos="1568" w:val="left"/>
        </w:tabs>
        <w:numPr>
          <w:ilvl w:val="1"/>
          <w:numId w:val="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1" w:lineRule="exact"/>
        <w:rPr>
          <w:rFonts w:ascii="Arial" w:cs="Arial" w:eastAsia="Arial" w:hAnsi="Arial"/>
          <w:sz w:val="17"/>
          <w:szCs w:val="17"/>
          <w:color w:val="auto"/>
        </w:rPr>
      </w:pPr>
    </w:p>
    <w:p>
      <w:pPr>
        <w:ind w:right="360" w:firstLine="475"/>
        <w:spacing w:after="0" w:line="321" w:lineRule="auto"/>
        <w:tabs>
          <w:tab w:leader="none" w:pos="627"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Arial" w:cs="Arial" w:eastAsia="Arial" w:hAnsi="Arial"/>
          <w:sz w:val="16"/>
          <w:szCs w:val="16"/>
          <w:color w:val="auto"/>
        </w:rPr>
      </w:pPr>
    </w:p>
    <w:p>
      <w:pPr>
        <w:ind w:left="1580" w:right="500" w:hanging="478"/>
        <w:spacing w:after="0" w:line="321" w:lineRule="auto"/>
        <w:tabs>
          <w:tab w:leader="none" w:pos="1571" w:val="left"/>
        </w:tabs>
        <w:numPr>
          <w:ilvl w:val="1"/>
          <w:numId w:val="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Arial" w:cs="Arial" w:eastAsia="Arial" w:hAnsi="Arial"/>
          <w:sz w:val="16"/>
          <w:szCs w:val="16"/>
          <w:color w:val="auto"/>
        </w:rPr>
      </w:pPr>
    </w:p>
    <w:p>
      <w:pPr>
        <w:ind w:left="1580" w:right="200" w:hanging="478"/>
        <w:spacing w:after="0" w:line="288" w:lineRule="auto"/>
        <w:tabs>
          <w:tab w:leader="none" w:pos="1568" w:val="left"/>
        </w:tabs>
        <w:numPr>
          <w:ilvl w:val="1"/>
          <w:numId w:val="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p>
      <w:pPr>
        <w:ind w:left="20"/>
        <w:spacing w:after="0"/>
        <w:tabs>
          <w:tab w:leader="none" w:pos="5900" w:val="left"/>
          <w:tab w:leader="none" w:pos="6360" w:val="left"/>
        </w:tabs>
        <w:rPr>
          <w:sz w:val="20"/>
          <w:szCs w:val="20"/>
          <w:color w:val="auto"/>
        </w:rPr>
      </w:pPr>
      <w:r>
        <w:rPr>
          <w:rFonts w:ascii="Arial" w:cs="Arial" w:eastAsia="Arial" w:hAnsi="Arial"/>
          <w:sz w:val="17"/>
          <w:szCs w:val="17"/>
          <w:color w:val="auto"/>
        </w:rPr>
        <w:t>Date: November 3, 2023</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Robert Bodor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4036060</wp:posOffset>
            </wp:positionH>
            <wp:positionV relativeFrom="paragraph">
              <wp:posOffset>33020</wp:posOffset>
            </wp:positionV>
            <wp:extent cx="31038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3103880" cy="8255"/>
                    </a:xfrm>
                    <a:prstGeom prst="rect">
                      <a:avLst/>
                    </a:prstGeom>
                    <a:noFill/>
                  </pic:spPr>
                </pic:pic>
              </a:graphicData>
            </a:graphic>
          </wp:anchor>
        </w:drawing>
      </w:r>
    </w:p>
    <w:p>
      <w:pPr>
        <w:spacing w:after="0" w:line="59" w:lineRule="exact"/>
        <w:rPr>
          <w:sz w:val="20"/>
          <w:szCs w:val="20"/>
          <w:color w:val="auto"/>
        </w:rPr>
      </w:pPr>
    </w:p>
    <w:p>
      <w:pPr>
        <w:ind w:left="6380"/>
        <w:spacing w:after="0"/>
        <w:rPr>
          <w:sz w:val="20"/>
          <w:szCs w:val="20"/>
          <w:color w:val="auto"/>
        </w:rPr>
      </w:pPr>
      <w:r>
        <w:rPr>
          <w:rFonts w:ascii="Arial" w:cs="Arial" w:eastAsia="Arial" w:hAnsi="Arial"/>
          <w:sz w:val="17"/>
          <w:szCs w:val="17"/>
          <w:color w:val="auto"/>
        </w:rPr>
        <w:t>Robert Bodor</w:t>
      </w:r>
    </w:p>
    <w:p>
      <w:pPr>
        <w:spacing w:after="0" w:line="66" w:lineRule="exact"/>
        <w:rPr>
          <w:sz w:val="20"/>
          <w:szCs w:val="20"/>
          <w:color w:val="auto"/>
        </w:rPr>
      </w:pPr>
    </w:p>
    <w:p>
      <w:pPr>
        <w:ind w:left="6380"/>
        <w:spacing w:after="0"/>
        <w:rPr>
          <w:sz w:val="20"/>
          <w:szCs w:val="20"/>
          <w:color w:val="auto"/>
        </w:rPr>
      </w:pPr>
      <w:r>
        <w:rPr>
          <w:rFonts w:ascii="Arial" w:cs="Arial" w:eastAsia="Arial" w:hAnsi="Arial"/>
          <w:sz w:val="17"/>
          <w:szCs w:val="17"/>
          <w:color w:val="auto"/>
        </w:rPr>
        <w:t>President and Chief Executive Officer</w:t>
      </w:r>
    </w:p>
    <w:p>
      <w:pPr>
        <w:spacing w:after="0" w:line="66" w:lineRule="exact"/>
        <w:rPr>
          <w:sz w:val="20"/>
          <w:szCs w:val="20"/>
          <w:color w:val="auto"/>
        </w:rPr>
      </w:pPr>
    </w:p>
    <w:p>
      <w:pPr>
        <w:ind w:left="638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240"/>
          </w:cols>
          <w:pgMar w:left="320" w:top="1114"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7"/>
          <w:szCs w:val="17"/>
          <w:b w:val="1"/>
          <w:bCs w:val="1"/>
          <w:color w:val="auto"/>
        </w:rPr>
        <w:t>Exhibit 31.2</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RULE 13a-14(a) OR 15d-14(a)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SECURITIES EXCHANGE ACT OF 1934,</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302 OF</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I, Daniel Schumacher, certify that:</w:t>
      </w:r>
    </w:p>
    <w:p>
      <w:pPr>
        <w:spacing w:after="0" w:line="223" w:lineRule="exact"/>
        <w:rPr>
          <w:sz w:val="20"/>
          <w:szCs w:val="20"/>
          <w:color w:val="auto"/>
        </w:rPr>
      </w:pPr>
    </w:p>
    <w:p>
      <w:pPr>
        <w:ind w:left="640" w:hanging="165"/>
        <w:spacing w:after="0"/>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Proto Labs, Inc.;</w:t>
      </w:r>
    </w:p>
    <w:p>
      <w:pPr>
        <w:spacing w:after="0" w:line="222" w:lineRule="exact"/>
        <w:rPr>
          <w:rFonts w:ascii="Arial" w:cs="Arial" w:eastAsia="Arial" w:hAnsi="Arial"/>
          <w:sz w:val="17"/>
          <w:szCs w:val="17"/>
          <w:color w:val="auto"/>
        </w:rPr>
      </w:pPr>
    </w:p>
    <w:p>
      <w:pPr>
        <w:ind w:right="480" w:firstLine="475"/>
        <w:spacing w:after="0" w:line="358" w:lineRule="auto"/>
        <w:tabs>
          <w:tab w:leader="none" w:pos="627" w:val="left"/>
        </w:tabs>
        <w:numPr>
          <w:ilvl w:val="0"/>
          <w:numId w:val="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2" w:lineRule="exact"/>
        <w:rPr>
          <w:rFonts w:ascii="Arial" w:cs="Arial" w:eastAsia="Arial" w:hAnsi="Arial"/>
          <w:sz w:val="15"/>
          <w:szCs w:val="15"/>
          <w:color w:val="auto"/>
        </w:rPr>
      </w:pPr>
    </w:p>
    <w:p>
      <w:pPr>
        <w:ind w:right="440" w:firstLine="475"/>
        <w:spacing w:after="0" w:line="288" w:lineRule="auto"/>
        <w:tabs>
          <w:tab w:leader="none" w:pos="627"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Arial" w:cs="Arial" w:eastAsia="Arial" w:hAnsi="Arial"/>
          <w:sz w:val="17"/>
          <w:szCs w:val="17"/>
          <w:color w:val="auto"/>
        </w:rPr>
      </w:pPr>
    </w:p>
    <w:p>
      <w:pPr>
        <w:ind w:right="180" w:firstLine="475"/>
        <w:spacing w:after="0" w:line="272" w:lineRule="auto"/>
        <w:tabs>
          <w:tab w:leader="none" w:pos="627"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1" w:lineRule="exact"/>
        <w:rPr>
          <w:rFonts w:ascii="Arial" w:cs="Arial" w:eastAsia="Arial" w:hAnsi="Arial"/>
          <w:sz w:val="17"/>
          <w:szCs w:val="17"/>
          <w:color w:val="auto"/>
        </w:rPr>
      </w:pPr>
    </w:p>
    <w:p>
      <w:pPr>
        <w:ind w:left="1580" w:right="160" w:hanging="478"/>
        <w:spacing w:after="0" w:line="272" w:lineRule="auto"/>
        <w:tabs>
          <w:tab w:leader="none" w:pos="1571" w:val="left"/>
        </w:tabs>
        <w:numPr>
          <w:ilvl w:val="1"/>
          <w:numId w:val="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1" w:lineRule="exact"/>
        <w:rPr>
          <w:rFonts w:ascii="Arial" w:cs="Arial" w:eastAsia="Arial" w:hAnsi="Arial"/>
          <w:sz w:val="17"/>
          <w:szCs w:val="17"/>
          <w:color w:val="auto"/>
        </w:rPr>
      </w:pPr>
    </w:p>
    <w:p>
      <w:pPr>
        <w:ind w:left="1580" w:right="100" w:hanging="478"/>
        <w:spacing w:after="0" w:line="272" w:lineRule="auto"/>
        <w:tabs>
          <w:tab w:leader="none" w:pos="1568" w:val="left"/>
        </w:tabs>
        <w:numPr>
          <w:ilvl w:val="1"/>
          <w:numId w:val="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1" w:lineRule="exact"/>
        <w:rPr>
          <w:rFonts w:ascii="Arial" w:cs="Arial" w:eastAsia="Arial" w:hAnsi="Arial"/>
          <w:sz w:val="17"/>
          <w:szCs w:val="17"/>
          <w:color w:val="auto"/>
        </w:rPr>
      </w:pPr>
    </w:p>
    <w:p>
      <w:pPr>
        <w:jc w:val="both"/>
        <w:ind w:left="1580" w:right="260" w:hanging="478"/>
        <w:spacing w:after="0" w:line="358" w:lineRule="auto"/>
        <w:tabs>
          <w:tab w:leader="none" w:pos="1571" w:val="left"/>
        </w:tabs>
        <w:numPr>
          <w:ilvl w:val="1"/>
          <w:numId w:val="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Arial" w:cs="Arial" w:eastAsia="Arial" w:hAnsi="Arial"/>
          <w:sz w:val="15"/>
          <w:szCs w:val="15"/>
          <w:color w:val="auto"/>
        </w:rPr>
      </w:pPr>
    </w:p>
    <w:p>
      <w:pPr>
        <w:ind w:left="1580" w:right="260" w:hanging="478"/>
        <w:spacing w:after="0" w:line="272" w:lineRule="auto"/>
        <w:tabs>
          <w:tab w:leader="none" w:pos="1568" w:val="left"/>
        </w:tabs>
        <w:numPr>
          <w:ilvl w:val="1"/>
          <w:numId w:val="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1" w:lineRule="exact"/>
        <w:rPr>
          <w:rFonts w:ascii="Arial" w:cs="Arial" w:eastAsia="Arial" w:hAnsi="Arial"/>
          <w:sz w:val="17"/>
          <w:szCs w:val="17"/>
          <w:color w:val="auto"/>
        </w:rPr>
      </w:pPr>
    </w:p>
    <w:p>
      <w:pPr>
        <w:ind w:right="360" w:firstLine="475"/>
        <w:spacing w:after="0" w:line="321" w:lineRule="auto"/>
        <w:tabs>
          <w:tab w:leader="none" w:pos="627"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Arial" w:cs="Arial" w:eastAsia="Arial" w:hAnsi="Arial"/>
          <w:sz w:val="16"/>
          <w:szCs w:val="16"/>
          <w:color w:val="auto"/>
        </w:rPr>
      </w:pPr>
    </w:p>
    <w:p>
      <w:pPr>
        <w:ind w:left="1580" w:right="500" w:hanging="478"/>
        <w:spacing w:after="0" w:line="321" w:lineRule="auto"/>
        <w:tabs>
          <w:tab w:leader="none" w:pos="1571" w:val="left"/>
        </w:tabs>
        <w:numPr>
          <w:ilvl w:val="1"/>
          <w:numId w:val="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Arial" w:cs="Arial" w:eastAsia="Arial" w:hAnsi="Arial"/>
          <w:sz w:val="16"/>
          <w:szCs w:val="16"/>
          <w:color w:val="auto"/>
        </w:rPr>
      </w:pPr>
    </w:p>
    <w:p>
      <w:pPr>
        <w:ind w:left="1580" w:right="200" w:hanging="478"/>
        <w:spacing w:after="0" w:line="288" w:lineRule="auto"/>
        <w:tabs>
          <w:tab w:leader="none" w:pos="1568" w:val="left"/>
        </w:tabs>
        <w:numPr>
          <w:ilvl w:val="1"/>
          <w:numId w:val="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p>
      <w:pPr>
        <w:ind w:left="20"/>
        <w:spacing w:after="0"/>
        <w:tabs>
          <w:tab w:leader="none" w:pos="5900" w:val="left"/>
          <w:tab w:leader="none" w:pos="6360" w:val="left"/>
        </w:tabs>
        <w:rPr>
          <w:sz w:val="20"/>
          <w:szCs w:val="20"/>
          <w:color w:val="auto"/>
        </w:rPr>
      </w:pPr>
      <w:r>
        <w:rPr>
          <w:rFonts w:ascii="Arial" w:cs="Arial" w:eastAsia="Arial" w:hAnsi="Arial"/>
          <w:sz w:val="17"/>
          <w:szCs w:val="17"/>
          <w:color w:val="auto"/>
        </w:rPr>
        <w:t>Date: November 3, 2023</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Daniel Schumacher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4036060</wp:posOffset>
            </wp:positionH>
            <wp:positionV relativeFrom="paragraph">
              <wp:posOffset>33020</wp:posOffset>
            </wp:positionV>
            <wp:extent cx="31038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3103880" cy="8255"/>
                    </a:xfrm>
                    <a:prstGeom prst="rect">
                      <a:avLst/>
                    </a:prstGeom>
                    <a:noFill/>
                  </pic:spPr>
                </pic:pic>
              </a:graphicData>
            </a:graphic>
          </wp:anchor>
        </w:drawing>
      </w:r>
    </w:p>
    <w:p>
      <w:pPr>
        <w:spacing w:after="0" w:line="59" w:lineRule="exact"/>
        <w:rPr>
          <w:sz w:val="20"/>
          <w:szCs w:val="20"/>
          <w:color w:val="auto"/>
        </w:rPr>
      </w:pPr>
    </w:p>
    <w:p>
      <w:pPr>
        <w:ind w:left="6380"/>
        <w:spacing w:after="0"/>
        <w:rPr>
          <w:sz w:val="20"/>
          <w:szCs w:val="20"/>
          <w:color w:val="auto"/>
        </w:rPr>
      </w:pPr>
      <w:r>
        <w:rPr>
          <w:rFonts w:ascii="Arial" w:cs="Arial" w:eastAsia="Arial" w:hAnsi="Arial"/>
          <w:sz w:val="17"/>
          <w:szCs w:val="17"/>
          <w:color w:val="auto"/>
        </w:rPr>
        <w:t>Daniel Schumacher</w:t>
      </w:r>
    </w:p>
    <w:p>
      <w:pPr>
        <w:spacing w:after="0" w:line="66" w:lineRule="exact"/>
        <w:rPr>
          <w:sz w:val="20"/>
          <w:szCs w:val="20"/>
          <w:color w:val="auto"/>
        </w:rPr>
      </w:pPr>
    </w:p>
    <w:p>
      <w:pPr>
        <w:ind w:left="6380"/>
        <w:spacing w:after="0"/>
        <w:rPr>
          <w:sz w:val="20"/>
          <w:szCs w:val="20"/>
          <w:color w:val="auto"/>
        </w:rPr>
      </w:pPr>
      <w:r>
        <w:rPr>
          <w:rFonts w:ascii="Arial" w:cs="Arial" w:eastAsia="Arial" w:hAnsi="Arial"/>
          <w:sz w:val="17"/>
          <w:szCs w:val="17"/>
          <w:color w:val="auto"/>
        </w:rPr>
        <w:t>Chief Financial Officer</w:t>
      </w:r>
    </w:p>
    <w:p>
      <w:pPr>
        <w:spacing w:after="0" w:line="66" w:lineRule="exact"/>
        <w:rPr>
          <w:sz w:val="20"/>
          <w:szCs w:val="20"/>
          <w:color w:val="auto"/>
        </w:rPr>
      </w:pPr>
    </w:p>
    <w:p>
      <w:pPr>
        <w:ind w:left="6380"/>
        <w:spacing w:after="0"/>
        <w:rPr>
          <w:sz w:val="20"/>
          <w:szCs w:val="20"/>
          <w:color w:val="auto"/>
        </w:rPr>
      </w:pPr>
      <w:r>
        <w:rPr>
          <w:rFonts w:ascii="Arial" w:cs="Arial" w:eastAsia="Arial" w:hAnsi="Arial"/>
          <w:sz w:val="17"/>
          <w:szCs w:val="17"/>
          <w:color w:val="auto"/>
        </w:rPr>
        <w:t>(Principal Financial Officer)</w:t>
      </w:r>
    </w:p>
    <w:p>
      <w:pPr>
        <w:sectPr>
          <w:pgSz w:w="11900" w:h="16838" w:orient="portrait"/>
          <w:cols w:equalWidth="0" w:num="1">
            <w:col w:w="11240"/>
          </w:cols>
          <w:pgMar w:left="320" w:top="1114"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7"/>
          <w:szCs w:val="17"/>
          <w:b w:val="1"/>
          <w:bCs w:val="1"/>
          <w:color w:val="auto"/>
        </w:rPr>
        <w:t>Exhibit 32.1</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EXECUTIVE OFFICER AND CHIEF FINANCIAL OFFICER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11"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I, Robert Bodor, certify, pursuant to 18 U.S.C. Section 1350, as adopted pursuant to Section 906 of the Sarbanes-Oxley Act of 2002, that the Quarterly Report of Proto Labs, Inc. on Form 10-Q for the fiscal quarter ended September 30, 2023 fully complies with the requirements of Section 13(a) or 15(d) of the Securities Exchange Act of 1934 and that information contained in such Quarterly Report on Form 10-Q fairly presents in all material respects the financial condition and results of operations of Proto Labs, Inc.</w:t>
      </w: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221"/>
        </w:trPr>
        <w:tc>
          <w:tcPr>
            <w:tcW w:w="3920" w:type="dxa"/>
            <w:vAlign w:val="bottom"/>
          </w:tcPr>
          <w:p>
            <w:pPr>
              <w:spacing w:after="0"/>
              <w:rPr>
                <w:sz w:val="20"/>
                <w:szCs w:val="20"/>
                <w:color w:val="auto"/>
              </w:rPr>
            </w:pPr>
            <w:r>
              <w:rPr>
                <w:rFonts w:ascii="Arial" w:cs="Arial" w:eastAsia="Arial" w:hAnsi="Arial"/>
                <w:sz w:val="17"/>
                <w:szCs w:val="17"/>
                <w:color w:val="auto"/>
              </w:rPr>
              <w:t>Date: November 3, 2023</w:t>
            </w:r>
          </w:p>
        </w:tc>
        <w:tc>
          <w:tcPr>
            <w:tcW w:w="3000" w:type="dxa"/>
            <w:vAlign w:val="bottom"/>
          </w:tcPr>
          <w:p>
            <w:pPr>
              <w:ind w:left="2220"/>
              <w:spacing w:after="0"/>
              <w:rPr>
                <w:sz w:val="20"/>
                <w:szCs w:val="20"/>
                <w:color w:val="auto"/>
              </w:rPr>
            </w:pPr>
            <w:r>
              <w:rPr>
                <w:rFonts w:ascii="Arial" w:cs="Arial" w:eastAsia="Arial" w:hAnsi="Arial"/>
                <w:sz w:val="17"/>
                <w:szCs w:val="17"/>
                <w:color w:val="auto"/>
              </w:rPr>
              <w:t>By:</w:t>
            </w:r>
          </w:p>
        </w:tc>
        <w:tc>
          <w:tcPr>
            <w:tcW w:w="4300" w:type="dxa"/>
            <w:vAlign w:val="bottom"/>
          </w:tcPr>
          <w:p>
            <w:pPr>
              <w:spacing w:after="0"/>
              <w:rPr>
                <w:sz w:val="20"/>
                <w:szCs w:val="20"/>
                <w:color w:val="auto"/>
              </w:rPr>
            </w:pPr>
            <w:r>
              <w:rPr>
                <w:rFonts w:ascii="Arial" w:cs="Arial" w:eastAsia="Arial" w:hAnsi="Arial"/>
                <w:sz w:val="17"/>
                <w:szCs w:val="17"/>
                <w:color w:val="auto"/>
              </w:rPr>
              <w:t>/s/ Robert Bodor</w:t>
            </w:r>
          </w:p>
        </w:tc>
        <w:tc>
          <w:tcPr>
            <w:tcW w:w="0" w:type="dxa"/>
            <w:vAlign w:val="bottom"/>
          </w:tcPr>
          <w:p>
            <w:pPr>
              <w:spacing w:after="0"/>
              <w:rPr>
                <w:sz w:val="1"/>
                <w:szCs w:val="1"/>
                <w:color w:val="auto"/>
              </w:rPr>
            </w:pPr>
          </w:p>
        </w:tc>
      </w:tr>
      <w:tr>
        <w:trPr>
          <w:trHeight w:val="26"/>
        </w:trPr>
        <w:tc>
          <w:tcPr>
            <w:tcW w:w="3920" w:type="dxa"/>
            <w:vAlign w:val="bottom"/>
          </w:tcPr>
          <w:p>
            <w:pPr>
              <w:spacing w:after="0"/>
              <w:rPr>
                <w:sz w:val="2"/>
                <w:szCs w:val="2"/>
                <w:color w:val="auto"/>
              </w:rPr>
            </w:pPr>
          </w:p>
        </w:tc>
        <w:tc>
          <w:tcPr>
            <w:tcW w:w="3000" w:type="dxa"/>
            <w:vAlign w:val="bottom"/>
            <w:vMerge w:val="restart"/>
          </w:tcPr>
          <w:p>
            <w:pPr>
              <w:ind w:left="2220"/>
              <w:spacing w:after="0"/>
              <w:rPr>
                <w:sz w:val="20"/>
                <w:szCs w:val="20"/>
                <w:color w:val="auto"/>
              </w:rPr>
            </w:pPr>
            <w:r>
              <w:rPr>
                <w:rFonts w:ascii="Arial" w:cs="Arial" w:eastAsia="Arial" w:hAnsi="Arial"/>
                <w:sz w:val="17"/>
                <w:szCs w:val="17"/>
                <w:color w:val="auto"/>
              </w:rPr>
              <w:t>Name:</w:t>
            </w:r>
          </w:p>
        </w:tc>
        <w:tc>
          <w:tcPr>
            <w:tcW w:w="4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920" w:type="dxa"/>
            <w:vAlign w:val="bottom"/>
          </w:tcPr>
          <w:p>
            <w:pPr>
              <w:spacing w:after="0"/>
              <w:rPr>
                <w:sz w:val="19"/>
                <w:szCs w:val="19"/>
                <w:color w:val="auto"/>
              </w:rPr>
            </w:pPr>
          </w:p>
        </w:tc>
        <w:tc>
          <w:tcPr>
            <w:tcW w:w="3000" w:type="dxa"/>
            <w:vAlign w:val="bottom"/>
            <w:vMerge w:val="continue"/>
          </w:tcPr>
          <w:p>
            <w:pPr>
              <w:spacing w:after="0"/>
              <w:rPr>
                <w:sz w:val="19"/>
                <w:szCs w:val="19"/>
                <w:color w:val="auto"/>
              </w:rPr>
            </w:pPr>
          </w:p>
        </w:tc>
        <w:tc>
          <w:tcPr>
            <w:tcW w:w="4300" w:type="dxa"/>
            <w:vAlign w:val="bottom"/>
          </w:tcPr>
          <w:p>
            <w:pPr>
              <w:ind w:left="120"/>
              <w:spacing w:after="0"/>
              <w:rPr>
                <w:sz w:val="20"/>
                <w:szCs w:val="20"/>
                <w:color w:val="auto"/>
              </w:rPr>
            </w:pPr>
            <w:r>
              <w:rPr>
                <w:rFonts w:ascii="Arial" w:cs="Arial" w:eastAsia="Arial" w:hAnsi="Arial"/>
                <w:sz w:val="17"/>
                <w:szCs w:val="17"/>
                <w:color w:val="auto"/>
              </w:rPr>
              <w:t>Robert Bodor</w:t>
            </w:r>
          </w:p>
        </w:tc>
        <w:tc>
          <w:tcPr>
            <w:tcW w:w="0" w:type="dxa"/>
            <w:vAlign w:val="bottom"/>
          </w:tcPr>
          <w:p>
            <w:pPr>
              <w:spacing w:after="0"/>
              <w:rPr>
                <w:sz w:val="1"/>
                <w:szCs w:val="1"/>
                <w:color w:val="auto"/>
              </w:rPr>
            </w:pPr>
          </w:p>
        </w:tc>
      </w:tr>
      <w:tr>
        <w:trPr>
          <w:trHeight w:val="261"/>
        </w:trPr>
        <w:tc>
          <w:tcPr>
            <w:tcW w:w="3920" w:type="dxa"/>
            <w:vAlign w:val="bottom"/>
          </w:tcPr>
          <w:p>
            <w:pPr>
              <w:spacing w:after="0"/>
              <w:rPr>
                <w:sz w:val="22"/>
                <w:szCs w:val="22"/>
                <w:color w:val="auto"/>
              </w:rPr>
            </w:pPr>
          </w:p>
        </w:tc>
        <w:tc>
          <w:tcPr>
            <w:tcW w:w="3000" w:type="dxa"/>
            <w:vAlign w:val="bottom"/>
          </w:tcPr>
          <w:p>
            <w:pPr>
              <w:ind w:left="2220"/>
              <w:spacing w:after="0"/>
              <w:rPr>
                <w:sz w:val="20"/>
                <w:szCs w:val="20"/>
                <w:color w:val="auto"/>
              </w:rPr>
            </w:pPr>
            <w:r>
              <w:rPr>
                <w:rFonts w:ascii="Arial" w:cs="Arial" w:eastAsia="Arial" w:hAnsi="Arial"/>
                <w:sz w:val="17"/>
                <w:szCs w:val="17"/>
                <w:color w:val="auto"/>
              </w:rPr>
              <w:t>Title:</w:t>
            </w:r>
          </w:p>
        </w:tc>
        <w:tc>
          <w:tcPr>
            <w:tcW w:w="4300" w:type="dxa"/>
            <w:vAlign w:val="bottom"/>
          </w:tcPr>
          <w:p>
            <w:pPr>
              <w:ind w:left="120"/>
              <w:spacing w:after="0"/>
              <w:rPr>
                <w:sz w:val="20"/>
                <w:szCs w:val="20"/>
                <w:color w:val="auto"/>
              </w:rPr>
            </w:pPr>
            <w:r>
              <w:rPr>
                <w:rFonts w:ascii="Arial" w:cs="Arial" w:eastAsia="Arial" w:hAnsi="Arial"/>
                <w:sz w:val="17"/>
                <w:szCs w:val="17"/>
                <w:color w:val="auto"/>
              </w:rPr>
              <w:t>President and Chief Executive Officer</w:t>
            </w:r>
          </w:p>
        </w:tc>
        <w:tc>
          <w:tcPr>
            <w:tcW w:w="0" w:type="dxa"/>
            <w:vAlign w:val="bottom"/>
          </w:tcPr>
          <w:p>
            <w:pPr>
              <w:spacing w:after="0"/>
              <w:rPr>
                <w:sz w:val="1"/>
                <w:szCs w:val="1"/>
                <w:color w:val="auto"/>
              </w:rPr>
            </w:pPr>
          </w:p>
        </w:tc>
      </w:tr>
    </w:tbl>
    <w:p>
      <w:pPr>
        <w:spacing w:after="0" w:line="315"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color w:val="auto"/>
        </w:rPr>
        <w:t>I, Daniel Schumacher, certify, pursuant to 18 U.S.C. Section 1350, as adopted pursuant to Section 906 of the Sarbanes-Oxley Act of 2002, that the Quarterly Report of Proto Labs, Inc. on Form 10-Q for the fiscal quarter ended September 30, 2023 fully complies with the requirements of Section 13(a) or 15(d) of the Securities Exchange Act of 1934 and that information contained in such Quarterly Report on Form 10-Q fairly presents in all material respects the financial condition and results of operations of Proto Labs, Inc.</w:t>
      </w: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221"/>
        </w:trPr>
        <w:tc>
          <w:tcPr>
            <w:tcW w:w="3920" w:type="dxa"/>
            <w:vAlign w:val="bottom"/>
          </w:tcPr>
          <w:p>
            <w:pPr>
              <w:spacing w:after="0"/>
              <w:rPr>
                <w:sz w:val="20"/>
                <w:szCs w:val="20"/>
                <w:color w:val="auto"/>
              </w:rPr>
            </w:pPr>
            <w:r>
              <w:rPr>
                <w:rFonts w:ascii="Arial" w:cs="Arial" w:eastAsia="Arial" w:hAnsi="Arial"/>
                <w:sz w:val="17"/>
                <w:szCs w:val="17"/>
                <w:color w:val="auto"/>
              </w:rPr>
              <w:t>Date: November 3, 2023</w:t>
            </w:r>
          </w:p>
        </w:tc>
        <w:tc>
          <w:tcPr>
            <w:tcW w:w="3000" w:type="dxa"/>
            <w:vAlign w:val="bottom"/>
          </w:tcPr>
          <w:p>
            <w:pPr>
              <w:ind w:left="2220"/>
              <w:spacing w:after="0"/>
              <w:rPr>
                <w:sz w:val="20"/>
                <w:szCs w:val="20"/>
                <w:color w:val="auto"/>
              </w:rPr>
            </w:pPr>
            <w:r>
              <w:rPr>
                <w:rFonts w:ascii="Arial" w:cs="Arial" w:eastAsia="Arial" w:hAnsi="Arial"/>
                <w:sz w:val="17"/>
                <w:szCs w:val="17"/>
                <w:color w:val="auto"/>
              </w:rPr>
              <w:t>By:</w:t>
            </w:r>
          </w:p>
        </w:tc>
        <w:tc>
          <w:tcPr>
            <w:tcW w:w="4300" w:type="dxa"/>
            <w:vAlign w:val="bottom"/>
          </w:tcPr>
          <w:p>
            <w:pPr>
              <w:spacing w:after="0"/>
              <w:rPr>
                <w:sz w:val="20"/>
                <w:szCs w:val="20"/>
                <w:color w:val="auto"/>
              </w:rPr>
            </w:pPr>
            <w:r>
              <w:rPr>
                <w:rFonts w:ascii="Arial" w:cs="Arial" w:eastAsia="Arial" w:hAnsi="Arial"/>
                <w:sz w:val="17"/>
                <w:szCs w:val="17"/>
                <w:color w:val="auto"/>
              </w:rPr>
              <w:t>/s/ Daniel Schumacher</w:t>
            </w:r>
          </w:p>
        </w:tc>
        <w:tc>
          <w:tcPr>
            <w:tcW w:w="0" w:type="dxa"/>
            <w:vAlign w:val="bottom"/>
          </w:tcPr>
          <w:p>
            <w:pPr>
              <w:spacing w:after="0"/>
              <w:rPr>
                <w:sz w:val="1"/>
                <w:szCs w:val="1"/>
                <w:color w:val="auto"/>
              </w:rPr>
            </w:pPr>
          </w:p>
        </w:tc>
      </w:tr>
      <w:tr>
        <w:trPr>
          <w:trHeight w:val="26"/>
        </w:trPr>
        <w:tc>
          <w:tcPr>
            <w:tcW w:w="3920" w:type="dxa"/>
            <w:vAlign w:val="bottom"/>
          </w:tcPr>
          <w:p>
            <w:pPr>
              <w:spacing w:after="0"/>
              <w:rPr>
                <w:sz w:val="2"/>
                <w:szCs w:val="2"/>
                <w:color w:val="auto"/>
              </w:rPr>
            </w:pPr>
          </w:p>
        </w:tc>
        <w:tc>
          <w:tcPr>
            <w:tcW w:w="3000" w:type="dxa"/>
            <w:vAlign w:val="bottom"/>
            <w:vMerge w:val="restart"/>
          </w:tcPr>
          <w:p>
            <w:pPr>
              <w:ind w:left="2220"/>
              <w:spacing w:after="0"/>
              <w:rPr>
                <w:sz w:val="20"/>
                <w:szCs w:val="20"/>
                <w:color w:val="auto"/>
              </w:rPr>
            </w:pPr>
            <w:r>
              <w:rPr>
                <w:rFonts w:ascii="Arial" w:cs="Arial" w:eastAsia="Arial" w:hAnsi="Arial"/>
                <w:sz w:val="17"/>
                <w:szCs w:val="17"/>
                <w:color w:val="auto"/>
              </w:rPr>
              <w:t>Name:</w:t>
            </w:r>
          </w:p>
        </w:tc>
        <w:tc>
          <w:tcPr>
            <w:tcW w:w="4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920" w:type="dxa"/>
            <w:vAlign w:val="bottom"/>
          </w:tcPr>
          <w:p>
            <w:pPr>
              <w:spacing w:after="0"/>
              <w:rPr>
                <w:sz w:val="19"/>
                <w:szCs w:val="19"/>
                <w:color w:val="auto"/>
              </w:rPr>
            </w:pPr>
          </w:p>
        </w:tc>
        <w:tc>
          <w:tcPr>
            <w:tcW w:w="3000" w:type="dxa"/>
            <w:vAlign w:val="bottom"/>
            <w:vMerge w:val="continue"/>
          </w:tcPr>
          <w:p>
            <w:pPr>
              <w:spacing w:after="0"/>
              <w:rPr>
                <w:sz w:val="19"/>
                <w:szCs w:val="19"/>
                <w:color w:val="auto"/>
              </w:rPr>
            </w:pPr>
          </w:p>
        </w:tc>
        <w:tc>
          <w:tcPr>
            <w:tcW w:w="4300" w:type="dxa"/>
            <w:vAlign w:val="bottom"/>
          </w:tcPr>
          <w:p>
            <w:pPr>
              <w:ind w:left="120"/>
              <w:spacing w:after="0"/>
              <w:rPr>
                <w:sz w:val="20"/>
                <w:szCs w:val="20"/>
                <w:color w:val="auto"/>
              </w:rPr>
            </w:pPr>
            <w:r>
              <w:rPr>
                <w:rFonts w:ascii="Arial" w:cs="Arial" w:eastAsia="Arial" w:hAnsi="Arial"/>
                <w:sz w:val="17"/>
                <w:szCs w:val="17"/>
                <w:color w:val="auto"/>
              </w:rPr>
              <w:t>Daniel Schumacher</w:t>
            </w:r>
          </w:p>
        </w:tc>
        <w:tc>
          <w:tcPr>
            <w:tcW w:w="0" w:type="dxa"/>
            <w:vAlign w:val="bottom"/>
          </w:tcPr>
          <w:p>
            <w:pPr>
              <w:spacing w:after="0"/>
              <w:rPr>
                <w:sz w:val="1"/>
                <w:szCs w:val="1"/>
                <w:color w:val="auto"/>
              </w:rPr>
            </w:pPr>
          </w:p>
        </w:tc>
      </w:tr>
      <w:tr>
        <w:trPr>
          <w:trHeight w:val="261"/>
        </w:trPr>
        <w:tc>
          <w:tcPr>
            <w:tcW w:w="3920" w:type="dxa"/>
            <w:vAlign w:val="bottom"/>
          </w:tcPr>
          <w:p>
            <w:pPr>
              <w:spacing w:after="0"/>
              <w:rPr>
                <w:sz w:val="22"/>
                <w:szCs w:val="22"/>
                <w:color w:val="auto"/>
              </w:rPr>
            </w:pPr>
          </w:p>
        </w:tc>
        <w:tc>
          <w:tcPr>
            <w:tcW w:w="3000" w:type="dxa"/>
            <w:vAlign w:val="bottom"/>
          </w:tcPr>
          <w:p>
            <w:pPr>
              <w:ind w:left="2220"/>
              <w:spacing w:after="0"/>
              <w:rPr>
                <w:sz w:val="20"/>
                <w:szCs w:val="20"/>
                <w:color w:val="auto"/>
              </w:rPr>
            </w:pPr>
            <w:r>
              <w:rPr>
                <w:rFonts w:ascii="Arial" w:cs="Arial" w:eastAsia="Arial" w:hAnsi="Arial"/>
                <w:sz w:val="17"/>
                <w:szCs w:val="17"/>
                <w:color w:val="auto"/>
              </w:rPr>
              <w:t>Title:</w:t>
            </w:r>
          </w:p>
        </w:tc>
        <w:tc>
          <w:tcPr>
            <w:tcW w:w="4300" w:type="dxa"/>
            <w:vAlign w:val="bottom"/>
          </w:tcPr>
          <w:p>
            <w:pPr>
              <w:ind w:left="120"/>
              <w:spacing w:after="0"/>
              <w:rPr>
                <w:sz w:val="20"/>
                <w:szCs w:val="20"/>
                <w:color w:val="auto"/>
              </w:rPr>
            </w:pPr>
            <w:r>
              <w:rPr>
                <w:rFonts w:ascii="Arial" w:cs="Arial" w:eastAsia="Arial" w:hAnsi="Arial"/>
                <w:sz w:val="17"/>
                <w:szCs w:val="17"/>
                <w:color w:val="auto"/>
              </w:rPr>
              <w:t>Chief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1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o"/>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lvl w:ilvl="1">
      <w:lvlJc w:val="left"/>
      <w:lvlText w:val="%2"/>
      <w:numFmt w:val="decimal"/>
      <w:start w:val="104"/>
    </w:lvl>
  </w:abstractNum>
  <w:abstractNum w:abstractNumId="4">
    <w:nsid w:val="3D1B58BA"/>
    <w:multiLevelType w:val="hybridMultilevel"/>
    <w:lvl w:ilvl="0">
      <w:lvlJc w:val="left"/>
      <w:lvlText w:val="%1."/>
      <w:numFmt w:val="decimal"/>
      <w:start w:val="1"/>
    </w:lvl>
    <w:lvl w:ilvl="1">
      <w:lvlJc w:val="left"/>
      <w:lvlText w:val="%2)"/>
      <w:numFmt w:val="lowerLetter"/>
      <w:start w:val="1"/>
    </w:lvl>
  </w:abstractNum>
  <w:abstractNum w:abstractNumId="5">
    <w:nsid w:val="507ED7A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1" Type="http://schemas.openxmlformats.org/officeDocument/2006/relationships/hyperlink" Target="http://www.sec.gov/Archives/edgar/data/1443669/000119312512054357/d199869dex32.htm" TargetMode="External"/><Relationship Id="rId72" Type="http://schemas.openxmlformats.org/officeDocument/2006/relationships/hyperlink" Target="http://www.sec.gov/Archives/edgar/data/1443669/000143774915010824/ex3-1.htm" TargetMode="External"/><Relationship Id="rId73" Type="http://schemas.openxmlformats.org/officeDocument/2006/relationships/hyperlink" Target="http://www.sec.gov/Archives/edgar/data/1443669/000143774922027471/ex_44513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2023-11-03T14:16:06Z</dcterms:created>
  <dcterms:modified xsi:type="dcterms:W3CDTF">2023-11-03T14:16:06Z</dcterms:modified>
</cp:coreProperties>
</file>