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418465</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7"/>
          <w:szCs w:val="17"/>
          <w:color w:val="auto"/>
        </w:rPr>
        <w:t>___________________________</w:t>
      </w:r>
    </w:p>
    <w:p>
      <w:pPr>
        <w:spacing w:after="0" w:line="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95"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7"/>
          <w:szCs w:val="17"/>
          <w:color w:val="auto"/>
        </w:rPr>
        <w:t>(Mark One)</w:t>
      </w:r>
    </w:p>
    <w:p>
      <w:pPr>
        <w:spacing w:after="0" w:line="155" w:lineRule="exact"/>
        <w:rPr>
          <w:sz w:val="24"/>
          <w:szCs w:val="24"/>
          <w:color w:val="auto"/>
        </w:rPr>
      </w:pPr>
    </w:p>
    <w:p>
      <w:pPr>
        <w:ind w:left="480" w:right="1920" w:hanging="458"/>
        <w:spacing w:after="0" w:line="346" w:lineRule="auto"/>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June 30, 2025</w:t>
      </w:r>
    </w:p>
    <w:p>
      <w:pPr>
        <w:spacing w:after="0" w:line="103"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70" w:lineRule="exact"/>
        <w:rPr>
          <w:sz w:val="24"/>
          <w:szCs w:val="24"/>
          <w:color w:val="auto"/>
        </w:rPr>
      </w:pPr>
    </w:p>
    <w:p>
      <w:pPr>
        <w:ind w:left="480" w:right="1920" w:hanging="458"/>
        <w:spacing w:after="0" w:line="336" w:lineRule="auto"/>
        <w:tabs>
          <w:tab w:leader="none" w:pos="480"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___________ to ___________</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Commission File Number: 001-35435</w:t>
      </w:r>
    </w:p>
    <w:p>
      <w:pPr>
        <w:spacing w:after="0" w:line="1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Proto Labs,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48" w:lineRule="exact"/>
        <w:rPr>
          <w:sz w:val="24"/>
          <w:szCs w:val="24"/>
          <w:color w:val="auto"/>
        </w:rPr>
      </w:pPr>
    </w:p>
    <w:tbl>
      <w:tblPr>
        <w:tblLayout w:type="fixed"/>
        <w:tblInd w:w="740" w:type="dxa"/>
        <w:tblCellMar>
          <w:top w:w="0" w:type="dxa"/>
          <w:left w:w="0" w:type="dxa"/>
          <w:bottom w:w="0" w:type="dxa"/>
          <w:right w:w="0" w:type="dxa"/>
        </w:tblCellMar>
      </w:tblPr>
      <w:tr>
        <w:trPr>
          <w:trHeight w:val="229"/>
        </w:trPr>
        <w:tc>
          <w:tcPr>
            <w:tcW w:w="5300" w:type="dxa"/>
            <w:vAlign w:val="bottom"/>
          </w:tcPr>
          <w:p>
            <w:pPr>
              <w:jc w:val="center"/>
              <w:ind w:right="1073"/>
              <w:spacing w:after="0"/>
              <w:rPr>
                <w:sz w:val="20"/>
                <w:szCs w:val="20"/>
                <w:color w:val="auto"/>
              </w:rPr>
            </w:pPr>
            <w:r>
              <w:rPr>
                <w:rFonts w:ascii="Times New Roman" w:cs="Times New Roman" w:eastAsia="Times New Roman" w:hAnsi="Times New Roman"/>
                <w:sz w:val="17"/>
                <w:szCs w:val="17"/>
                <w:b w:val="1"/>
                <w:bCs w:val="1"/>
                <w:color w:val="auto"/>
              </w:rPr>
              <w:t>Minnesota</w:t>
            </w:r>
          </w:p>
        </w:tc>
        <w:tc>
          <w:tcPr>
            <w:tcW w:w="3660" w:type="dxa"/>
            <w:vAlign w:val="bottom"/>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41-1939628</w:t>
            </w:r>
          </w:p>
        </w:tc>
      </w:tr>
      <w:tr>
        <w:trPr>
          <w:trHeight w:val="248"/>
        </w:trPr>
        <w:tc>
          <w:tcPr>
            <w:tcW w:w="5300" w:type="dxa"/>
            <w:vAlign w:val="bottom"/>
          </w:tcPr>
          <w:p>
            <w:pPr>
              <w:jc w:val="center"/>
              <w:ind w:right="1053"/>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3660" w:type="dxa"/>
            <w:vAlign w:val="bottom"/>
          </w:tcPr>
          <w:p>
            <w:pPr>
              <w:jc w:val="center"/>
              <w:ind w:left="1033"/>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457"/>
        </w:trPr>
        <w:tc>
          <w:tcPr>
            <w:tcW w:w="5300" w:type="dxa"/>
            <w:vAlign w:val="bottom"/>
          </w:tcPr>
          <w:p>
            <w:pPr>
              <w:jc w:val="center"/>
              <w:ind w:right="1053"/>
              <w:spacing w:after="0"/>
              <w:rPr>
                <w:sz w:val="20"/>
                <w:szCs w:val="20"/>
                <w:color w:val="auto"/>
              </w:rPr>
            </w:pPr>
            <w:r>
              <w:rPr>
                <w:rFonts w:ascii="Times New Roman" w:cs="Times New Roman" w:eastAsia="Times New Roman" w:hAnsi="Times New Roman"/>
                <w:sz w:val="17"/>
                <w:szCs w:val="17"/>
                <w:b w:val="1"/>
                <w:bCs w:val="1"/>
                <w:color w:val="auto"/>
              </w:rPr>
              <w:t>5540 Pioneer Creek Drive</w:t>
            </w:r>
          </w:p>
        </w:tc>
        <w:tc>
          <w:tcPr>
            <w:tcW w:w="3660" w:type="dxa"/>
            <w:vAlign w:val="bottom"/>
          </w:tcPr>
          <w:p>
            <w:pPr>
              <w:spacing w:after="0"/>
              <w:rPr>
                <w:sz w:val="24"/>
                <w:szCs w:val="24"/>
                <w:color w:val="auto"/>
              </w:rPr>
            </w:pPr>
          </w:p>
        </w:tc>
      </w:tr>
      <w:tr>
        <w:trPr>
          <w:trHeight w:val="248"/>
        </w:trPr>
        <w:tc>
          <w:tcPr>
            <w:tcW w:w="5300" w:type="dxa"/>
            <w:vAlign w:val="bottom"/>
          </w:tcPr>
          <w:p>
            <w:pPr>
              <w:jc w:val="center"/>
              <w:ind w:right="1073"/>
              <w:spacing w:after="0"/>
              <w:rPr>
                <w:sz w:val="20"/>
                <w:szCs w:val="20"/>
                <w:color w:val="auto"/>
              </w:rPr>
            </w:pPr>
            <w:r>
              <w:rPr>
                <w:rFonts w:ascii="Times New Roman" w:cs="Times New Roman" w:eastAsia="Times New Roman" w:hAnsi="Times New Roman"/>
                <w:sz w:val="17"/>
                <w:szCs w:val="17"/>
                <w:b w:val="1"/>
                <w:bCs w:val="1"/>
                <w:color w:val="auto"/>
              </w:rPr>
              <w:t>Maple Plain, Minnesota</w:t>
            </w:r>
          </w:p>
        </w:tc>
        <w:tc>
          <w:tcPr>
            <w:tcW w:w="3660" w:type="dxa"/>
            <w:vAlign w:val="bottom"/>
          </w:tcPr>
          <w:p>
            <w:pPr>
              <w:jc w:val="right"/>
              <w:ind w:right="953"/>
              <w:spacing w:after="0"/>
              <w:rPr>
                <w:sz w:val="20"/>
                <w:szCs w:val="20"/>
                <w:color w:val="auto"/>
              </w:rPr>
            </w:pPr>
            <w:r>
              <w:rPr>
                <w:rFonts w:ascii="Times New Roman" w:cs="Times New Roman" w:eastAsia="Times New Roman" w:hAnsi="Times New Roman"/>
                <w:sz w:val="17"/>
                <w:szCs w:val="17"/>
                <w:b w:val="1"/>
                <w:bCs w:val="1"/>
                <w:color w:val="auto"/>
              </w:rPr>
              <w:t>55359</w:t>
            </w:r>
          </w:p>
        </w:tc>
      </w:tr>
      <w:tr>
        <w:trPr>
          <w:trHeight w:val="248"/>
        </w:trPr>
        <w:tc>
          <w:tcPr>
            <w:tcW w:w="5300" w:type="dxa"/>
            <w:vAlign w:val="bottom"/>
          </w:tcPr>
          <w:p>
            <w:pPr>
              <w:jc w:val="center"/>
              <w:ind w:right="1053"/>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660" w:type="dxa"/>
            <w:vAlign w:val="bottom"/>
          </w:tcPr>
          <w:p>
            <w:pPr>
              <w:jc w:val="center"/>
              <w:ind w:left="1033"/>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(763) 479-3680</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34"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7"/>
          <w:szCs w:val="17"/>
          <w:color w:val="auto"/>
        </w:rPr>
        <w:t>(Former name, former address and former fiscal year, if changed since last report)</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43" w:lineRule="exact"/>
        <w:rPr>
          <w:sz w:val="24"/>
          <w:szCs w:val="24"/>
          <w:color w:val="auto"/>
        </w:rPr>
      </w:pPr>
    </w:p>
    <w:tbl>
      <w:tblPr>
        <w:tblLayout w:type="fixed"/>
        <w:tblInd w:w="10" w:type="dxa"/>
        <w:tblCellMar>
          <w:top w:w="0" w:type="dxa"/>
          <w:left w:w="0" w:type="dxa"/>
          <w:bottom w:w="0" w:type="dxa"/>
          <w:right w:w="0" w:type="dxa"/>
        </w:tblCellMar>
      </w:tblPr>
      <w:tr>
        <w:trPr>
          <w:trHeight w:val="255"/>
        </w:trPr>
        <w:tc>
          <w:tcPr>
            <w:tcW w:w="4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41"/>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PRLB</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165" w:lineRule="exact"/>
        <w:rPr>
          <w:sz w:val="24"/>
          <w:szCs w:val="24"/>
          <w:color w:val="auto"/>
        </w:rPr>
      </w:pPr>
    </w:p>
    <w:p>
      <w:pPr>
        <w:ind w:right="200" w:firstLine="470"/>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No</w:t>
      </w:r>
    </w:p>
    <w:p>
      <w:pPr>
        <w:spacing w:after="0" w:line="60" w:lineRule="exact"/>
        <w:rPr>
          <w:sz w:val="24"/>
          <w:szCs w:val="24"/>
          <w:color w:val="auto"/>
        </w:rPr>
      </w:pPr>
    </w:p>
    <w:p>
      <w:pPr>
        <w:ind w:right="260" w:firstLine="470"/>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No</w:t>
      </w:r>
    </w:p>
    <w:p>
      <w:pPr>
        <w:spacing w:after="0" w:line="58" w:lineRule="exact"/>
        <w:rPr>
          <w:sz w:val="24"/>
          <w:szCs w:val="24"/>
          <w:color w:val="auto"/>
        </w:rPr>
      </w:pPr>
    </w:p>
    <w:p>
      <w:pPr>
        <w:jc w:val="both"/>
        <w:ind w:right="120" w:firstLine="470"/>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180" w:type="dxa"/>
            <w:vAlign w:val="bottom"/>
          </w:tcPr>
          <w:p>
            <w:pPr>
              <w:ind w:left="760"/>
              <w:spacing w:after="0" w:line="171" w:lineRule="exact"/>
              <w:rPr>
                <w:sz w:val="20"/>
                <w:szCs w:val="20"/>
                <w:color w:val="auto"/>
              </w:rPr>
            </w:pPr>
            <w:r>
              <w:rPr>
                <w:rFonts w:ascii="MS PGothic" w:cs="MS PGothic" w:eastAsia="MS PGothic" w:hAnsi="MS PGothic"/>
                <w:sz w:val="17"/>
                <w:szCs w:val="17"/>
                <w:color w:val="auto"/>
              </w:rPr>
              <w:t>☑</w:t>
            </w:r>
          </w:p>
        </w:tc>
        <w:tc>
          <w:tcPr>
            <w:tcW w:w="39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Accelerated filer</w:t>
            </w:r>
          </w:p>
        </w:tc>
        <w:tc>
          <w:tcPr>
            <w:tcW w:w="920" w:type="dxa"/>
            <w:vAlign w:val="bottom"/>
          </w:tcPr>
          <w:p>
            <w:pPr>
              <w:ind w:left="760"/>
              <w:spacing w:after="0"/>
              <w:rPr>
                <w:sz w:val="20"/>
                <w:szCs w:val="20"/>
                <w:color w:val="auto"/>
              </w:rPr>
            </w:pPr>
            <w:r>
              <w:rPr>
                <w:rFonts w:ascii="Wingdings" w:cs="Wingdings" w:eastAsia="Wingdings" w:hAnsi="Wingdings"/>
                <w:sz w:val="17"/>
                <w:szCs w:val="17"/>
                <w:b w:val="1"/>
                <w:bCs w:val="1"/>
                <w:color w:val="auto"/>
                <w:w w:val="92"/>
              </w:rPr>
              <w:t>o</w:t>
            </w:r>
          </w:p>
        </w:tc>
      </w:tr>
      <w:tr>
        <w:trPr>
          <w:trHeight w:val="227"/>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180" w:type="dxa"/>
            <w:vAlign w:val="bottom"/>
          </w:tcPr>
          <w:p>
            <w:pPr>
              <w:ind w:left="760"/>
              <w:spacing w:after="0"/>
              <w:rPr>
                <w:sz w:val="20"/>
                <w:szCs w:val="20"/>
                <w:color w:val="auto"/>
              </w:rPr>
            </w:pPr>
            <w:r>
              <w:rPr>
                <w:rFonts w:ascii="Wingdings" w:cs="Wingdings" w:eastAsia="Wingdings" w:hAnsi="Wingdings"/>
                <w:sz w:val="17"/>
                <w:szCs w:val="17"/>
                <w:b w:val="1"/>
                <w:bCs w:val="1"/>
                <w:color w:val="auto"/>
              </w:rPr>
              <w:t>o</w:t>
            </w:r>
          </w:p>
        </w:tc>
        <w:tc>
          <w:tcPr>
            <w:tcW w:w="39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8"/>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Smaller reporting company</w:t>
            </w:r>
          </w:p>
        </w:tc>
        <w:tc>
          <w:tcPr>
            <w:tcW w:w="2180" w:type="dxa"/>
            <w:vAlign w:val="bottom"/>
          </w:tcPr>
          <w:p>
            <w:pPr>
              <w:ind w:left="760"/>
              <w:spacing w:after="0"/>
              <w:rPr>
                <w:sz w:val="20"/>
                <w:szCs w:val="20"/>
                <w:color w:val="auto"/>
              </w:rPr>
            </w:pPr>
            <w:r>
              <w:rPr>
                <w:rFonts w:ascii="Wingdings" w:cs="Wingdings" w:eastAsia="Wingdings" w:hAnsi="Wingdings"/>
                <w:sz w:val="17"/>
                <w:szCs w:val="17"/>
                <w:b w:val="1"/>
                <w:bCs w:val="1"/>
                <w:color w:val="auto"/>
              </w:rPr>
              <w:t>o</w:t>
            </w:r>
          </w:p>
        </w:tc>
        <w:tc>
          <w:tcPr>
            <w:tcW w:w="39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Emerging growth company</w:t>
            </w:r>
          </w:p>
        </w:tc>
        <w:tc>
          <w:tcPr>
            <w:tcW w:w="920" w:type="dxa"/>
            <w:vAlign w:val="bottom"/>
          </w:tcPr>
          <w:p>
            <w:pPr>
              <w:ind w:left="760"/>
              <w:spacing w:after="0"/>
              <w:rPr>
                <w:sz w:val="20"/>
                <w:szCs w:val="20"/>
                <w:color w:val="auto"/>
              </w:rPr>
            </w:pPr>
            <w:r>
              <w:rPr>
                <w:rFonts w:ascii="Wingdings" w:cs="Wingdings" w:eastAsia="Wingdings" w:hAnsi="Wingdings"/>
                <w:sz w:val="17"/>
                <w:szCs w:val="17"/>
                <w:b w:val="1"/>
                <w:bCs w:val="1"/>
                <w:color w:val="auto"/>
                <w:w w:val="92"/>
              </w:rPr>
              <w:t>o</w:t>
            </w:r>
          </w:p>
        </w:tc>
      </w:tr>
    </w:tbl>
    <w:p>
      <w:pPr>
        <w:spacing w:after="0" w:line="191" w:lineRule="exact"/>
        <w:rPr>
          <w:sz w:val="24"/>
          <w:szCs w:val="24"/>
          <w:color w:val="auto"/>
        </w:rPr>
      </w:pPr>
    </w:p>
    <w:p>
      <w:pPr>
        <w:ind w:right="80" w:firstLine="470"/>
        <w:spacing w:after="0" w:line="295"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4" w:lineRule="exact"/>
        <w:rPr>
          <w:sz w:val="24"/>
          <w:szCs w:val="24"/>
          <w:color w:val="auto"/>
        </w:rPr>
      </w:pPr>
    </w:p>
    <w:p>
      <w:pPr>
        <w:ind w:left="48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No</w:t>
      </w:r>
    </w:p>
    <w:p>
      <w:pPr>
        <w:spacing w:after="0" w:line="157" w:lineRule="exact"/>
        <w:rPr>
          <w:sz w:val="24"/>
          <w:szCs w:val="24"/>
          <w:color w:val="auto"/>
        </w:rPr>
      </w:pPr>
    </w:p>
    <w:p>
      <w:pPr>
        <w:ind w:right="60" w:firstLine="470"/>
        <w:spacing w:after="0" w:line="295" w:lineRule="auto"/>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 23,874,757 shares of Common Stock, par value $0.001 per share, were outstanding at July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681355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38735</wp:posOffset>
            </wp:positionV>
            <wp:extent cx="6899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9275" cy="8255"/>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63500</wp:posOffset>
            </wp:positionV>
            <wp:extent cx="6899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9275" cy="8255"/>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10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953"/>
        </w:trPr>
        <w:tc>
          <w:tcPr>
            <w:tcW w:w="1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20" w:type="dxa"/>
            <w:vAlign w:val="bottom"/>
            <w:gridSpan w:val="9"/>
          </w:tcPr>
          <w:p>
            <w:pPr>
              <w:jc w:val="center"/>
              <w:ind w:right="2340"/>
              <w:spacing w:after="0"/>
              <w:rPr>
                <w:sz w:val="20"/>
                <w:szCs w:val="20"/>
                <w:color w:val="auto"/>
              </w:rPr>
            </w:pPr>
            <w:r>
              <w:rPr>
                <w:rFonts w:ascii="Times New Roman" w:cs="Times New Roman" w:eastAsia="Times New Roman" w:hAnsi="Times New Roman"/>
                <w:sz w:val="17"/>
                <w:szCs w:val="17"/>
                <w:b w:val="1"/>
                <w:bCs w:val="1"/>
                <w:color w:val="auto"/>
              </w:rPr>
              <w:t>Proto Labs, Inc.</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9"/>
        </w:trPr>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20" w:type="dxa"/>
            <w:vAlign w:val="bottom"/>
            <w:gridSpan w:val="9"/>
          </w:tcPr>
          <w:p>
            <w:pPr>
              <w:jc w:val="center"/>
              <w:ind w:right="23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51"/>
        </w:trPr>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Item</w:t>
            </w:r>
          </w:p>
        </w:tc>
        <w:tc>
          <w:tcPr>
            <w:tcW w:w="120" w:type="dxa"/>
            <w:vAlign w:val="bottom"/>
          </w:tcPr>
          <w:p>
            <w:pPr>
              <w:spacing w:after="0"/>
              <w:rPr>
                <w:sz w:val="24"/>
                <w:szCs w:val="24"/>
                <w:color w:val="auto"/>
              </w:rPr>
            </w:pPr>
          </w:p>
        </w:tc>
        <w:tc>
          <w:tcPr>
            <w:tcW w:w="878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80" w:type="dxa"/>
            <w:vAlign w:val="bottom"/>
          </w:tcPr>
          <w:p>
            <w:pPr>
              <w:spacing w:after="0"/>
              <w:rPr>
                <w:sz w:val="24"/>
                <w:szCs w:val="24"/>
                <w:color w:val="auto"/>
              </w:rPr>
            </w:pPr>
          </w:p>
        </w:tc>
        <w:tc>
          <w:tcPr>
            <w:tcW w:w="11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444"/>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7"/>
          </w:tcPr>
          <w:p>
            <w:pPr>
              <w:jc w:val="center"/>
              <w:ind w:right="4220"/>
              <w:spacing w:after="0"/>
              <w:rPr>
                <w:sz w:val="20"/>
                <w:szCs w:val="20"/>
                <w:color w:val="auto"/>
              </w:rPr>
            </w:pPr>
            <w:r>
              <w:rPr>
                <w:rFonts w:ascii="Times New Roman" w:cs="Times New Roman" w:eastAsia="Times New Roman" w:hAnsi="Times New Roman"/>
                <w:sz w:val="17"/>
                <w:szCs w:val="17"/>
                <w:color w:val="0000EE"/>
                <w:w w:val="97"/>
              </w:rPr>
              <w:t>PART I</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Financial Statements</w:t>
            </w:r>
          </w:p>
        </w:tc>
        <w:tc>
          <w:tcPr>
            <w:tcW w:w="2660" w:type="dxa"/>
            <w:vAlign w:val="bottom"/>
            <w:gridSpan w:val="4"/>
          </w:tcPr>
          <w:p>
            <w:pPr>
              <w:spacing w:after="0"/>
              <w:rPr>
                <w:sz w:val="19"/>
                <w:szCs w:val="19"/>
                <w:color w:val="auto"/>
              </w:rPr>
            </w:pPr>
          </w:p>
        </w:tc>
        <w:tc>
          <w:tcPr>
            <w:tcW w:w="520" w:type="dxa"/>
            <w:vAlign w:val="bottom"/>
            <w:tcBorders>
              <w:top w:val="single" w:sz="8" w:color="0000EE"/>
            </w:tcBorders>
            <w:gridSpan w:val="3"/>
          </w:tcPr>
          <w:p>
            <w:pPr>
              <w:spacing w:after="0"/>
              <w:rPr>
                <w:sz w:val="19"/>
                <w:szCs w:val="19"/>
                <w:color w:val="auto"/>
              </w:rPr>
            </w:pPr>
          </w:p>
        </w:tc>
        <w:tc>
          <w:tcPr>
            <w:tcW w:w="4220" w:type="dxa"/>
            <w:vAlign w:val="bottom"/>
            <w:gridSpan w:val="4"/>
          </w:tcPr>
          <w:p>
            <w:pPr>
              <w:spacing w:after="0"/>
              <w:rPr>
                <w:sz w:val="19"/>
                <w:szCs w:val="19"/>
                <w:color w:val="auto"/>
              </w:rPr>
            </w:pPr>
          </w:p>
        </w:tc>
        <w:tc>
          <w:tcPr>
            <w:tcW w:w="660" w:type="dxa"/>
            <w:vAlign w:val="bottom"/>
            <w:gridSpan w:val="4"/>
          </w:tcPr>
          <w:p>
            <w:pPr>
              <w:jc w:val="center"/>
              <w:ind w:left="413"/>
              <w:spacing w:after="0"/>
              <w:rPr>
                <w:sz w:val="20"/>
                <w:szCs w:val="20"/>
                <w:color w:val="auto"/>
              </w:rPr>
            </w:pPr>
            <w:r>
              <w:rPr>
                <w:rFonts w:ascii="Times New Roman" w:cs="Times New Roman" w:eastAsia="Times New Roman" w:hAnsi="Times New Roman"/>
                <w:sz w:val="17"/>
                <w:szCs w:val="17"/>
                <w:color w:val="0000EE"/>
                <w:w w:val="93"/>
              </w:rPr>
              <w:t>2</w:t>
            </w:r>
          </w:p>
        </w:tc>
        <w:tc>
          <w:tcPr>
            <w:tcW w:w="48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624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262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18</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41"/>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0"/>
                <w:szCs w:val="20"/>
                <w:color w:val="auto"/>
              </w:rPr>
            </w:pPr>
          </w:p>
        </w:tc>
        <w:tc>
          <w:tcPr>
            <w:tcW w:w="624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262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27</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416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Controls and Procedures</w:t>
            </w:r>
          </w:p>
        </w:tc>
        <w:tc>
          <w:tcPr>
            <w:tcW w:w="4700" w:type="dxa"/>
            <w:vAlign w:val="bottom"/>
            <w:gridSpan w:val="6"/>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27</w:t>
            </w:r>
          </w:p>
        </w:tc>
      </w:tr>
      <w:tr>
        <w:trPr>
          <w:trHeight w:val="228"/>
        </w:trPr>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540" w:type="dxa"/>
            <w:vAlign w:val="bottom"/>
          </w:tcPr>
          <w:p>
            <w:pPr>
              <w:spacing w:after="0"/>
              <w:rPr>
                <w:sz w:val="19"/>
                <w:szCs w:val="19"/>
                <w:color w:val="auto"/>
              </w:rPr>
            </w:pPr>
          </w:p>
        </w:tc>
        <w:tc>
          <w:tcPr>
            <w:tcW w:w="6620" w:type="dxa"/>
            <w:vAlign w:val="bottom"/>
            <w:gridSpan w:val="9"/>
          </w:tcPr>
          <w:p>
            <w:pPr>
              <w:jc w:val="center"/>
              <w:ind w:right="2320"/>
              <w:spacing w:after="0"/>
              <w:rPr>
                <w:sz w:val="20"/>
                <w:szCs w:val="20"/>
                <w:color w:val="auto"/>
              </w:rPr>
            </w:pPr>
            <w:r>
              <w:rPr>
                <w:rFonts w:ascii="Times New Roman" w:cs="Times New Roman" w:eastAsia="Times New Roman" w:hAnsi="Times New Roman"/>
                <w:sz w:val="17"/>
                <w:szCs w:val="17"/>
                <w:color w:val="0000EE"/>
                <w:w w:val="98"/>
              </w:rPr>
              <w:t>PART II</w:t>
            </w:r>
          </w:p>
        </w:tc>
        <w:tc>
          <w:tcPr>
            <w:tcW w:w="48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80" w:type="dxa"/>
            <w:vAlign w:val="bottom"/>
          </w:tcPr>
          <w:p>
            <w:pPr>
              <w:spacing w:after="0"/>
              <w:rPr>
                <w:sz w:val="19"/>
                <w:szCs w:val="19"/>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4100" w:type="dxa"/>
            <w:vAlign w:val="bottom"/>
            <w:gridSpan w:val="7"/>
          </w:tcPr>
          <w:p>
            <w:pPr>
              <w:spacing w:after="0"/>
              <w:rPr>
                <w:sz w:val="20"/>
                <w:szCs w:val="20"/>
                <w:color w:val="auto"/>
              </w:rPr>
            </w:pPr>
            <w:r>
              <w:rPr>
                <w:rFonts w:ascii="Times New Roman" w:cs="Times New Roman" w:eastAsia="Times New Roman" w:hAnsi="Times New Roman"/>
                <w:sz w:val="17"/>
                <w:szCs w:val="17"/>
                <w:color w:val="0000EE"/>
              </w:rPr>
              <w:t>Legal Proceedings</w:t>
            </w:r>
          </w:p>
        </w:tc>
        <w:tc>
          <w:tcPr>
            <w:tcW w:w="580" w:type="dxa"/>
            <w:vAlign w:val="bottom"/>
            <w:tcBorders>
              <w:top w:val="single" w:sz="8" w:color="0000EE"/>
            </w:tcBorders>
            <w:gridSpan w:val="5"/>
          </w:tcPr>
          <w:p>
            <w:pPr>
              <w:spacing w:after="0"/>
              <w:rPr>
                <w:sz w:val="19"/>
                <w:szCs w:val="19"/>
                <w:color w:val="auto"/>
              </w:rPr>
            </w:pPr>
          </w:p>
        </w:tc>
        <w:tc>
          <w:tcPr>
            <w:tcW w:w="4180" w:type="dxa"/>
            <w:vAlign w:val="bottom"/>
            <w:gridSpan w:val="3"/>
          </w:tcPr>
          <w:p>
            <w:pPr>
              <w:spacing w:after="0"/>
              <w:rPr>
                <w:sz w:val="19"/>
                <w:szCs w:val="19"/>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EE"/>
              </w:rPr>
              <w:t>28</w:t>
            </w:r>
          </w:p>
        </w:tc>
      </w:tr>
      <w:tr>
        <w:trPr>
          <w:trHeight w:val="20"/>
        </w:trPr>
        <w:tc>
          <w:tcPr>
            <w:tcW w:w="124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1A.</w:t>
            </w:r>
          </w:p>
        </w:tc>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Risk Factors</w:t>
            </w:r>
          </w:p>
        </w:tc>
        <w:tc>
          <w:tcPr>
            <w:tcW w:w="380" w:type="dxa"/>
            <w:vAlign w:val="bottom"/>
          </w:tcPr>
          <w:p>
            <w:pPr>
              <w:spacing w:after="0"/>
              <w:rPr>
                <w:sz w:val="19"/>
                <w:szCs w:val="19"/>
                <w:color w:val="auto"/>
              </w:rPr>
            </w:pPr>
          </w:p>
        </w:tc>
        <w:tc>
          <w:tcPr>
            <w:tcW w:w="7600" w:type="dxa"/>
            <w:vAlign w:val="bottom"/>
            <w:gridSpan w:val="12"/>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28</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88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Unregistered Sales of Equity Securities and Use of Proceeds</w:t>
            </w: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EE"/>
              </w:rPr>
              <w:t>28</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420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Defaults Upon Senior Securities</w:t>
            </w:r>
          </w:p>
        </w:tc>
        <w:tc>
          <w:tcPr>
            <w:tcW w:w="4660" w:type="dxa"/>
            <w:vAlign w:val="bottom"/>
            <w:gridSpan w:val="5"/>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28</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662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41"/>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0"/>
                <w:szCs w:val="20"/>
                <w:color w:val="auto"/>
              </w:rPr>
            </w:pPr>
          </w:p>
        </w:tc>
        <w:tc>
          <w:tcPr>
            <w:tcW w:w="224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Mine Safety Disclosures</w:t>
            </w:r>
          </w:p>
        </w:tc>
        <w:tc>
          <w:tcPr>
            <w:tcW w:w="6620" w:type="dxa"/>
            <w:vAlign w:val="bottom"/>
            <w:gridSpan w:val="9"/>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28</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716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170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Other Information</w:t>
            </w:r>
          </w:p>
        </w:tc>
        <w:tc>
          <w:tcPr>
            <w:tcW w:w="7160" w:type="dxa"/>
            <w:vAlign w:val="bottom"/>
            <w:gridSpan w:val="10"/>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29</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760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7"/>
                <w:szCs w:val="17"/>
                <w:color w:val="0000EE"/>
                <w:w w:val="98"/>
              </w:rPr>
              <w:t>Exhibits</w:t>
            </w:r>
          </w:p>
        </w:tc>
        <w:tc>
          <w:tcPr>
            <w:tcW w:w="680" w:type="dxa"/>
            <w:vAlign w:val="bottom"/>
            <w:gridSpan w:val="2"/>
          </w:tcPr>
          <w:p>
            <w:pPr>
              <w:spacing w:after="0"/>
              <w:rPr>
                <w:sz w:val="19"/>
                <w:szCs w:val="19"/>
                <w:color w:val="auto"/>
              </w:rPr>
            </w:pPr>
          </w:p>
        </w:tc>
        <w:tc>
          <w:tcPr>
            <w:tcW w:w="7600" w:type="dxa"/>
            <w:vAlign w:val="bottom"/>
            <w:gridSpan w:val="12"/>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29</w:t>
            </w:r>
          </w:p>
        </w:tc>
      </w:tr>
      <w:tr>
        <w:trPr>
          <w:trHeight w:val="908"/>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60" w:type="dxa"/>
            <w:vAlign w:val="bottom"/>
            <w:gridSpan w:val="10"/>
          </w:tcPr>
          <w:p>
            <w:pPr>
              <w:jc w:val="center"/>
              <w:ind w:left="3453"/>
              <w:spacing w:after="0"/>
              <w:rPr>
                <w:sz w:val="20"/>
                <w:szCs w:val="20"/>
                <w:color w:val="auto"/>
              </w:rPr>
            </w:pPr>
            <w:r>
              <w:rPr>
                <w:rFonts w:ascii="Times New Roman" w:cs="Times New Roman" w:eastAsia="Times New Roman" w:hAnsi="Times New Roman"/>
                <w:sz w:val="17"/>
                <w:szCs w:val="17"/>
                <w:color w:val="auto"/>
                <w:w w:val="93"/>
              </w:rPr>
              <w:t>1</w:t>
            </w: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r>
      <w:tr>
        <w:trPr>
          <w:trHeight w:val="98"/>
        </w:trPr>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4"/>
        </w:trPr>
        <w:tc>
          <w:tcPr>
            <w:tcW w:w="8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6"/>
        </w:trPr>
        <w:tc>
          <w:tcPr>
            <w:tcW w:w="82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9"/>
        </w:trPr>
        <w:tc>
          <w:tcPr>
            <w:tcW w:w="8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90,382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89,071</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Short-term marketable securities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14,019</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$2,272 and $1,975 as of June 30, 2025, and December 31, 2024,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78,011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66,504</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Inventory</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12,305</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 receivable</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2,906</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10,049</w:t>
            </w:r>
          </w:p>
        </w:tc>
      </w:tr>
      <w:tr>
        <w:trPr>
          <w:trHeight w:val="36"/>
        </w:trPr>
        <w:tc>
          <w:tcPr>
            <w:tcW w:w="82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95"/>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205,506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194,854</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215,777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227,263</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273,991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273,991</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21,422</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marketable securities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17,773</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2,993</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assets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4,524</w:t>
            </w:r>
          </w:p>
        </w:tc>
      </w:tr>
      <w:tr>
        <w:trPr>
          <w:trHeight w:val="36"/>
        </w:trPr>
        <w:tc>
          <w:tcPr>
            <w:tcW w:w="82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0"/>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743,252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743,512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8"/>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15,504</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compensation</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16,550</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25,846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19,621</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2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finance lease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179"/>
        </w:trPr>
        <w:tc>
          <w:tcPr>
            <w:tcW w:w="82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62,164</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53,271</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finance lease liabilities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deferred tax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13,565</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4,605</w:t>
            </w:r>
          </w:p>
        </w:tc>
      </w:tr>
      <w:tr>
        <w:trPr>
          <w:trHeight w:val="36"/>
        </w:trPr>
        <w:tc>
          <w:tcPr>
            <w:tcW w:w="82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95"/>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78,545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73,361</w:t>
            </w:r>
          </w:p>
        </w:tc>
      </w:tr>
      <w:tr>
        <w:trPr>
          <w:trHeight w:val="91"/>
        </w:trPr>
        <w:tc>
          <w:tcPr>
            <w:tcW w:w="8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174"/>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Preferred stock, $0.001 par value, authorized 10,000,000 shares; issued and outstanding 0 shares as of each of June 30, 2025, and</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2"/>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December 31, 2024</w:t>
            </w:r>
          </w:p>
        </w:tc>
        <w:tc>
          <w:tcPr>
            <w:tcW w:w="24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174"/>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Common stock, $0.001 par value, authorized 150,000,000 shares; issued and outstanding 23,874,601 and 24,226,088 shares as of June 30,</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9"/>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2025, and December 31, 2024,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6"/>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449,903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453,705</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239,344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244,406</w:t>
            </w:r>
          </w:p>
        </w:tc>
      </w:tr>
      <w:tr>
        <w:trPr>
          <w:trHeight w:val="186"/>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(27,984)</w:t>
            </w:r>
          </w:p>
        </w:tc>
      </w:tr>
      <w:tr>
        <w:trPr>
          <w:trHeight w:val="36"/>
        </w:trPr>
        <w:tc>
          <w:tcPr>
            <w:tcW w:w="82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15"/>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664,707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670,151</w:t>
            </w:r>
          </w:p>
        </w:tc>
      </w:tr>
      <w:tr>
        <w:trPr>
          <w:trHeight w:val="179"/>
        </w:trPr>
        <w:tc>
          <w:tcPr>
            <w:tcW w:w="82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743,252</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743,512</w:t>
            </w:r>
          </w:p>
        </w:tc>
      </w:tr>
      <w:tr>
        <w:trPr>
          <w:trHeight w:val="36"/>
        </w:trPr>
        <w:tc>
          <w:tcPr>
            <w:tcW w:w="82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
        </w:trPr>
        <w:tc>
          <w:tcPr>
            <w:tcW w:w="8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58"/>
        </w:trPr>
        <w:tc>
          <w:tcPr>
            <w:tcW w:w="82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1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7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5"/>
          </w:tcPr>
          <w:p>
            <w:pPr>
              <w:ind w:left="4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40" w:type="dxa"/>
            <w:vAlign w:val="bottom"/>
          </w:tcPr>
          <w:p>
            <w:pPr>
              <w:spacing w:after="0"/>
              <w:rPr>
                <w:sz w:val="18"/>
                <w:szCs w:val="18"/>
                <w:color w:val="auto"/>
              </w:rPr>
            </w:pPr>
          </w:p>
        </w:tc>
        <w:tc>
          <w:tcPr>
            <w:tcW w:w="2700" w:type="dxa"/>
            <w:vAlign w:val="bottom"/>
            <w:gridSpan w:val="4"/>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9"/>
        </w:trPr>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60" w:type="dxa"/>
            <w:vAlign w:val="bottom"/>
          </w:tcPr>
          <w:p>
            <w:pPr>
              <w:spacing w:after="0"/>
              <w:rPr>
                <w:sz w:val="19"/>
                <w:szCs w:val="19"/>
                <w:color w:val="auto"/>
              </w:rPr>
            </w:pPr>
          </w:p>
        </w:tc>
      </w:tr>
      <w:tr>
        <w:trPr>
          <w:trHeight w:val="26"/>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Statements of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5"/>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135,063</w:t>
            </w:r>
          </w:p>
        </w:tc>
        <w:tc>
          <w:tcPr>
            <w:tcW w:w="100" w:type="dxa"/>
            <w:vAlign w:val="bottom"/>
          </w:tcPr>
          <w:p>
            <w:pPr>
              <w:spacing w:after="0"/>
              <w:rPr>
                <w:sz w:val="20"/>
                <w:szCs w:val="20"/>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125,631</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261,268</w:t>
            </w:r>
          </w:p>
        </w:tc>
        <w:tc>
          <w:tcPr>
            <w:tcW w:w="80" w:type="dxa"/>
            <w:vAlign w:val="bottom"/>
          </w:tcPr>
          <w:p>
            <w:pPr>
              <w:spacing w:after="0"/>
              <w:rPr>
                <w:sz w:val="20"/>
                <w:szCs w:val="20"/>
                <w:color w:val="auto"/>
              </w:rPr>
            </w:pP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253,521</w:t>
            </w:r>
          </w:p>
        </w:tc>
      </w:tr>
      <w:tr>
        <w:trPr>
          <w:trHeight w:val="26"/>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75,289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145,796</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139,508</w:t>
            </w:r>
          </w:p>
        </w:tc>
      </w:tr>
      <w:tr>
        <w:trPr>
          <w:trHeight w:val="228"/>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59,774</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56,546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115,472</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114,013</w:t>
            </w:r>
          </w:p>
        </w:tc>
      </w:tr>
      <w:tr>
        <w:trPr>
          <w:trHeight w:val="26"/>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5"/>
        </w:trPr>
        <w:tc>
          <w:tcPr>
            <w:tcW w:w="49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Marketing and sales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24,731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48,480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46,451</w:t>
            </w:r>
          </w:p>
        </w:tc>
      </w:tr>
      <w:tr>
        <w:trPr>
          <w:trHeight w:val="26"/>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1"/>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21,782</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21,828</w:t>
            </w:r>
          </w:p>
        </w:tc>
      </w:tr>
      <w:tr>
        <w:trPr>
          <w:trHeight w:val="235"/>
        </w:trPr>
        <w:tc>
          <w:tcPr>
            <w:tcW w:w="49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18,752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35,600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32,908</w:t>
            </w:r>
          </w:p>
        </w:tc>
      </w:tr>
      <w:tr>
        <w:trPr>
          <w:trHeight w:val="26"/>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1"/>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Costs related to exit and disposal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49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54,805</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50,547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105,972</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101,187</w:t>
            </w:r>
          </w:p>
        </w:tc>
      </w:tr>
      <w:tr>
        <w:trPr>
          <w:trHeight w:val="26"/>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9,500</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12,826</w:t>
            </w:r>
          </w:p>
        </w:tc>
      </w:tr>
      <w:tr>
        <w:trPr>
          <w:trHeight w:val="235"/>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2,260</w:t>
            </w:r>
          </w:p>
        </w:tc>
      </w:tr>
      <w:tr>
        <w:trPr>
          <w:trHeight w:val="26"/>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12,659</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15,086</w:t>
            </w:r>
          </w:p>
        </w:tc>
      </w:tr>
      <w:tr>
        <w:trPr>
          <w:trHeight w:val="235"/>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5,278</w:t>
            </w:r>
          </w:p>
        </w:tc>
      </w:tr>
      <w:tr>
        <w:trPr>
          <w:trHeight w:val="26"/>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9"/>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8,026</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4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4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5"/>
        </w:trPr>
        <w:tc>
          <w:tcPr>
            <w:tcW w:w="49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100" w:type="dxa"/>
            <w:vAlign w:val="bottom"/>
          </w:tcPr>
          <w:p>
            <w:pPr>
              <w:spacing w:after="0"/>
              <w:rPr>
                <w:sz w:val="20"/>
                <w:szCs w:val="20"/>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80" w:type="dxa"/>
            <w:vAlign w:val="bottom"/>
          </w:tcPr>
          <w:p>
            <w:pPr>
              <w:spacing w:after="0"/>
              <w:rPr>
                <w:sz w:val="20"/>
                <w:szCs w:val="20"/>
                <w:color w:val="auto"/>
              </w:rPr>
            </w:pP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0.39</w:t>
            </w:r>
          </w:p>
        </w:tc>
      </w:tr>
      <w:tr>
        <w:trPr>
          <w:trHeight w:val="26"/>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9"/>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4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4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used to compute net income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5"/>
        </w:trPr>
        <w:tc>
          <w:tcPr>
            <w:tcW w:w="49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23,900,390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25,313,036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24,018,119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25,473,937</w:t>
            </w:r>
          </w:p>
        </w:tc>
      </w:tr>
      <w:tr>
        <w:trPr>
          <w:trHeight w:val="26"/>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1"/>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24,101,592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25,372,972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24,291,246</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25,573,344</w:t>
            </w:r>
          </w:p>
        </w:tc>
      </w:tr>
      <w:tr>
        <w:trPr>
          <w:trHeight w:val="209"/>
        </w:trPr>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 (net of tax)</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5"/>
        </w:trPr>
        <w:tc>
          <w:tcPr>
            <w:tcW w:w="49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Comprehensive income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6,755</w:t>
            </w:r>
          </w:p>
        </w:tc>
        <w:tc>
          <w:tcPr>
            <w:tcW w:w="100" w:type="dxa"/>
            <w:vAlign w:val="bottom"/>
          </w:tcPr>
          <w:p>
            <w:pPr>
              <w:spacing w:after="0"/>
              <w:rPr>
                <w:sz w:val="20"/>
                <w:szCs w:val="20"/>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3,953</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11,447</w:t>
            </w:r>
          </w:p>
        </w:tc>
        <w:tc>
          <w:tcPr>
            <w:tcW w:w="80" w:type="dxa"/>
            <w:vAlign w:val="bottom"/>
          </w:tcPr>
          <w:p>
            <w:pPr>
              <w:spacing w:after="0"/>
              <w:rPr>
                <w:sz w:val="20"/>
                <w:szCs w:val="20"/>
                <w:color w:val="auto"/>
              </w:rPr>
            </w:pP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8,389</w:t>
            </w:r>
          </w:p>
        </w:tc>
      </w:tr>
      <w:tr>
        <w:trPr>
          <w:trHeight w:val="26"/>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3"/>
        </w:trPr>
        <w:tc>
          <w:tcPr>
            <w:tcW w:w="49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Shareholders' Equity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08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80" w:type="dxa"/>
            <w:vAlign w:val="bottom"/>
          </w:tcPr>
          <w:p>
            <w:pPr>
              <w:spacing w:after="0"/>
              <w:rPr>
                <w:sz w:val="10"/>
                <w:szCs w:val="10"/>
                <w:color w:val="auto"/>
              </w:rPr>
            </w:pPr>
          </w:p>
        </w:tc>
        <w:tc>
          <w:tcPr>
            <w:tcW w:w="1020" w:type="dxa"/>
            <w:vAlign w:val="bottom"/>
            <w:gridSpan w:val="2"/>
            <w:vMerge w:val="restart"/>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5"/>
                <w:szCs w:val="15"/>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8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24,226,088</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453,705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244,406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670,151</w:t>
            </w:r>
          </w:p>
        </w:tc>
        <w:tc>
          <w:tcPr>
            <w:tcW w:w="0" w:type="dxa"/>
            <w:vAlign w:val="bottom"/>
          </w:tcPr>
          <w:p>
            <w:pPr>
              <w:spacing w:after="0"/>
              <w:rPr>
                <w:sz w:val="1"/>
                <w:szCs w:val="1"/>
                <w:color w:val="auto"/>
              </w:rPr>
            </w:pPr>
          </w:p>
        </w:tc>
      </w:tr>
      <w:tr>
        <w:trPr>
          <w:trHeight w:val="160"/>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58,291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 and other</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(513,739)</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(21,073)</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unrealized gains on investments in securities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23,770,640</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447,115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236,554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(26,891)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656,801</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860" w:type="dxa"/>
            <w:vAlign w:val="bottom"/>
            <w:shd w:val="clear" w:color="auto" w:fill="CCEEFF"/>
          </w:tcPr>
          <w:p>
            <w:pPr>
              <w:ind w:left="180"/>
              <w:spacing w:after="0" w:line="132" w:lineRule="exact"/>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179,393</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4,259</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Repurchases of common stock and other</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(75,432)</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4,427</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unrealized gains on investments in securities</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9"/>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6,755</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23,874,601</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449,903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664,707</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3860" w:type="dxa"/>
            <w:vAlign w:val="bottom"/>
          </w:tcPr>
          <w:p>
            <w:pPr>
              <w:spacing w:after="0"/>
              <w:rPr>
                <w:sz w:val="24"/>
                <w:szCs w:val="24"/>
                <w:color w:val="auto"/>
              </w:rPr>
            </w:pPr>
          </w:p>
        </w:tc>
        <w:tc>
          <w:tcPr>
            <w:tcW w:w="208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80" w:type="dxa"/>
            <w:vAlign w:val="bottom"/>
          </w:tcPr>
          <w:p>
            <w:pPr>
              <w:spacing w:after="0"/>
              <w:rPr>
                <w:sz w:val="10"/>
                <w:szCs w:val="10"/>
                <w:color w:val="auto"/>
              </w:rPr>
            </w:pPr>
          </w:p>
        </w:tc>
        <w:tc>
          <w:tcPr>
            <w:tcW w:w="1020" w:type="dxa"/>
            <w:vAlign w:val="bottom"/>
            <w:gridSpan w:val="2"/>
            <w:vMerge w:val="restart"/>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5"/>
                <w:szCs w:val="15"/>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8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25,721,957</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466,884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256,398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695,295</w:t>
            </w:r>
          </w:p>
        </w:tc>
        <w:tc>
          <w:tcPr>
            <w:tcW w:w="0" w:type="dxa"/>
            <w:vAlign w:val="bottom"/>
          </w:tcPr>
          <w:p>
            <w:pPr>
              <w:spacing w:after="0"/>
              <w:rPr>
                <w:sz w:val="1"/>
                <w:szCs w:val="1"/>
                <w:color w:val="auto"/>
              </w:rPr>
            </w:pPr>
          </w:p>
        </w:tc>
      </w:tr>
      <w:tr>
        <w:trPr>
          <w:trHeight w:val="160"/>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29,974</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(435,861)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(16,164)</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unrealized gains on investments in securities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4,436</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25,316,070</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462,715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253,414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(28,845)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687,310</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860" w:type="dxa"/>
            <w:vAlign w:val="bottom"/>
            <w:shd w:val="clear" w:color="auto" w:fill="CCEEFF"/>
          </w:tcPr>
          <w:p>
            <w:pPr>
              <w:ind w:left="180"/>
              <w:spacing w:after="0" w:line="132" w:lineRule="exact"/>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176,780</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4,244</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(345,234)</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(10,978)</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4,540</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unrealized gains on investments in securities</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79"/>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3,953</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25,147,616</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461,400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685,236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7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52"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4"/>
        </w:trPr>
        <w:tc>
          <w:tcPr>
            <w:tcW w:w="8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8,026</w:t>
            </w:r>
          </w:p>
        </w:tc>
        <w:tc>
          <w:tcPr>
            <w:tcW w:w="8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9,808</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17,264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18,075</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8,520</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Deferred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(4,144)</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Interest on finance lease obligations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Impairments related to exit and closure of facilities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Gain on disposal of property and equipment</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Accounts receivable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Inventories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w:t>
            </w:r>
          </w:p>
        </w:tc>
      </w:tr>
      <w:tr>
        <w:trPr>
          <w:trHeight w:val="235"/>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Prepaid expenses and other</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(829)</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w:t>
            </w:r>
          </w:p>
        </w:tc>
      </w:tr>
      <w:tr>
        <w:trPr>
          <w:trHeight w:val="235"/>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Accrued liabilities and other</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7,980</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w:t>
            </w:r>
          </w:p>
        </w:tc>
      </w:tr>
      <w:tr>
        <w:trPr>
          <w:trHeight w:val="228"/>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28,963</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35,781</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4"/>
        </w:trPr>
        <w:tc>
          <w:tcPr>
            <w:tcW w:w="8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Purchases of property, equipment and other capital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(6,784)</w:t>
            </w: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sales of property, equipment and other capital assets</w:t>
            </w:r>
          </w:p>
        </w:tc>
        <w:tc>
          <w:tcPr>
            <w:tcW w:w="3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call redemptions and maturities of marketable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10,419</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4"/>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3,665</w:t>
            </w:r>
          </w:p>
        </w:tc>
      </w:tr>
      <w:tr>
        <w:trPr>
          <w:trHeight w:val="124"/>
        </w:trPr>
        <w:tc>
          <w:tcPr>
            <w:tcW w:w="82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issuance of common stock from equity plans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2,094</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Purchases of shares withheld for tax obligations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w:t>
            </w: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(23,980)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(26,940)</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Principal repayments of finance lease obligations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28"/>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(25,169)</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(26,912)</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in cash and cash equivalents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12,359</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beginning of period</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89,071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83,790</w:t>
            </w:r>
          </w:p>
        </w:tc>
      </w:tr>
      <w:tr>
        <w:trPr>
          <w:trHeight w:val="254"/>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end of period</w:t>
            </w: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90,382</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96,149</w:t>
            </w: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10"/>
        </w:trPr>
        <w:tc>
          <w:tcPr>
            <w:tcW w:w="8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Basis of Presentation</w:t>
      </w:r>
    </w:p>
    <w:p>
      <w:pPr>
        <w:spacing w:after="0" w:line="18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The unaudited interim Consolidated Financial Statements of Proto Labs, Inc. (Protolabs, the Company, we, us or our) have been prepared in accordance with accounting principles generally accepted in the United States of America (U.S. GAAP) for interim financial information and with the instructions to Form 10-Q and Article 10 of Regulation S-X</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 the opinion of management, the accompanying financial statements reflect all adjustments necessary for a fair presentation of the Company’s statements of financial position, results of operations and cash flows for the periods presented. Except as otherwise disclosed herein, these adjustments consist of normal, recurring items. Operating results for interim periods are not necessarily indicative of results that may be expected for the fiscal year as a whole.</w:t>
      </w:r>
    </w:p>
    <w:p>
      <w:pPr>
        <w:spacing w:after="0" w:line="14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preparation of the financial statements in conformity with U.S. GAAP requires management to make estimates and assumptions that affect the reported amounts of assets, liabilities, revenues, expenses, and the related disclosures at the date of the financial statements and during the reporting period. Actual results could materially differ from these estimates. For further information, refer to the audited Consolidated Financial Statements and Notes thereto included in the Company’s Annual Report on Form 10-K for the year ended December 31, 2024, as filed with the Securities and Exchange Commission (SEC) on February 21, 2025</w:t>
      </w:r>
      <w:r>
        <w:rPr>
          <w:rFonts w:ascii="Times New Roman" w:cs="Times New Roman" w:eastAsia="Times New Roman" w:hAnsi="Times New Roman"/>
          <w:sz w:val="17"/>
          <w:szCs w:val="17"/>
          <w:i w:val="1"/>
          <w:iCs w:val="1"/>
          <w:color w:val="auto"/>
        </w:rPr>
        <w:t>.</w:t>
      </w:r>
    </w:p>
    <w:p>
      <w:pPr>
        <w:spacing w:after="0" w:line="342"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The accompanying Consolidated Balance Sheet as of December 31, 2024 was derived from the audited Consolidated Financial Statements but does not include all disclosures required by U.S. GAAP for a full set of financial statements. This Quarterly Report on Form 10-Q should be read in conjunction with the Company’s Consolidated Financial Statements and Notes included in the Company's Annual Report on Form 10-K filed on February 21, 2025 as referenced above.</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Recent Accounting Pronouncements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did not recently adopt any accounting pronouncements that had a material impact on the Company's Consolidated Financial Statements.</w:t>
      </w:r>
    </w:p>
    <w:p>
      <w:pPr>
        <w:spacing w:after="0" w:line="18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 xml:space="preserve">In December 2023, the Financial Accounting Standards Board (FASB) issued Accounting Standards Update (ASU) No. 2023-09, </w:t>
      </w:r>
      <w:r>
        <w:rPr>
          <w:rFonts w:ascii="Times New Roman" w:cs="Times New Roman" w:eastAsia="Times New Roman" w:hAnsi="Times New Roman"/>
          <w:sz w:val="17"/>
          <w:szCs w:val="17"/>
          <w:i w:val="1"/>
          <w:iCs w:val="1"/>
          <w:color w:val="auto"/>
        </w:rPr>
        <w:t>Income Taxes (Topic 740):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that enhances the transparency of income tax disclosures by expanding annual disclosure requirements related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rate reconciliation and income taxes paid. The Company is required to adopt this guidance for its annual year ending December 31, 2025. Early adoption is permitted. The Company is currently evaluating the impact of this guidance on its disclosures.</w:t>
      </w:r>
    </w:p>
    <w:p>
      <w:pPr>
        <w:spacing w:after="0" w:line="14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 xml:space="preserve">In November 2024, the FASB issued ASU No. 2024-03, </w:t>
      </w:r>
      <w:r>
        <w:rPr>
          <w:rFonts w:ascii="Times New Roman" w:cs="Times New Roman" w:eastAsia="Times New Roman" w:hAnsi="Times New Roman"/>
          <w:sz w:val="17"/>
          <w:szCs w:val="17"/>
          <w:i w:val="1"/>
          <w:iCs w:val="1"/>
          <w:color w:val="auto"/>
        </w:rPr>
        <w:t>Income Statement - Reporting Comprehensive Income - Expense Disaggregation Disclosures (Subtopic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220-40): Disaggregation of Income Statement Expenses</w:t>
      </w:r>
      <w:r>
        <w:rPr>
          <w:rFonts w:ascii="Times New Roman" w:cs="Times New Roman" w:eastAsia="Times New Roman" w:hAnsi="Times New Roman"/>
          <w:sz w:val="17"/>
          <w:szCs w:val="17"/>
          <w:color w:val="auto"/>
        </w:rPr>
        <w:t>, which is intended to improve disclosures about a public business entity's expenses, primarily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additional disaggregation of income statement expenses. ASU 2024-03 is effective for annual periods beginning after December 15, 2026, and interim periods beginning after December 15, 2027, with early adoption permitted. The Company is currently evaluating ASU 2024-03 to determine the impact on the Company's disclosures.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 Net Income per Common Share</w:t>
      </w:r>
    </w:p>
    <w:p>
      <w:pPr>
        <w:spacing w:after="0" w:line="19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Basic net income per share is computed based on the weighted-average number of common shares outstanding. Diluted net income per share is computed based on the weighted-average number of common shares outstanding, increased by the number of additional shares that would have been outstanding had potentially dilutive common shares been issued and reduced by the number of shares the Company could have repurchased from the proceeds from issuance of the potentially dilutive shares. Potentially dilutive shares of common stock include stock options and other stock-based awards granted under stock-based compensation plans and shares committed to be purchased under the employee stock purchase plan. Performance stock units are excluded from the calculation of dilutive potential common shares until the performance conditions have been satisfied. Anti-dilutive options were excluded from the calculation of diluted weighted average shares outstanding and were 459,386 and 452,239 for the three months ended June 30, 2025 and 2024</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respectively, and 446,174 and 371,313 for the six months ended June 30, 2025 and 2024, respectively.</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sets forth the computation of basic and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5"/>
          </w:tcPr>
          <w:p>
            <w:pPr>
              <w:ind w:left="4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40" w:type="dxa"/>
            <w:vAlign w:val="bottom"/>
          </w:tcPr>
          <w:p>
            <w:pPr>
              <w:spacing w:after="0"/>
              <w:rPr>
                <w:sz w:val="17"/>
                <w:szCs w:val="17"/>
                <w:color w:val="auto"/>
              </w:rPr>
            </w:pPr>
          </w:p>
        </w:tc>
        <w:tc>
          <w:tcPr>
            <w:tcW w:w="2700" w:type="dxa"/>
            <w:vAlign w:val="bottom"/>
            <w:gridSpan w:val="4"/>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36"/>
        </w:trPr>
        <w:tc>
          <w:tcPr>
            <w:tcW w:w="5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60" w:type="dxa"/>
            <w:vAlign w:val="bottom"/>
            <w:tcBorders>
              <w:bottom w:val="single" w:sz="8" w:color="auto"/>
            </w:tcBorders>
          </w:tcPr>
          <w:p>
            <w:pPr>
              <w:spacing w:after="0"/>
              <w:rPr>
                <w:sz w:val="20"/>
                <w:szCs w:val="20"/>
                <w:color w:val="auto"/>
              </w:rPr>
            </w:pPr>
          </w:p>
        </w:tc>
      </w:tr>
      <w:tr>
        <w:trPr>
          <w:trHeight w:val="241"/>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thousands, except share and per share amounts)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4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8,026</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9,808</w:t>
            </w:r>
          </w:p>
        </w:tc>
      </w:tr>
      <w:tr>
        <w:trPr>
          <w:trHeight w:val="261"/>
        </w:trPr>
        <w:tc>
          <w:tcPr>
            <w:tcW w:w="5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4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 weighted-average shares outstanding:</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23,900,390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25,313,036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24,018,119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25,473,937</w:t>
            </w:r>
          </w:p>
        </w:tc>
      </w:tr>
      <w:tr>
        <w:trPr>
          <w:trHeight w:val="24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8"/>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Employee stock options and other</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201,202</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59,936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273,127</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99,407</w:t>
            </w:r>
          </w:p>
        </w:tc>
      </w:tr>
      <w:tr>
        <w:trPr>
          <w:trHeight w:val="248"/>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 weighted-average shares outstanding:</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24,101,592</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25,372,972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24,291,246</w:t>
            </w:r>
          </w:p>
        </w:tc>
        <w:tc>
          <w:tcPr>
            <w:tcW w:w="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25,573,344</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share: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8"/>
        </w:trPr>
        <w:tc>
          <w:tcPr>
            <w:tcW w:w="5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0.39</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66"/>
        </w:trPr>
        <w:tc>
          <w:tcPr>
            <w:tcW w:w="5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50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 Goodwill and Other Intangible Assets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changes in the carrying amount of goodwill during the three and six months ended June 30,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other than goodwill at June 30, 2025 and December 31,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Weighted</w:t>
            </w:r>
          </w:p>
        </w:tc>
        <w:tc>
          <w:tcPr>
            <w:tcW w:w="0" w:type="dxa"/>
            <w:vAlign w:val="bottom"/>
          </w:tcPr>
          <w:p>
            <w:pPr>
              <w:spacing w:after="0"/>
              <w:rPr>
                <w:sz w:val="1"/>
                <w:szCs w:val="1"/>
                <w:color w:val="auto"/>
              </w:rPr>
            </w:pPr>
          </w:p>
        </w:tc>
      </w:tr>
      <w:tr>
        <w:trPr>
          <w:trHeight w:val="170"/>
        </w:trPr>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6"/>
                <w:szCs w:val="16"/>
                <w:b w:val="1"/>
                <w:bCs w:val="1"/>
                <w:color w:val="auto"/>
                <w:w w:val="98"/>
              </w:rPr>
              <w:t>Useful Life</w:t>
            </w: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ind w:left="60"/>
              <w:spacing w:after="0" w:line="173"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6"/>
                <w:szCs w:val="16"/>
                <w:b w:val="1"/>
                <w:bCs w:val="1"/>
                <w:color w:val="auto"/>
                <w:w w:val="97"/>
              </w:rPr>
              <w:t>Accumulated</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00"/>
              <w:spacing w:after="0" w:line="173" w:lineRule="exact"/>
              <w:rPr>
                <w:sz w:val="20"/>
                <w:szCs w:val="20"/>
                <w:color w:val="auto"/>
              </w:rPr>
            </w:pPr>
            <w:r>
              <w:rPr>
                <w:rFonts w:ascii="Times New Roman" w:cs="Times New Roman" w:eastAsia="Times New Roman" w:hAnsi="Times New Roman"/>
                <w:sz w:val="16"/>
                <w:szCs w:val="16"/>
                <w:b w:val="1"/>
                <w:bCs w:val="1"/>
                <w:color w:val="auto"/>
              </w:rPr>
              <w:t>Useful</w:t>
            </w:r>
          </w:p>
        </w:tc>
        <w:tc>
          <w:tcPr>
            <w:tcW w:w="122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231"/>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20"/>
                <w:szCs w:val="20"/>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Net</w:t>
            </w:r>
          </w:p>
        </w:tc>
        <w:tc>
          <w:tcPr>
            <w:tcW w:w="18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220" w:type="dxa"/>
            <w:vAlign w:val="bottom"/>
          </w:tcPr>
          <w:p>
            <w:pPr>
              <w:spacing w:after="0"/>
              <w:rPr>
                <w:sz w:val="20"/>
                <w:szCs w:val="20"/>
                <w:color w:val="auto"/>
              </w:rPr>
            </w:pPr>
          </w:p>
        </w:tc>
        <w:tc>
          <w:tcPr>
            <w:tcW w:w="68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20"/>
                <w:szCs w:val="20"/>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Life (in years)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 years)</w:t>
            </w:r>
          </w:p>
        </w:tc>
        <w:tc>
          <w:tcPr>
            <w:tcW w:w="0" w:type="dxa"/>
            <w:vAlign w:val="bottom"/>
          </w:tcPr>
          <w:p>
            <w:pPr>
              <w:spacing w:after="0"/>
              <w:rPr>
                <w:sz w:val="1"/>
                <w:szCs w:val="1"/>
                <w:color w:val="auto"/>
              </w:rPr>
            </w:pPr>
          </w:p>
        </w:tc>
      </w:tr>
      <w:tr>
        <w:trPr>
          <w:trHeight w:val="169"/>
        </w:trPr>
        <w:tc>
          <w:tcPr>
            <w:tcW w:w="198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Intangible assets with finite</w:t>
            </w: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lives: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Non-compete agreement</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2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2.0 - 5.0</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0.4</w:t>
            </w: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technology</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1220" w:type="dxa"/>
            <w:vAlign w:val="bottom"/>
            <w:tcBorders>
              <w:bottom w:val="single" w:sz="8" w:color="CCEEFF"/>
            </w:tcBorders>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9"/>
              </w:rPr>
              <w:t>2.5</w:t>
            </w:r>
          </w:p>
        </w:tc>
        <w:tc>
          <w:tcPr>
            <w:tcW w:w="0" w:type="dxa"/>
            <w:vAlign w:val="bottom"/>
          </w:tcPr>
          <w:p>
            <w:pPr>
              <w:spacing w:after="0"/>
              <w:rPr>
                <w:sz w:val="1"/>
                <w:szCs w:val="1"/>
                <w:color w:val="auto"/>
              </w:rPr>
            </w:pPr>
          </w:p>
        </w:tc>
      </w:tr>
      <w:tr>
        <w:trPr>
          <w:trHeight w:val="204"/>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platform</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17,200</w:t>
            </w:r>
          </w:p>
        </w:tc>
        <w:tc>
          <w:tcPr>
            <w:tcW w:w="122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12.0</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7.6</w:t>
            </w:r>
          </w:p>
        </w:tc>
        <w:tc>
          <w:tcPr>
            <w:tcW w:w="0" w:type="dxa"/>
            <w:vAlign w:val="bottom"/>
          </w:tcPr>
          <w:p>
            <w:pPr>
              <w:spacing w:after="0"/>
              <w:rPr>
                <w:sz w:val="1"/>
                <w:szCs w:val="1"/>
                <w:color w:val="auto"/>
              </w:rPr>
            </w:pPr>
          </w:p>
        </w:tc>
      </w:tr>
      <w:tr>
        <w:trPr>
          <w:trHeight w:val="32"/>
        </w:trPr>
        <w:tc>
          <w:tcPr>
            <w:tcW w:w="1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39,705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9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Intangible assets allocated to the Protolabs Network entities consisted of intangible assets of €11.6 million in Europe and $16.6 million in the United States as of the date of the acquisition. The Euro denominated intangible assets are translated at the end of each period using the current exchange rates resulting in a foreign currency translation adjustment that is recorded as a component of Other Comprehensive Income. Foreign currency unrealized losses related to intangible assets were $0.5 million and $2.2 million as of June 30, 2025 and December 31, 2024, respectively. Amortization expense for intangible assets was $0.9 million for each of the three months ended June 30, 2025 and 2024, and $1.8 million and $1.9 million for the six months ended June 30, 2025 and 2024.</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Estimated aggregated amortization expense based on the current carrying value of the amortizable intangible assets and current exchange rates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Estimated</w:t>
            </w:r>
          </w:p>
        </w:tc>
      </w:tr>
      <w:tr>
        <w:trPr>
          <w:trHeight w:val="209"/>
        </w:trPr>
        <w:tc>
          <w:tcPr>
            <w:tcW w:w="9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Amortization</w:t>
            </w:r>
          </w:p>
        </w:tc>
      </w:tr>
      <w:tr>
        <w:trPr>
          <w:trHeight w:val="24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Expense</w:t>
            </w:r>
          </w:p>
        </w:tc>
      </w:tr>
      <w:tr>
        <w:trPr>
          <w:trHeight w:val="248"/>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1,862</w:t>
            </w:r>
          </w:p>
        </w:tc>
      </w:tr>
      <w:tr>
        <w:trPr>
          <w:trHeight w:val="242"/>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3,622</w:t>
            </w:r>
          </w:p>
        </w:tc>
      </w:tr>
      <w:tr>
        <w:trPr>
          <w:trHeight w:val="25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3,613</w:t>
            </w:r>
          </w:p>
        </w:tc>
      </w:tr>
      <w:tr>
        <w:trPr>
          <w:trHeight w:val="242"/>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2,244</w:t>
            </w:r>
          </w:p>
        </w:tc>
      </w:tr>
      <w:tr>
        <w:trPr>
          <w:trHeight w:val="25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2,244</w:t>
            </w:r>
          </w:p>
        </w:tc>
      </w:tr>
      <w:tr>
        <w:trPr>
          <w:trHeight w:val="242"/>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6,915</w:t>
            </w:r>
          </w:p>
        </w:tc>
      </w:tr>
      <w:tr>
        <w:trPr>
          <w:trHeight w:val="27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estimated amortization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20,500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97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 Fair Value Measurements</w:t>
      </w:r>
    </w:p>
    <w:p>
      <w:pPr>
        <w:spacing w:after="0" w:line="184"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 xml:space="preserve">Accounting Standards Codification, </w:t>
      </w:r>
      <w:r>
        <w:rPr>
          <w:rFonts w:ascii="Times New Roman" w:cs="Times New Roman" w:eastAsia="Times New Roman" w:hAnsi="Times New Roman"/>
          <w:sz w:val="17"/>
          <w:szCs w:val="17"/>
          <w:i w:val="1"/>
          <w:iCs w:val="1"/>
          <w:color w:val="auto"/>
        </w:rPr>
        <w:t>Fair Value Measuremen</w:t>
      </w:r>
      <w:r>
        <w:rPr>
          <w:rFonts w:ascii="Times New Roman" w:cs="Times New Roman" w:eastAsia="Times New Roman" w:hAnsi="Times New Roman"/>
          <w:sz w:val="17"/>
          <w:szCs w:val="17"/>
          <w:color w:val="auto"/>
        </w:rPr>
        <w:t>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that requires classification based on observable and unobservable inputs when measuring fair value. There are three levels of inputs that may be used to measure fair value: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Level </w:t>
      </w:r>
      <w:r>
        <w:rPr>
          <w:rFonts w:ascii="Times New Roman" w:cs="Times New Roman" w:eastAsia="Times New Roman" w:hAnsi="Times New Roman"/>
          <w:sz w:val="17"/>
          <w:szCs w:val="17"/>
          <w:color w:val="auto"/>
        </w:rPr>
        <w:t>1</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Quoted prices in active markets for identical assets or liabilities.</w:t>
      </w:r>
    </w:p>
    <w:p>
      <w:pPr>
        <w:spacing w:after="0" w:line="184"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Level </w:t>
      </w:r>
      <w:r>
        <w:rPr>
          <w:rFonts w:ascii="Times New Roman" w:cs="Times New Roman" w:eastAsia="Times New Roman" w:hAnsi="Times New Roman"/>
          <w:sz w:val="17"/>
          <w:szCs w:val="17"/>
          <w:color w:val="auto"/>
        </w:rPr>
        <w:t>2</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Observable inputs other than Level 1 prices such as quoted prices for similar assets or liabilities; quoted prices in markets that are</w:t>
      </w:r>
      <w:r>
        <w:rPr>
          <w:rFonts w:ascii="Times New Roman" w:cs="Times New Roman" w:eastAsia="Times New Roman" w:hAnsi="Times New Roman"/>
          <w:sz w:val="17"/>
          <w:szCs w:val="17"/>
          <w:i w:val="1"/>
          <w:iCs w:val="1"/>
          <w:color w:val="auto"/>
        </w:rPr>
        <w:t xml:space="preserve"> not </w:t>
      </w:r>
      <w:r>
        <w:rPr>
          <w:rFonts w:ascii="Times New Roman" w:cs="Times New Roman" w:eastAsia="Times New Roman" w:hAnsi="Times New Roman"/>
          <w:sz w:val="17"/>
          <w:szCs w:val="17"/>
          <w:color w:val="auto"/>
        </w:rPr>
        <w:t>active; or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inputs that are observable or can be corroborated by observable market data for substantially the full term of the assets or liabilities.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Level </w:t>
      </w:r>
      <w:r>
        <w:rPr>
          <w:rFonts w:ascii="Times New Roman" w:cs="Times New Roman" w:eastAsia="Times New Roman" w:hAnsi="Times New Roman"/>
          <w:sz w:val="17"/>
          <w:szCs w:val="17"/>
          <w:color w:val="auto"/>
        </w:rPr>
        <w:t>3</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Unobservable inputs that are supported by little or no market activity and that are significant to the fair value of the assets or liabilities.</w:t>
      </w:r>
    </w:p>
    <w:p>
      <w:pPr>
        <w:spacing w:after="0" w:line="19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Company's assets and liabilities that are required to be measured or disclosed at fair value on a recurring basis include cash and cash equivalents and marketable securities. The Company’s cash consists of bank deposits and cash equivalents consist primarily of money market mutual funds. The Company determines the fair value of these investments using Level 1 inputs. The Company's marketable securities consist of short-term and long-term agency, municipal, corporate and other debt securities. Fair value for the corporate debt securities is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financial assets as of June 30, 2025 and December 31, 2024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
        </w:trPr>
        <w:tc>
          <w:tcPr>
            <w:tcW w:w="3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8"/>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20" w:type="dxa"/>
            <w:vAlign w:val="bottom"/>
          </w:tcPr>
          <w:p>
            <w:pPr>
              <w:spacing w:after="0"/>
              <w:rPr>
                <w:sz w:val="19"/>
                <w:szCs w:val="19"/>
                <w:color w:val="auto"/>
              </w:rPr>
            </w:pPr>
          </w:p>
        </w:tc>
        <w:tc>
          <w:tcPr>
            <w:tcW w:w="102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40" w:type="dxa"/>
            <w:vAlign w:val="bottom"/>
          </w:tcPr>
          <w:p>
            <w:pPr>
              <w:spacing w:after="0"/>
              <w:rPr>
                <w:sz w:val="19"/>
                <w:szCs w:val="19"/>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Level 3</w:t>
            </w:r>
          </w:p>
        </w:tc>
      </w:tr>
      <w:tr>
        <w:trPr>
          <w:trHeight w:val="26"/>
        </w:trPr>
        <w:tc>
          <w:tcPr>
            <w:tcW w:w="3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1"/>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35"/>
        </w:trPr>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82,748</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86,366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1"/>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Money market mutual fund</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Marketable securities</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17,261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14,531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9"/>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106,652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106,332</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3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 Marketable Securities</w:t>
      </w:r>
    </w:p>
    <w:p>
      <w:pPr>
        <w:spacing w:after="0" w:line="186"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The Company invests in short-term and long-term agency, municipal, corporate and other debt securities. The securities are categorized as available-for-sale and are recorded at fair value. The following table summarizes information regarding the Company’s short-term and long-term marketable securities as of June 30, 2025 and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1367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gridSpan w:val="3"/>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Cost</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Unrealized Losses</w:t>
            </w:r>
          </w:p>
        </w:tc>
        <w:tc>
          <w:tcPr>
            <w:tcW w:w="240" w:type="dxa"/>
            <w:vAlign w:val="bottom"/>
          </w:tcPr>
          <w:p>
            <w:pPr>
              <w:spacing w:after="0"/>
              <w:rPr>
                <w:sz w:val="19"/>
                <w:szCs w:val="19"/>
                <w:color w:val="auto"/>
              </w:rPr>
            </w:pPr>
          </w:p>
        </w:tc>
        <w:tc>
          <w:tcPr>
            <w:tcW w:w="124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15,889</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municipal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8,963</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bonds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6,986</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32,868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32,841</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50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r>
        <w:trPr>
          <w:trHeight w:val="281"/>
        </w:trPr>
        <w:tc>
          <w:tcPr>
            <w:tcW w:w="5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Cost</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Unrealized Losses</w:t>
            </w:r>
          </w:p>
        </w:tc>
        <w:tc>
          <w:tcPr>
            <w:tcW w:w="240" w:type="dxa"/>
            <w:vAlign w:val="bottom"/>
          </w:tcPr>
          <w:p>
            <w:pPr>
              <w:spacing w:after="0"/>
              <w:rPr>
                <w:sz w:val="19"/>
                <w:szCs w:val="19"/>
                <w:color w:val="auto"/>
              </w:rPr>
            </w:pPr>
          </w:p>
        </w:tc>
        <w:tc>
          <w:tcPr>
            <w:tcW w:w="124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8,301</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15,852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15,770</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municipal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6,724</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bonds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31,937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31,792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50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bl>
    <w:p>
      <w:pPr>
        <w:spacing w:after="0" w:line="243"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Fair values for the corporate debt securities are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Classification of marketable securities as current or non-current is based upon the security’s maturity date as of the date of these financial statements.</w:t>
      </w:r>
    </w:p>
    <w:p>
      <w:pPr>
        <w:spacing w:after="0" w:line="184"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7"/>
          <w:szCs w:val="17"/>
          <w:color w:val="auto"/>
        </w:rPr>
        <w:t>The June 30, 2025 balance of available-for-sale debt securities by contractual maturity is shown in the following table at fair value. Actual maturities may differ from contractual maturities because the issuers of the securities may have the right to prepay obligations without prepayment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1367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June 30,</w:t>
            </w:r>
          </w:p>
        </w:tc>
      </w:tr>
      <w:tr>
        <w:trPr>
          <w:trHeight w:val="229"/>
        </w:trPr>
        <w:tc>
          <w:tcPr>
            <w:tcW w:w="9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80" w:type="dxa"/>
            <w:vAlign w:val="bottom"/>
          </w:tcPr>
          <w:p>
            <w:pPr>
              <w:spacing w:after="0"/>
              <w:rPr>
                <w:sz w:val="19"/>
                <w:szCs w:val="19"/>
                <w:color w:val="auto"/>
              </w:rPr>
            </w:pPr>
          </w:p>
        </w:tc>
        <w:tc>
          <w:tcPr>
            <w:tcW w:w="1580" w:type="dxa"/>
            <w:vAlign w:val="bottom"/>
          </w:tcPr>
          <w:p>
            <w:pPr>
              <w:jc w:val="right"/>
              <w:ind w:right="71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6"/>
        </w:trPr>
        <w:tc>
          <w:tcPr>
            <w:tcW w:w="9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4"/>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in one year or less</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12,804</w:t>
            </w:r>
          </w:p>
        </w:tc>
      </w:tr>
      <w:tr>
        <w:trPr>
          <w:trHeight w:val="235"/>
        </w:trPr>
        <w:tc>
          <w:tcPr>
            <w:tcW w:w="9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one year through five years</w:t>
            </w:r>
          </w:p>
        </w:tc>
        <w:tc>
          <w:tcPr>
            <w:tcW w:w="3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20,037</w:t>
            </w:r>
          </w:p>
        </w:tc>
      </w:tr>
      <w:tr>
        <w:trPr>
          <w:trHeight w:val="26"/>
        </w:trPr>
        <w:tc>
          <w:tcPr>
            <w:tcW w:w="9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79"/>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32,841</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92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Inventory</w:t>
      </w:r>
    </w:p>
    <w:p>
      <w:pPr>
        <w:spacing w:after="0" w:line="186"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7"/>
          <w:szCs w:val="17"/>
          <w:color w:val="auto"/>
        </w:rPr>
        <w:t>Inventory consists primarily of raw materials, which are recorded at the lower of cost and net realizable value using the standard cost method, which approximates first-in, first-out (FIFO) cost. The Company periodically reviews its inventory for slow-moving, damaged and discontinued items and provides allowances to reduce such items identified to their recoverable amounts.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inventory consisted of the following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78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4"/>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inventory</w:t>
            </w:r>
          </w:p>
        </w:tc>
        <w:tc>
          <w:tcPr>
            <w:tcW w:w="1220" w:type="dxa"/>
            <w:vAlign w:val="bottom"/>
            <w:tcBorders>
              <w:bottom w:val="single" w:sz="8" w:color="CCEEFF"/>
            </w:tcBorders>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12,989</w:t>
            </w:r>
          </w:p>
        </w:tc>
      </w:tr>
      <w:tr>
        <w:trPr>
          <w:trHeight w:val="235"/>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obsolescence</w:t>
            </w:r>
          </w:p>
        </w:tc>
        <w:tc>
          <w:tcPr>
            <w:tcW w:w="1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w:t>
            </w:r>
          </w:p>
        </w:tc>
      </w:tr>
      <w:tr>
        <w:trPr>
          <w:trHeight w:val="26"/>
        </w:trPr>
        <w:tc>
          <w:tcPr>
            <w:tcW w:w="78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9"/>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 net of allowance</w:t>
            </w:r>
          </w:p>
        </w:tc>
        <w:tc>
          <w:tcPr>
            <w:tcW w:w="1220" w:type="dxa"/>
            <w:vAlign w:val="bottom"/>
            <w:tcBorders>
              <w:bottom w:val="single" w:sz="8" w:color="CCEEFF"/>
            </w:tcBorders>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12,305</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78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Stock-Based Compensation</w:t>
      </w:r>
    </w:p>
    <w:p>
      <w:pPr>
        <w:spacing w:after="0" w:line="18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On July 8, 2022, the board of directors approved the Proto Labs, Inc. 2022 Long-Term Incentive Plan, which was approved by the Company's shareholders at a Special Meeting of Shareholders on August 29, 2022, and subsequently amended and restated by the Company's shareholders at the Annual Meeting of Shareholders on May 23, 2024 (as amended and restated, and subsequently further amended, the 2022 Plan) to increase the number of shares available for issuance pursuant to awards under the 2022 Plan by an additional 430,000 shares, add a minimum vesting requirement, and extend the expiration date so that the term of the 2022 Plan runs for ten years from the date of the shareholder approval. On May 20, 2025, the Company's shareholders approved an amendment to the 2022 Plan to increase the number of shares available for issuance pursuant to awards under the 2022 Plan by an additional 296,000 shares. Under the 2022 Plan, the Company has the ability to grant stock options, stock appreciation rights (SARs), restricted stock, restricted stock units, other stock-based awards and cash incentive awards. Awards under the 2022 Plan have a maximum term of ten years from the date of grant. The compensation and talent committee may provide that the vesting or payment of any award will be subject to the attainment of specified performance measures in addition to the satisfaction of any continued service requirements and the compensation and talent committee will determine whether such measures have been achieved. The per-share exercise price of stock options and SARs granted under the 2022 Plan generally may not be less than the fair market value of a share of our common stock on the date of the grant.</w:t>
      </w:r>
    </w:p>
    <w:p>
      <w:pPr>
        <w:spacing w:after="0" w:line="363"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color w:val="auto"/>
        </w:rPr>
        <w:t>The Company also has outstanding awards under the 2012 Long-Term Incentive Plan, as amended (the 2012 Plan), although the plan expired in February 2022 and no additional awards have since been or will be made under the 2012 Plan. The 2012 Plan provided the Company the ability to grant stock options, SARs, restricted stock, restricted stock units, other stock-based awards and cash incentive awards. Awards under the 2012 Plan that subsequently expired, were forfeited or cancelled, or settled in cash after August 29, 2022 became available for awards under the 2022 Plan.</w:t>
      </w:r>
    </w:p>
    <w:p>
      <w:pPr>
        <w:spacing w:after="0" w:line="130"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7"/>
          <w:szCs w:val="17"/>
          <w:color w:val="auto"/>
        </w:rPr>
        <w:t>On May 23, 2025, the Company granted one-time inducement awards (the "Inducement Awards") within the meaning of the New York Stock Exchange Listed Company Manual Section 303A.08 to the Company's incoming Chief Executive Officer. The Inducement Awards were not granted under the 2022 Plan, but have the same terms and conditions as equity awards granted under the 2022 Plan, except as otherwise provided in the award agreements.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19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The Company’s 2012 Employee Stock Purchase Plan (ESPP) allows eligible employees to purchase a variable number of shares of the Company’s common stock each offering period at a discount through payroll deductions of up to 15 percent of their eligible compensation, subject to plan limitations. The ESPP provides for six-month offering periods with a single purchase period ending May 15 and November 15, respectively. At the end of each offering period, employees are able to purchase shares at 85 percent of the lower of the fair market value of the Company’s common stock on the first trading day of the offering period or on the last trading day of the offering period.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 Expense</w:t>
      </w:r>
    </w:p>
    <w:p>
      <w:pPr>
        <w:spacing w:after="0" w:line="186"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7"/>
          <w:szCs w:val="17"/>
          <w:color w:val="auto"/>
        </w:rPr>
        <w:t>Stock-based compensation expense was $4.3 million and $4.2 million for the three months ended June 30, 2025 and 2024, respectively, and $8.3 million and $8.5 million for the six months ended June 30, 2025 and 2024, respectively.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stock option activity during the 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29"/>
        </w:trPr>
        <w:tc>
          <w:tcPr>
            <w:tcW w:w="8200" w:type="dxa"/>
            <w:vAlign w:val="bottom"/>
          </w:tcPr>
          <w:p>
            <w:pPr>
              <w:spacing w:after="0"/>
              <w:rPr>
                <w:sz w:val="19"/>
                <w:szCs w:val="19"/>
                <w:color w:val="auto"/>
              </w:rPr>
            </w:pP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Stock Options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Exercise Price</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outstanding at December 31,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445,136</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51.34</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139,872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39.32</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33.77</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(93,350)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37.31</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Expired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(16,354)</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87.74</w:t>
            </w:r>
          </w:p>
        </w:tc>
      </w:tr>
      <w:tr>
        <w:trPr>
          <w:trHeight w:val="254"/>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outstanding at June 30, 2025</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466,542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49.60</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175"/>
        </w:trPr>
        <w:tc>
          <w:tcPr>
            <w:tcW w:w="8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61"/>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Exercisable at June 30, 2025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254,268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60.44</w:t>
            </w:r>
          </w:p>
        </w:tc>
      </w:tr>
      <w:tr>
        <w:trPr>
          <w:trHeight w:val="20"/>
        </w:trPr>
        <w:tc>
          <w:tcPr>
            <w:tcW w:w="8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23"/>
        </w:trPr>
        <w:tc>
          <w:tcPr>
            <w:tcW w:w="8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pacing w:after="0" w:line="243" w:lineRule="exact"/>
        <w:rPr>
          <w:sz w:val="20"/>
          <w:szCs w:val="20"/>
          <w:color w:val="auto"/>
        </w:rPr>
      </w:pPr>
    </w:p>
    <w:p>
      <w:pPr>
        <w:ind w:right="600"/>
        <w:spacing w:after="0" w:line="295" w:lineRule="auto"/>
        <w:rPr>
          <w:sz w:val="20"/>
          <w:szCs w:val="20"/>
          <w:color w:val="auto"/>
        </w:rPr>
      </w:pPr>
      <w:r>
        <w:rPr>
          <w:rFonts w:ascii="Times New Roman" w:cs="Times New Roman" w:eastAsia="Times New Roman" w:hAnsi="Times New Roman"/>
          <w:sz w:val="17"/>
          <w:szCs w:val="17"/>
          <w:color w:val="auto"/>
        </w:rPr>
        <w:t>The outstanding options generally have a term of ten years. For employees, options granted become exercisable ratably over the vesting period, which is generally a period of four years, beginning on the first anniversary of the grant date, subject to the employee’s continuing service to the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weighted-average grant date fair value of options that were granted during the six months ended June 30, 2025 was $21.81.</w:t>
      </w:r>
    </w:p>
    <w:p>
      <w:pPr>
        <w:spacing w:after="0" w:line="197" w:lineRule="exact"/>
        <w:rPr>
          <w:sz w:val="20"/>
          <w:szCs w:val="20"/>
          <w:color w:val="auto"/>
        </w:rPr>
      </w:pPr>
    </w:p>
    <w:p>
      <w:pPr>
        <w:ind w:right="420"/>
        <w:spacing w:after="0" w:line="295" w:lineRule="auto"/>
        <w:rPr>
          <w:sz w:val="20"/>
          <w:szCs w:val="20"/>
          <w:color w:val="auto"/>
        </w:rPr>
      </w:pPr>
      <w:r>
        <w:rPr>
          <w:rFonts w:ascii="Times New Roman" w:cs="Times New Roman" w:eastAsia="Times New Roman" w:hAnsi="Times New Roman"/>
          <w:sz w:val="17"/>
          <w:szCs w:val="17"/>
          <w:color w:val="auto"/>
        </w:rPr>
        <w:t>The following table provides the assumptions used in the Black-Scholes pricing model valuation of options during the six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1367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95"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6"/>
        </w:trPr>
        <w:tc>
          <w:tcPr>
            <w:tcW w:w="8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- 4.17%</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- 4.30%</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life (years)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6.25</w:t>
            </w:r>
          </w:p>
        </w:tc>
        <w:tc>
          <w:tcPr>
            <w:tcW w:w="8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6.25</w:t>
            </w:r>
          </w:p>
        </w:tc>
      </w:tr>
      <w:tr>
        <w:trPr>
          <w:trHeight w:val="26"/>
        </w:trPr>
        <w:tc>
          <w:tcPr>
            <w:tcW w:w="8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52.12%</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- 52.99%</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50.62%</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- 50.72%</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w:t>
            </w:r>
          </w:p>
        </w:tc>
      </w:tr>
      <w:tr>
        <w:trPr>
          <w:trHeight w:val="183"/>
        </w:trPr>
        <w:tc>
          <w:tcPr>
            <w:tcW w:w="8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bl>
    <w:p>
      <w:pPr>
        <w:spacing w:after="0" w:line="243"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7"/>
          <w:szCs w:val="17"/>
          <w:color w:val="auto"/>
        </w:rPr>
        <w:t>As of June 30, 2025, there was $3.9 million of unrecognized compensation expense related to unvested stock options, which is expected to be recognized over a weighted-average period of 3.1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 Units</w:t>
      </w:r>
    </w:p>
    <w:p>
      <w:pPr>
        <w:spacing w:after="0" w:line="199"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Restricted stock unit (RSU) awards are share-settled awards and restrictions lapse ratably over the vesting period, which is generally a period from three to four years, beginning on the first anniversary of the grant date, subject to the employee's continuing service to the Company. For the board of directors, restrictions generally lapse in full on the first anniversary of the grant date.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restricted stock units activity during the 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Grant Date</w:t>
            </w:r>
          </w:p>
        </w:tc>
      </w:tr>
      <w:tr>
        <w:trPr>
          <w:trHeight w:val="209"/>
        </w:trPr>
        <w:tc>
          <w:tcPr>
            <w:tcW w:w="8200" w:type="dxa"/>
            <w:vAlign w:val="bottom"/>
          </w:tcPr>
          <w:p>
            <w:pPr>
              <w:spacing w:after="0"/>
              <w:rPr>
                <w:sz w:val="18"/>
                <w:szCs w:val="18"/>
                <w:color w:val="auto"/>
              </w:rPr>
            </w:pPr>
          </w:p>
        </w:tc>
        <w:tc>
          <w:tcPr>
            <w:tcW w:w="148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Restricted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29"/>
        </w:trPr>
        <w:tc>
          <w:tcPr>
            <w:tcW w:w="8200" w:type="dxa"/>
            <w:vAlign w:val="bottom"/>
          </w:tcPr>
          <w:p>
            <w:pPr>
              <w:spacing w:after="0"/>
              <w:rPr>
                <w:sz w:val="19"/>
                <w:szCs w:val="19"/>
                <w:color w:val="auto"/>
              </w:rPr>
            </w:pPr>
          </w:p>
        </w:tc>
        <w:tc>
          <w:tcPr>
            <w:tcW w:w="148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Stock Units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Per Share</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at December 31,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763,261</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38.25</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278,500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39.95</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(212,421)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40.55</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(85,562)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36.57</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7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at June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743,778</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103"/>
        </w:trPr>
        <w:tc>
          <w:tcPr>
            <w:tcW w:w="82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r>
    </w:tbl>
    <w:p>
      <w:pPr>
        <w:spacing w:after="0" w:line="243" w:lineRule="exact"/>
        <w:rPr>
          <w:sz w:val="20"/>
          <w:szCs w:val="20"/>
          <w:color w:val="auto"/>
        </w:rPr>
      </w:pPr>
    </w:p>
    <w:p>
      <w:pPr>
        <w:ind w:right="600"/>
        <w:spacing w:after="0" w:line="295" w:lineRule="auto"/>
        <w:rPr>
          <w:sz w:val="20"/>
          <w:szCs w:val="20"/>
          <w:color w:val="auto"/>
        </w:rPr>
      </w:pPr>
      <w:r>
        <w:rPr>
          <w:rFonts w:ascii="Times New Roman" w:cs="Times New Roman" w:eastAsia="Times New Roman" w:hAnsi="Times New Roman"/>
          <w:sz w:val="17"/>
          <w:szCs w:val="17"/>
          <w:color w:val="auto"/>
        </w:rPr>
        <w:t>As of June 30, 2025, there was $21.7 million of unrecognized compensation expense related to non-vested restricted stock units, which is expected to be recognized over a weighted-average period of 2.9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Stock Units</w:t>
      </w:r>
    </w:p>
    <w:p>
      <w:pPr>
        <w:spacing w:after="0" w:line="18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Performance stock units (PSUs) are expressed in terms of a target number of PSUs, with anywhere between 0 percent and 200 percent of that target number capable of being earned and vesting at the end of a three-year performance period depending on the Company’s performance in the final year of the performance period and the award recipient’s continued employment. The Company’s PSUs are based on market conditions and the related compensation cost is based on the fair value at grant date calculated using a Monte Carlo pricing model.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performance stock units activity during the 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Grant Date</w:t>
            </w:r>
          </w:p>
        </w:tc>
      </w:tr>
      <w:tr>
        <w:trPr>
          <w:trHeight w:val="209"/>
        </w:trPr>
        <w:tc>
          <w:tcPr>
            <w:tcW w:w="8200" w:type="dxa"/>
            <w:vAlign w:val="bottom"/>
          </w:tcPr>
          <w:p>
            <w:pPr>
              <w:spacing w:after="0"/>
              <w:rPr>
                <w:sz w:val="18"/>
                <w:szCs w:val="18"/>
                <w:color w:val="auto"/>
              </w:rPr>
            </w:pPr>
          </w:p>
        </w:tc>
        <w:tc>
          <w:tcPr>
            <w:tcW w:w="148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Performance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29"/>
        </w:trPr>
        <w:tc>
          <w:tcPr>
            <w:tcW w:w="8200" w:type="dxa"/>
            <w:vAlign w:val="bottom"/>
          </w:tcPr>
          <w:p>
            <w:pPr>
              <w:spacing w:after="0"/>
              <w:rPr>
                <w:sz w:val="19"/>
                <w:szCs w:val="19"/>
                <w:color w:val="auto"/>
              </w:rPr>
            </w:pPr>
          </w:p>
        </w:tc>
        <w:tc>
          <w:tcPr>
            <w:tcW w:w="148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Stock Units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Per Share</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stock units at December 31,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180,173</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60.75</w:t>
            </w:r>
          </w:p>
        </w:tc>
      </w:tr>
      <w:tr>
        <w:trPr>
          <w:trHeight w:val="261"/>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r>
              <w:rPr>
                <w:rFonts w:ascii="Times New Roman" w:cs="Times New Roman" w:eastAsia="Times New Roman" w:hAnsi="Times New Roman"/>
                <w:sz w:val="22"/>
                <w:szCs w:val="22"/>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153,503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59.71</w:t>
            </w: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(32,977)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96.41</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 change</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(68,887)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54"/>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 stock units at June 30, 2025</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231,812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56.17</w:t>
            </w:r>
          </w:p>
        </w:tc>
      </w:tr>
      <w:tr>
        <w:trPr>
          <w:trHeight w:val="20"/>
        </w:trPr>
        <w:tc>
          <w:tcPr>
            <w:tcW w:w="8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3"/>
        </w:trPr>
        <w:tc>
          <w:tcPr>
            <w:tcW w:w="8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r>
    </w:tbl>
    <w:p>
      <w:pPr>
        <w:spacing w:after="0" w:line="151" w:lineRule="exact"/>
        <w:rPr>
          <w:sz w:val="20"/>
          <w:szCs w:val="20"/>
          <w:color w:val="auto"/>
        </w:rPr>
      </w:pPr>
    </w:p>
    <w:p>
      <w:pPr>
        <w:ind w:left="20" w:right="160"/>
        <w:spacing w:after="0" w:line="266" w:lineRule="auto"/>
        <w:rPr>
          <w:sz w:val="20"/>
          <w:szCs w:val="20"/>
          <w:color w:val="auto"/>
        </w:rPr>
      </w:pPr>
      <w:r>
        <w:rPr>
          <w:rFonts w:ascii="Times New Roman" w:cs="Times New Roman" w:eastAsia="Times New Roman" w:hAnsi="Times New Roman"/>
          <w:sz w:val="17"/>
          <w:szCs w:val="17"/>
          <w:color w:val="auto"/>
        </w:rPr>
        <w:t>1 Includes a target number of 54,320 PSUs granted as part of the May 23, 2025, Inducement Awards, 27,160 of which have the same market condition as the PSUs granted under the 2022 Plan as described above, and 27,160 of which also include a performance condition with anywhere between 0 percent and 100 percent of the target number capable of being achieved during two six-month performance periods and then anywhere between 0 percent and 200 percent of such achieved PSUs capable of being earned and vesting during a three-year performance period depending on the Company's performance in the final year of the performance period and the award recipient's continued employment.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the assumptions used in the Monte Carlo pricing model valuation of PSUs during the six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7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1"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1480" w:type="dxa"/>
            <w:vAlign w:val="bottom"/>
            <w:gridSpan w:val="2"/>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6"/>
        </w:trPr>
        <w:tc>
          <w:tcPr>
            <w:tcW w:w="8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- 4.08%</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4.37%</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life (years)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- 2.85</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2.88</w:t>
            </w:r>
          </w:p>
        </w:tc>
      </w:tr>
      <w:tr>
        <w:trPr>
          <w:trHeight w:val="26"/>
        </w:trPr>
        <w:tc>
          <w:tcPr>
            <w:tcW w:w="8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52.40%</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- 53.20%</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51.40%</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480" w:type="dxa"/>
            <w:vAlign w:val="bottom"/>
            <w:gridSpan w:val="2"/>
          </w:tcPr>
          <w:p>
            <w:pPr>
              <w:jc w:val="right"/>
              <w:ind w:right="533"/>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r>
      <w:tr>
        <w:trPr>
          <w:trHeight w:val="183"/>
        </w:trPr>
        <w:tc>
          <w:tcPr>
            <w:tcW w:w="8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bl>
    <w:p>
      <w:pPr>
        <w:spacing w:after="0" w:line="243" w:lineRule="exact"/>
        <w:rPr>
          <w:sz w:val="20"/>
          <w:szCs w:val="20"/>
          <w:color w:val="auto"/>
        </w:rPr>
      </w:pPr>
    </w:p>
    <w:p>
      <w:pPr>
        <w:jc w:val="both"/>
        <w:ind w:right="460"/>
        <w:spacing w:after="0" w:line="295" w:lineRule="auto"/>
        <w:rPr>
          <w:sz w:val="20"/>
          <w:szCs w:val="20"/>
          <w:color w:val="auto"/>
        </w:rPr>
      </w:pPr>
      <w:r>
        <w:rPr>
          <w:rFonts w:ascii="Times New Roman" w:cs="Times New Roman" w:eastAsia="Times New Roman" w:hAnsi="Times New Roman"/>
          <w:sz w:val="17"/>
          <w:szCs w:val="17"/>
          <w:color w:val="auto"/>
        </w:rPr>
        <w:t>As of June 30, 2025, there was $8.6 million of unrecognized compensation expense related to non-vested performance stock units, which is expected to be recognized over a weighted-average period of 2.3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assumptions used to estimate the fair value of the ESPP during the six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4.29%</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- 5.16%</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life (months)</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6.00</w:t>
            </w:r>
          </w:p>
        </w:tc>
        <w:tc>
          <w:tcPr>
            <w:tcW w:w="8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6.00</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65.60%</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30.97%</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- 47.92%</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w:t>
            </w:r>
          </w:p>
        </w:tc>
      </w:tr>
      <w:tr>
        <w:trPr>
          <w:trHeight w:val="183"/>
        </w:trPr>
        <w:tc>
          <w:tcPr>
            <w:tcW w:w="8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Accumulated Other Comprehensive Income (Loss)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comprehensive income (loss) is comprised of foreign currency translation adjustments and net unrealized gains (losses) on investments in securities.</w:t>
      </w:r>
    </w:p>
    <w:p>
      <w:pPr>
        <w:spacing w:after="0" w:line="184"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7"/>
          <w:szCs w:val="17"/>
          <w:color w:val="auto"/>
        </w:rPr>
        <w:t>The following table presents the changes in accumulated other comprehensive income (loss) balances during the three and six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1367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ind w:left="3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8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040" w:type="dxa"/>
            <w:vAlign w:val="bottom"/>
          </w:tcPr>
          <w:p>
            <w:pPr>
              <w:spacing w:after="0"/>
              <w:rPr>
                <w:sz w:val="18"/>
                <w:szCs w:val="18"/>
                <w:color w:val="auto"/>
              </w:rPr>
            </w:pPr>
          </w:p>
        </w:tc>
      </w:tr>
      <w:tr>
        <w:trPr>
          <w:trHeight w:val="229"/>
        </w:trPr>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60" w:type="dxa"/>
            <w:vAlign w:val="bottom"/>
            <w:gridSpan w:val="3"/>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40" w:type="dxa"/>
            <w:vAlign w:val="bottom"/>
          </w:tcPr>
          <w:p>
            <w:pPr>
              <w:spacing w:after="0"/>
              <w:rPr>
                <w:sz w:val="19"/>
                <w:szCs w:val="19"/>
                <w:color w:val="auto"/>
              </w:rPr>
            </w:pPr>
          </w:p>
        </w:tc>
      </w:tr>
      <w:tr>
        <w:trPr>
          <w:trHeight w:val="26"/>
        </w:trPr>
        <w:tc>
          <w:tcPr>
            <w:tcW w:w="4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8"/>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6"/>
        </w:trPr>
        <w:tc>
          <w:tcPr>
            <w:tcW w:w="4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4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1"/>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(26,891)</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(28,845)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(27,984)</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(28,013)</w:t>
            </w:r>
          </w:p>
        </w:tc>
      </w:tr>
      <w:tr>
        <w:trPr>
          <w:trHeight w:val="235"/>
        </w:trPr>
        <w:tc>
          <w:tcPr>
            <w:tcW w:w="462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Foreign currency translation adjustments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3,303</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(1,603)</w:t>
            </w:r>
          </w:p>
        </w:tc>
      </w:tr>
      <w:tr>
        <w:trPr>
          <w:trHeight w:val="217"/>
        </w:trPr>
        <w:tc>
          <w:tcPr>
            <w:tcW w:w="46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Amounts reclassified from accumulated other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7"/>
        </w:trPr>
        <w:tc>
          <w:tcPr>
            <w:tcW w:w="46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comprehensive loss</w:t>
            </w: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4"/>
        </w:trPr>
        <w:tc>
          <w:tcPr>
            <w:tcW w:w="46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current-period other 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3,303</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(1,603)</w:t>
            </w:r>
          </w:p>
        </w:tc>
      </w:tr>
      <w:tr>
        <w:trPr>
          <w:trHeight w:val="215"/>
        </w:trPr>
        <w:tc>
          <w:tcPr>
            <w:tcW w:w="462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Net unrealized gains on investments in securities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6"/>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before reclassifications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r>
      <w:tr>
        <w:trPr>
          <w:trHeight w:val="217"/>
        </w:trPr>
        <w:tc>
          <w:tcPr>
            <w:tcW w:w="46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Amounts reclassified from accumulated other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7"/>
        </w:trPr>
        <w:tc>
          <w:tcPr>
            <w:tcW w:w="46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comprehensive loss</w:t>
            </w: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4"/>
        </w:trPr>
        <w:tc>
          <w:tcPr>
            <w:tcW w:w="46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current-period other comprehensive income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r>
      <w:tr>
        <w:trPr>
          <w:trHeight w:val="228"/>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3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(24,563)</w:t>
            </w:r>
          </w:p>
        </w:tc>
        <w:tc>
          <w:tcPr>
            <w:tcW w:w="80" w:type="dxa"/>
            <w:vAlign w:val="bottom"/>
          </w:tcPr>
          <w:p>
            <w:pPr>
              <w:spacing w:after="0"/>
              <w:rPr>
                <w:sz w:val="19"/>
                <w:szCs w:val="19"/>
                <w:color w:val="auto"/>
              </w:rPr>
            </w:pPr>
          </w:p>
        </w:tc>
        <w:tc>
          <w:tcPr>
            <w:tcW w:w="42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(29,432)</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(24,563)</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(29,432)</w:t>
            </w:r>
          </w:p>
        </w:tc>
      </w:tr>
      <w:tr>
        <w:trPr>
          <w:trHeight w:val="26"/>
        </w:trPr>
        <w:tc>
          <w:tcPr>
            <w:tcW w:w="4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23"/>
        </w:trPr>
        <w:tc>
          <w:tcPr>
            <w:tcW w:w="46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 Income Taxes</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The Company is subject to income tax in multiple jurisdictions and the use of estimates is required to determine the provision for income taxes. For the three months ended June 30, 2025 and 2024, the Company recorded an income tax provision of $2.2 million and $2.8 million, respectively. For the six months ended June 30, 2025 and 2024, the Company recorded an income tax provision of $4.6 million and $5.3 million, respectively. The income tax provision is based on the estimated annual effective tax rate for the year applied to pre-tax income. The effective income tax rate for the three months ended June 30, 2025 was 33.7 percent compared to 38.3 percent in the same period of the prior year. The effective tax rate decreased by 4.6 percent for the three months ended June 30, 2025 when compared to the same period in 2024, primarily due to a decrease in tax expense from the vesting of restricted stock units and the exercise of stock options. The effective income tax rate for the six months ended June 30, 2025 was 36.6 percent compared to 35.0 percent in the same period of the prior year. The effective tax rate increased by 1.6 percent for the six months ended June 30, 2025 when compared to the same period in 2024, primarily due to an increase in losses in jurisdictions that are not eligible for tax benefits due to valuation allowances.</w:t>
      </w:r>
    </w:p>
    <w:p>
      <w:pPr>
        <w:spacing w:after="0" w:line="152"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7"/>
          <w:szCs w:val="17"/>
          <w:color w:val="auto"/>
        </w:rPr>
        <w:t>The effective income tax rate for the three and six months ended June 30, 2025 differs from the U.S. federal statutory rate of 21.0 percent due to various factors, including operating in multiple state and foreign jurisdictions partially offset by tax credits for which the Company qualifies.</w:t>
      </w:r>
    </w:p>
    <w:p>
      <w:pPr>
        <w:spacing w:after="0" w:line="108"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The Company had unrecognized tax benefits totaling $3.7 million as of June 30, 2025 and $3.4 million as of December 31, 2024, respectively, that if recognized would result in a reduction of the Company’s effective tax rate. The liabilities are classified as other long-term liabilities in the accompanying consolidated balance sheets. The Company recognizes interest and penalties related to income tax matters in income tax expense and reports the liability in current or long-term income taxes payable as appropriate.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On July 4, 2025, the U.S. enacted H.R. 1 "A bill to provide for reconciliation pursuant to Title II of H. Con. Res. 14", commonly referred to as the One Big Beautiful Bill Act (OBBBA). Changes in tax laws may affect recorded deferred tax assets and deferred tax liabilities and our effective tax rate in the future and we continue to evaluate the impacts the new legislation will have on the Condensed Consolidated Financial Statements. As a result of the enactment of H.R. 1, we anticipate an impact to the deferred tax liability and the income tax payable related to the provisions for 100% bonus depreciation for assets placed in service after January 19, 2025 and full expensing of domestic research and experimental expenditures. We do not expect any material change to our ongoing tax rate as a result of this legislation.</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 Segment Reporting</w:t>
      </w:r>
    </w:p>
    <w:p>
      <w:pPr>
        <w:spacing w:after="0" w:line="186"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7"/>
          <w:szCs w:val="17"/>
          <w:color w:val="auto"/>
        </w:rPr>
        <w:t>The Company’s reportable segments are based on the internal reporting used by the Company’s Chief Executive Officer, who is the chief operating decision maker (CODM), to assess operating performance and make decisions about the allocation of resources. The Company’s reportable segments are based upon geographic region, consisting of the United States and Europe. The Corporate Unallocated category includes non-reportable segments, as well as research and development and general and administrative costs that the Company does not allocate directly to its operating segments.</w:t>
      </w:r>
    </w:p>
    <w:p>
      <w:pPr>
        <w:spacing w:after="0" w:line="143"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Intercompany transactions primarily relate to intercontinental activity and have been eliminated and are excluded from the reported amounts. The difference between income from operations and pre-tax income relates to foreign currency-related gains and losses and interest income on cash balances and investments, which are not allocated to business segments.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selected financial information by reportable segments: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wp:posOffset>
            </wp:positionV>
            <wp:extent cx="71367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6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6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 Unallocated</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3"/>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580" w:type="dxa"/>
            <w:vAlign w:val="bottom"/>
          </w:tcPr>
          <w:p>
            <w:pPr>
              <w:jc w:val="right"/>
              <w:ind w:right="13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110,712</w:t>
            </w:r>
          </w:p>
        </w:tc>
        <w:tc>
          <w:tcPr>
            <w:tcW w:w="80" w:type="dxa"/>
            <w:vAlign w:val="bottom"/>
          </w:tcPr>
          <w:p>
            <w:pPr>
              <w:spacing w:after="0"/>
              <w:rPr>
                <w:sz w:val="20"/>
                <w:szCs w:val="20"/>
                <w:color w:val="auto"/>
              </w:rPr>
            </w:pPr>
          </w:p>
        </w:tc>
        <w:tc>
          <w:tcPr>
            <w:tcW w:w="1600" w:type="dxa"/>
            <w:vAlign w:val="bottom"/>
          </w:tcPr>
          <w:p>
            <w:pPr>
              <w:jc w:val="right"/>
              <w:ind w:right="1396"/>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24,351</w:t>
            </w:r>
          </w:p>
        </w:tc>
        <w:tc>
          <w:tcPr>
            <w:tcW w:w="100" w:type="dxa"/>
            <w:vAlign w:val="bottom"/>
          </w:tcPr>
          <w:p>
            <w:pPr>
              <w:spacing w:after="0"/>
              <w:rPr>
                <w:sz w:val="20"/>
                <w:szCs w:val="20"/>
                <w:color w:val="auto"/>
              </w:rPr>
            </w:pPr>
          </w:p>
        </w:tc>
        <w:tc>
          <w:tcPr>
            <w:tcW w:w="58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135,063</w:t>
            </w:r>
          </w:p>
        </w:tc>
      </w:tr>
      <w:tr>
        <w:trPr>
          <w:trHeight w:val="26"/>
        </w:trPr>
        <w:tc>
          <w:tcPr>
            <w:tcW w:w="3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expenses</w:t>
            </w:r>
            <w:r>
              <w:rPr>
                <w:rFonts w:ascii="Times New Roman" w:cs="Times New Roman" w:eastAsia="Times New Roman" w:hAnsi="Times New Roman"/>
                <w:sz w:val="22"/>
                <w:szCs w:val="22"/>
                <w:color w:val="auto"/>
                <w:vertAlign w:val="superscript"/>
              </w:rPr>
              <w:t>1</w:t>
            </w:r>
          </w:p>
        </w:tc>
        <w:tc>
          <w:tcPr>
            <w:tcW w:w="15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83,025</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29,170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17,750</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129,945</w:t>
            </w:r>
          </w:p>
        </w:tc>
      </w:tr>
      <w:tr>
        <w:trPr>
          <w:trHeight w:val="217"/>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Exit, Disposal and Goodwill impairment</w:t>
            </w:r>
          </w:p>
        </w:tc>
        <w:tc>
          <w:tcPr>
            <w:tcW w:w="1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7"/>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15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6"/>
        </w:trPr>
        <w:tc>
          <w:tcPr>
            <w:tcW w:w="3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9"/>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580" w:type="dxa"/>
            <w:vAlign w:val="bottom"/>
            <w:tcBorders>
              <w:bottom w:val="single" w:sz="8" w:color="auto"/>
            </w:tcBorders>
            <w:shd w:val="clear" w:color="auto" w:fill="CCEEFF"/>
          </w:tcPr>
          <w:p>
            <w:pPr>
              <w:jc w:val="right"/>
              <w:ind w:right="13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27,687</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1396"/>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(17,750)</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4,969</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gridSpan w:val="2"/>
          </w:tcPr>
          <w:p>
            <w:pPr>
              <w:spacing w:after="0" w:line="20" w:lineRule="exact"/>
              <w:rPr>
                <w:sz w:val="1"/>
                <w:szCs w:val="1"/>
                <w:color w:val="auto"/>
              </w:rPr>
            </w:pPr>
          </w:p>
        </w:tc>
        <w:tc>
          <w:tcPr>
            <w:tcW w:w="1680" w:type="dxa"/>
            <w:vAlign w:val="bottom"/>
            <w:tcBorders>
              <w:top w:val="single" w:sz="8" w:color="CCEEFF"/>
            </w:tcBorders>
            <w:gridSpan w:val="2"/>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03"/>
        </w:trPr>
        <w:tc>
          <w:tcPr>
            <w:tcW w:w="3100" w:type="dxa"/>
            <w:vAlign w:val="bottom"/>
            <w:tcBorders>
              <w:bottom w:val="single" w:sz="8" w:color="auto"/>
            </w:tcBorders>
          </w:tcPr>
          <w:p>
            <w:pPr>
              <w:spacing w:after="0"/>
              <w:rPr>
                <w:sz w:val="8"/>
                <w:szCs w:val="8"/>
                <w:color w:val="auto"/>
              </w:rPr>
            </w:pPr>
          </w:p>
        </w:tc>
        <w:tc>
          <w:tcPr>
            <w:tcW w:w="158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spacing w:after="0"/>
              <w:rPr>
                <w:sz w:val="8"/>
                <w:szCs w:val="8"/>
                <w:color w:val="auto"/>
              </w:rPr>
            </w:pPr>
          </w:p>
        </w:tc>
        <w:tc>
          <w:tcPr>
            <w:tcW w:w="112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1300" w:type="dxa"/>
            <w:vAlign w:val="bottom"/>
            <w:tcBorders>
              <w:top w:val="single" w:sz="8" w:color="auto"/>
              <w:bottom w:val="single" w:sz="8" w:color="auto"/>
            </w:tcBorders>
          </w:tcPr>
          <w:p>
            <w:pPr>
              <w:spacing w:after="0"/>
              <w:rPr>
                <w:sz w:val="8"/>
                <w:szCs w:val="8"/>
                <w:color w:val="auto"/>
              </w:rPr>
            </w:pPr>
          </w:p>
        </w:tc>
      </w:tr>
      <w:tr>
        <w:trPr>
          <w:trHeight w:val="516"/>
        </w:trPr>
        <w:tc>
          <w:tcPr>
            <w:tcW w:w="3100" w:type="dxa"/>
            <w:vAlign w:val="bottom"/>
          </w:tcPr>
          <w:p>
            <w:pPr>
              <w:spacing w:after="0"/>
              <w:rPr>
                <w:sz w:val="24"/>
                <w:szCs w:val="24"/>
                <w:color w:val="auto"/>
              </w:rPr>
            </w:pPr>
          </w:p>
        </w:tc>
        <w:tc>
          <w:tcPr>
            <w:tcW w:w="392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June 30, 2024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
        </w:trPr>
        <w:tc>
          <w:tcPr>
            <w:tcW w:w="3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8"/>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1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6"/>
        </w:trPr>
        <w:tc>
          <w:tcPr>
            <w:tcW w:w="3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8"/>
        </w:trPr>
        <w:tc>
          <w:tcPr>
            <w:tcW w:w="3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6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 Unallocated</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5"/>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580" w:type="dxa"/>
            <w:vAlign w:val="bottom"/>
          </w:tcPr>
          <w:p>
            <w:pPr>
              <w:jc w:val="right"/>
              <w:ind w:right="13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98,541</w:t>
            </w:r>
          </w:p>
        </w:tc>
        <w:tc>
          <w:tcPr>
            <w:tcW w:w="80" w:type="dxa"/>
            <w:vAlign w:val="bottom"/>
          </w:tcPr>
          <w:p>
            <w:pPr>
              <w:spacing w:after="0"/>
              <w:rPr>
                <w:sz w:val="20"/>
                <w:szCs w:val="20"/>
                <w:color w:val="auto"/>
              </w:rPr>
            </w:pPr>
          </w:p>
        </w:tc>
        <w:tc>
          <w:tcPr>
            <w:tcW w:w="1600" w:type="dxa"/>
            <w:vAlign w:val="bottom"/>
          </w:tcPr>
          <w:p>
            <w:pPr>
              <w:jc w:val="right"/>
              <w:ind w:right="1396"/>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27,090</w:t>
            </w:r>
          </w:p>
        </w:tc>
        <w:tc>
          <w:tcPr>
            <w:tcW w:w="100" w:type="dxa"/>
            <w:vAlign w:val="bottom"/>
          </w:tcPr>
          <w:p>
            <w:pPr>
              <w:spacing w:after="0"/>
              <w:rPr>
                <w:sz w:val="20"/>
                <w:szCs w:val="20"/>
                <w:color w:val="auto"/>
              </w:rPr>
            </w:pPr>
          </w:p>
        </w:tc>
        <w:tc>
          <w:tcPr>
            <w:tcW w:w="58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125,631</w:t>
            </w:r>
          </w:p>
        </w:tc>
      </w:tr>
      <w:tr>
        <w:trPr>
          <w:trHeight w:val="26"/>
        </w:trPr>
        <w:tc>
          <w:tcPr>
            <w:tcW w:w="3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expenses</w:t>
            </w:r>
            <w:r>
              <w:rPr>
                <w:rFonts w:ascii="Times New Roman" w:cs="Times New Roman" w:eastAsia="Times New Roman" w:hAnsi="Times New Roman"/>
                <w:sz w:val="22"/>
                <w:szCs w:val="22"/>
                <w:color w:val="auto"/>
                <w:vertAlign w:val="superscript"/>
              </w:rPr>
              <w:t>1</w:t>
            </w:r>
          </w:p>
        </w:tc>
        <w:tc>
          <w:tcPr>
            <w:tcW w:w="15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74,300</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28,822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16,510</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119,632</w:t>
            </w:r>
          </w:p>
        </w:tc>
      </w:tr>
      <w:tr>
        <w:trPr>
          <w:trHeight w:val="217"/>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Exit, Disposal and Goodwill impairment</w:t>
            </w:r>
          </w:p>
        </w:tc>
        <w:tc>
          <w:tcPr>
            <w:tcW w:w="1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7"/>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15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9"/>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580" w:type="dxa"/>
            <w:vAlign w:val="bottom"/>
            <w:tcBorders>
              <w:bottom w:val="single" w:sz="8" w:color="auto"/>
            </w:tcBorders>
            <w:shd w:val="clear" w:color="auto" w:fill="CCEEFF"/>
          </w:tcPr>
          <w:p>
            <w:pPr>
              <w:jc w:val="right"/>
              <w:ind w:right="13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24,241</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1396"/>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(1,732)</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(16,510)</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5,999</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gridSpan w:val="4"/>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03"/>
        </w:trPr>
        <w:tc>
          <w:tcPr>
            <w:tcW w:w="3100" w:type="dxa"/>
            <w:vAlign w:val="bottom"/>
            <w:tcBorders>
              <w:bottom w:val="single" w:sz="8" w:color="auto"/>
            </w:tcBorders>
          </w:tcPr>
          <w:p>
            <w:pPr>
              <w:spacing w:after="0"/>
              <w:rPr>
                <w:sz w:val="8"/>
                <w:szCs w:val="8"/>
                <w:color w:val="auto"/>
              </w:rPr>
            </w:pPr>
          </w:p>
        </w:tc>
        <w:tc>
          <w:tcPr>
            <w:tcW w:w="158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spacing w:after="0"/>
              <w:rPr>
                <w:sz w:val="8"/>
                <w:szCs w:val="8"/>
                <w:color w:val="auto"/>
              </w:rPr>
            </w:pPr>
          </w:p>
        </w:tc>
        <w:tc>
          <w:tcPr>
            <w:tcW w:w="112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1300" w:type="dxa"/>
            <w:vAlign w:val="bottom"/>
            <w:tcBorders>
              <w:top w:val="single" w:sz="8" w:color="auto"/>
              <w:bottom w:val="single" w:sz="8" w:color="auto"/>
            </w:tcBorders>
          </w:tcPr>
          <w:p>
            <w:pPr>
              <w:spacing w:after="0"/>
              <w:rPr>
                <w:sz w:val="8"/>
                <w:szCs w:val="8"/>
                <w:color w:val="auto"/>
              </w:rPr>
            </w:pPr>
          </w:p>
        </w:tc>
      </w:tr>
      <w:tr>
        <w:trPr>
          <w:trHeight w:val="516"/>
        </w:trPr>
        <w:tc>
          <w:tcPr>
            <w:tcW w:w="3100" w:type="dxa"/>
            <w:vAlign w:val="bottom"/>
          </w:tcPr>
          <w:p>
            <w:pPr>
              <w:spacing w:after="0"/>
              <w:rPr>
                <w:sz w:val="24"/>
                <w:szCs w:val="24"/>
                <w:color w:val="auto"/>
              </w:rPr>
            </w:pPr>
          </w:p>
        </w:tc>
        <w:tc>
          <w:tcPr>
            <w:tcW w:w="3920" w:type="dxa"/>
            <w:vAlign w:val="bottom"/>
            <w:gridSpan w:val="4"/>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Six Months Ended June 30, 2025</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
        </w:trPr>
        <w:tc>
          <w:tcPr>
            <w:tcW w:w="3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8"/>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1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6"/>
        </w:trPr>
        <w:tc>
          <w:tcPr>
            <w:tcW w:w="3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8"/>
        </w:trPr>
        <w:tc>
          <w:tcPr>
            <w:tcW w:w="3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6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 Unallocated</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5"/>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580" w:type="dxa"/>
            <w:vAlign w:val="bottom"/>
          </w:tcPr>
          <w:p>
            <w:pPr>
              <w:jc w:val="right"/>
              <w:ind w:right="13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210,979</w:t>
            </w:r>
          </w:p>
        </w:tc>
        <w:tc>
          <w:tcPr>
            <w:tcW w:w="80" w:type="dxa"/>
            <w:vAlign w:val="bottom"/>
          </w:tcPr>
          <w:p>
            <w:pPr>
              <w:spacing w:after="0"/>
              <w:rPr>
                <w:sz w:val="20"/>
                <w:szCs w:val="20"/>
                <w:color w:val="auto"/>
              </w:rPr>
            </w:pPr>
          </w:p>
        </w:tc>
        <w:tc>
          <w:tcPr>
            <w:tcW w:w="1600" w:type="dxa"/>
            <w:vAlign w:val="bottom"/>
          </w:tcPr>
          <w:p>
            <w:pPr>
              <w:jc w:val="right"/>
              <w:ind w:right="1396"/>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50,289</w:t>
            </w:r>
          </w:p>
        </w:tc>
        <w:tc>
          <w:tcPr>
            <w:tcW w:w="100" w:type="dxa"/>
            <w:vAlign w:val="bottom"/>
          </w:tcPr>
          <w:p>
            <w:pPr>
              <w:spacing w:after="0"/>
              <w:rPr>
                <w:sz w:val="20"/>
                <w:szCs w:val="20"/>
                <w:color w:val="auto"/>
              </w:rPr>
            </w:pPr>
          </w:p>
        </w:tc>
        <w:tc>
          <w:tcPr>
            <w:tcW w:w="58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261,268</w:t>
            </w:r>
          </w:p>
        </w:tc>
      </w:tr>
      <w:tr>
        <w:trPr>
          <w:trHeight w:val="26"/>
        </w:trPr>
        <w:tc>
          <w:tcPr>
            <w:tcW w:w="3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expenses</w:t>
            </w:r>
            <w:r>
              <w:rPr>
                <w:rFonts w:ascii="Times New Roman" w:cs="Times New Roman" w:eastAsia="Times New Roman" w:hAnsi="Times New Roman"/>
                <w:sz w:val="22"/>
                <w:szCs w:val="22"/>
                <w:color w:val="auto"/>
                <w:vertAlign w:val="superscript"/>
              </w:rPr>
              <w:t>1</w:t>
            </w:r>
          </w:p>
        </w:tc>
        <w:tc>
          <w:tcPr>
            <w:tcW w:w="15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157,795</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58,970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34,893</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251,658</w:t>
            </w:r>
          </w:p>
        </w:tc>
      </w:tr>
      <w:tr>
        <w:trPr>
          <w:trHeight w:val="217"/>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Exit, Disposal and Goodwill impairment</w:t>
            </w:r>
          </w:p>
        </w:tc>
        <w:tc>
          <w:tcPr>
            <w:tcW w:w="1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7"/>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15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6"/>
        </w:trPr>
        <w:tc>
          <w:tcPr>
            <w:tcW w:w="3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9"/>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580" w:type="dxa"/>
            <w:vAlign w:val="bottom"/>
            <w:tcBorders>
              <w:bottom w:val="single" w:sz="8" w:color="auto"/>
            </w:tcBorders>
            <w:shd w:val="clear" w:color="auto" w:fill="CCEEFF"/>
          </w:tcPr>
          <w:p>
            <w:pPr>
              <w:jc w:val="right"/>
              <w:ind w:right="13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53,184</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1396"/>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(34,893)</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9,500</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gridSpan w:val="4"/>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03"/>
        </w:trPr>
        <w:tc>
          <w:tcPr>
            <w:tcW w:w="3100" w:type="dxa"/>
            <w:vAlign w:val="bottom"/>
            <w:tcBorders>
              <w:bottom w:val="single" w:sz="8" w:color="auto"/>
            </w:tcBorders>
          </w:tcPr>
          <w:p>
            <w:pPr>
              <w:spacing w:after="0"/>
              <w:rPr>
                <w:sz w:val="8"/>
                <w:szCs w:val="8"/>
                <w:color w:val="auto"/>
              </w:rPr>
            </w:pPr>
          </w:p>
        </w:tc>
        <w:tc>
          <w:tcPr>
            <w:tcW w:w="158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spacing w:after="0"/>
              <w:rPr>
                <w:sz w:val="8"/>
                <w:szCs w:val="8"/>
                <w:color w:val="auto"/>
              </w:rPr>
            </w:pPr>
          </w:p>
        </w:tc>
        <w:tc>
          <w:tcPr>
            <w:tcW w:w="112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1300" w:type="dxa"/>
            <w:vAlign w:val="bottom"/>
            <w:tcBorders>
              <w:top w:val="single" w:sz="8" w:color="auto"/>
              <w:bottom w:val="single" w:sz="8" w:color="auto"/>
            </w:tcBorders>
          </w:tcPr>
          <w:p>
            <w:pPr>
              <w:spacing w:after="0"/>
              <w:rPr>
                <w:sz w:val="8"/>
                <w:szCs w:val="8"/>
                <w:color w:val="auto"/>
              </w:rPr>
            </w:pPr>
          </w:p>
        </w:tc>
      </w:tr>
      <w:tr>
        <w:trPr>
          <w:trHeight w:val="516"/>
        </w:trPr>
        <w:tc>
          <w:tcPr>
            <w:tcW w:w="3100" w:type="dxa"/>
            <w:vAlign w:val="bottom"/>
          </w:tcPr>
          <w:p>
            <w:pPr>
              <w:spacing w:after="0"/>
              <w:rPr>
                <w:sz w:val="24"/>
                <w:szCs w:val="24"/>
                <w:color w:val="auto"/>
              </w:rPr>
            </w:pPr>
          </w:p>
        </w:tc>
        <w:tc>
          <w:tcPr>
            <w:tcW w:w="3920" w:type="dxa"/>
            <w:vAlign w:val="bottom"/>
            <w:gridSpan w:val="4"/>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Six Months Ended June 30, 2024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
        </w:trPr>
        <w:tc>
          <w:tcPr>
            <w:tcW w:w="3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8"/>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1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6"/>
        </w:trPr>
        <w:tc>
          <w:tcPr>
            <w:tcW w:w="3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8"/>
        </w:trPr>
        <w:tc>
          <w:tcPr>
            <w:tcW w:w="3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6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 Unallocated</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5"/>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580" w:type="dxa"/>
            <w:vAlign w:val="bottom"/>
          </w:tcPr>
          <w:p>
            <w:pPr>
              <w:jc w:val="right"/>
              <w:ind w:right="13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200,022</w:t>
            </w:r>
          </w:p>
        </w:tc>
        <w:tc>
          <w:tcPr>
            <w:tcW w:w="80" w:type="dxa"/>
            <w:vAlign w:val="bottom"/>
          </w:tcPr>
          <w:p>
            <w:pPr>
              <w:spacing w:after="0"/>
              <w:rPr>
                <w:sz w:val="20"/>
                <w:szCs w:val="20"/>
                <w:color w:val="auto"/>
              </w:rPr>
            </w:pPr>
          </w:p>
        </w:tc>
        <w:tc>
          <w:tcPr>
            <w:tcW w:w="1600" w:type="dxa"/>
            <w:vAlign w:val="bottom"/>
          </w:tcPr>
          <w:p>
            <w:pPr>
              <w:jc w:val="right"/>
              <w:ind w:right="1396"/>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53,499</w:t>
            </w:r>
          </w:p>
        </w:tc>
        <w:tc>
          <w:tcPr>
            <w:tcW w:w="100" w:type="dxa"/>
            <w:vAlign w:val="bottom"/>
          </w:tcPr>
          <w:p>
            <w:pPr>
              <w:spacing w:after="0"/>
              <w:rPr>
                <w:sz w:val="20"/>
                <w:szCs w:val="20"/>
                <w:color w:val="auto"/>
              </w:rPr>
            </w:pPr>
          </w:p>
        </w:tc>
        <w:tc>
          <w:tcPr>
            <w:tcW w:w="58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253,521</w:t>
            </w:r>
          </w:p>
        </w:tc>
      </w:tr>
      <w:tr>
        <w:trPr>
          <w:trHeight w:val="26"/>
        </w:trPr>
        <w:tc>
          <w:tcPr>
            <w:tcW w:w="3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expenses</w:t>
            </w:r>
            <w:r>
              <w:rPr>
                <w:rFonts w:ascii="Times New Roman" w:cs="Times New Roman" w:eastAsia="Times New Roman" w:hAnsi="Times New Roman"/>
                <w:sz w:val="22"/>
                <w:szCs w:val="22"/>
                <w:color w:val="auto"/>
                <w:vertAlign w:val="superscript"/>
              </w:rPr>
              <w:t>1</w:t>
            </w:r>
          </w:p>
        </w:tc>
        <w:tc>
          <w:tcPr>
            <w:tcW w:w="15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149,449</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57,675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33,571</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240,695</w:t>
            </w:r>
          </w:p>
        </w:tc>
      </w:tr>
      <w:tr>
        <w:trPr>
          <w:trHeight w:val="217"/>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Exit, Disposal and Goodwill impairment</w:t>
            </w:r>
          </w:p>
        </w:tc>
        <w:tc>
          <w:tcPr>
            <w:tcW w:w="1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7"/>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15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9"/>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580" w:type="dxa"/>
            <w:vAlign w:val="bottom"/>
            <w:tcBorders>
              <w:bottom w:val="single" w:sz="8" w:color="auto"/>
            </w:tcBorders>
            <w:shd w:val="clear" w:color="auto" w:fill="CCEEFF"/>
          </w:tcPr>
          <w:p>
            <w:pPr>
              <w:jc w:val="right"/>
              <w:ind w:right="13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50,573</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1396"/>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(33,571)</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12,826</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31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bl>
    <w:p>
      <w:pPr>
        <w:spacing w:after="0" w:line="243" w:lineRule="exact"/>
        <w:rPr>
          <w:sz w:val="20"/>
          <w:szCs w:val="20"/>
          <w:color w:val="auto"/>
        </w:rPr>
      </w:pPr>
    </w:p>
    <w:p>
      <w:pPr>
        <w:ind w:left="640" w:right="20" w:hanging="165"/>
        <w:spacing w:after="0" w:line="244" w:lineRule="auto"/>
        <w:tabs>
          <w:tab w:leader="none" w:pos="56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Segment expenses consist primarily of raw materials, equipment depreciation, employee compensation including benefits, commissions and stock-based compensation, facilities costs and overhead allocations associated with the manufacturing process for molds and custom parts, marketing programs such as electronic, print and pay-per-click advertising and trade shows and other related costs for our United States and Europe reportable segments. Segment expenses for our Corporate Unallocated reportable segment consist primarily of personnel and outside service costs related to the development of new processes and product lines, enhancements of existing product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40" w:right="200"/>
        <w:spacing w:after="0" w:line="276" w:lineRule="auto"/>
        <w:rPr>
          <w:sz w:val="20"/>
          <w:szCs w:val="20"/>
          <w:color w:val="auto"/>
        </w:rPr>
      </w:pPr>
      <w:r>
        <w:rPr>
          <w:rFonts w:ascii="Times New Roman" w:cs="Times New Roman" w:eastAsia="Times New Roman" w:hAnsi="Times New Roman"/>
          <w:sz w:val="17"/>
          <w:szCs w:val="17"/>
          <w:color w:val="auto"/>
        </w:rPr>
        <w:t>lines, software developed for internal use, maintenance of internally developed software, quality assurance and testing, employee compensation including benefits and stock-based compensation, severance, professional service fees related to accounting, tax and legal, and other related overhead costs.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long-lived assets, expenditures for additions to long-lived assets, and depreciation and amortization expense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80" w:type="dxa"/>
            <w:vAlign w:val="bottom"/>
          </w:tcPr>
          <w:p>
            <w:pPr>
              <w:spacing w:after="0"/>
              <w:rPr>
                <w:sz w:val="18"/>
                <w:szCs w:val="18"/>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9"/>
                <w:szCs w:val="19"/>
                <w:color w:val="auto"/>
              </w:rPr>
            </w:pPr>
          </w:p>
        </w:tc>
        <w:tc>
          <w:tcPr>
            <w:tcW w:w="122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8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long-lived assets:</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171,170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181,291</w:t>
            </w:r>
          </w:p>
        </w:tc>
      </w:tr>
      <w:tr>
        <w:trPr>
          <w:trHeight w:val="26"/>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44,607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45,972</w:t>
            </w:r>
          </w:p>
        </w:tc>
      </w:tr>
      <w:tr>
        <w:trPr>
          <w:trHeight w:val="254"/>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Long-lived Assets</w:t>
            </w: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215,777</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227,263</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3"/>
        </w:trPr>
        <w:tc>
          <w:tcPr>
            <w:tcW w:w="820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spacing w:after="0"/>
              <w:rPr>
                <w:sz w:val="10"/>
                <w:szCs w:val="10"/>
                <w:color w:val="auto"/>
              </w:rPr>
            </w:pPr>
          </w:p>
        </w:tc>
      </w:tr>
      <w:tr>
        <w:trPr>
          <w:trHeight w:val="424"/>
        </w:trPr>
        <w:tc>
          <w:tcPr>
            <w:tcW w:w="8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ind w:left="4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40" w:type="dxa"/>
            <w:vAlign w:val="bottom"/>
          </w:tcPr>
          <w:p>
            <w:pPr>
              <w:spacing w:after="0"/>
              <w:rPr>
                <w:sz w:val="18"/>
                <w:szCs w:val="18"/>
                <w:color w:val="auto"/>
              </w:rPr>
            </w:pPr>
          </w:p>
        </w:tc>
        <w:tc>
          <w:tcPr>
            <w:tcW w:w="2700" w:type="dxa"/>
            <w:vAlign w:val="bottom"/>
            <w:gridSpan w:val="4"/>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6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Expenditures for additions to long-lived assets: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100" w:type="dxa"/>
            <w:vAlign w:val="bottom"/>
          </w:tcPr>
          <w:p>
            <w:pPr>
              <w:spacing w:after="0"/>
              <w:rPr>
                <w:sz w:val="20"/>
                <w:szCs w:val="20"/>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3,532</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2,293</w:t>
            </w:r>
          </w:p>
        </w:tc>
        <w:tc>
          <w:tcPr>
            <w:tcW w:w="80" w:type="dxa"/>
            <w:vAlign w:val="bottom"/>
          </w:tcPr>
          <w:p>
            <w:pPr>
              <w:spacing w:after="0"/>
              <w:rPr>
                <w:sz w:val="20"/>
                <w:szCs w:val="20"/>
                <w:color w:val="auto"/>
              </w:rPr>
            </w:pP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4,366</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2,418</w:t>
            </w:r>
          </w:p>
        </w:tc>
      </w:tr>
      <w:tr>
        <w:trPr>
          <w:trHeight w:val="254"/>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expenditures for additions to long-lived assets</w:t>
            </w: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2,730</w:t>
            </w:r>
          </w:p>
        </w:tc>
        <w:tc>
          <w:tcPr>
            <w:tcW w:w="8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6,784</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3"/>
        </w:trPr>
        <w:tc>
          <w:tcPr>
            <w:tcW w:w="50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r>
        <w:trPr>
          <w:trHeight w:val="281"/>
        </w:trPr>
        <w:tc>
          <w:tcPr>
            <w:tcW w:w="5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60" w:type="dxa"/>
            <w:vAlign w:val="bottom"/>
          </w:tcPr>
          <w:p>
            <w:pPr>
              <w:spacing w:after="0"/>
              <w:rPr>
                <w:sz w:val="18"/>
                <w:szCs w:val="18"/>
                <w:color w:val="auto"/>
              </w:rPr>
            </w:pPr>
          </w:p>
        </w:tc>
        <w:tc>
          <w:tcPr>
            <w:tcW w:w="2540" w:type="dxa"/>
            <w:vAlign w:val="bottom"/>
            <w:gridSpan w:val="4"/>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9"/>
        </w:trPr>
        <w:tc>
          <w:tcPr>
            <w:tcW w:w="5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80" w:type="dxa"/>
            <w:vAlign w:val="bottom"/>
            <w:gridSpan w:val="3"/>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6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50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Depreciation and Amortization:</w:t>
            </w: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7,003</w:t>
            </w:r>
          </w:p>
        </w:tc>
        <w:tc>
          <w:tcPr>
            <w:tcW w:w="100" w:type="dxa"/>
            <w:vAlign w:val="bottom"/>
          </w:tcPr>
          <w:p>
            <w:pPr>
              <w:spacing w:after="0"/>
              <w:rPr>
                <w:sz w:val="20"/>
                <w:szCs w:val="20"/>
                <w:color w:val="auto"/>
              </w:rPr>
            </w:pP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7,186</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14,012</w:t>
            </w:r>
          </w:p>
        </w:tc>
        <w:tc>
          <w:tcPr>
            <w:tcW w:w="80" w:type="dxa"/>
            <w:vAlign w:val="bottom"/>
          </w:tcPr>
          <w:p>
            <w:pPr>
              <w:spacing w:after="0"/>
              <w:rPr>
                <w:sz w:val="20"/>
                <w:szCs w:val="20"/>
                <w:color w:val="auto"/>
              </w:rPr>
            </w:pP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14,511</w:t>
            </w:r>
          </w:p>
        </w:tc>
      </w:tr>
      <w:tr>
        <w:trPr>
          <w:trHeight w:val="26"/>
        </w:trPr>
        <w:tc>
          <w:tcPr>
            <w:tcW w:w="5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1,484</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3,090</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3,476</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Unallocated</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80" w:type="dxa"/>
            <w:vAlign w:val="bottom"/>
          </w:tcPr>
          <w:p>
            <w:pPr>
              <w:spacing w:after="0"/>
              <w:rPr>
                <w:sz w:val="20"/>
                <w:szCs w:val="20"/>
                <w:color w:val="auto"/>
              </w:rPr>
            </w:pP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6"/>
        </w:trPr>
        <w:tc>
          <w:tcPr>
            <w:tcW w:w="50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depreciation and amortization</w:t>
            </w: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8,570</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17,264</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18,075</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50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product line the three and six months ended June 30, 2025 and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ind w:left="4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40" w:type="dxa"/>
            <w:vAlign w:val="bottom"/>
          </w:tcPr>
          <w:p>
            <w:pPr>
              <w:spacing w:after="0"/>
              <w:rPr>
                <w:sz w:val="18"/>
                <w:szCs w:val="18"/>
                <w:color w:val="auto"/>
              </w:rPr>
            </w:pPr>
          </w:p>
        </w:tc>
        <w:tc>
          <w:tcPr>
            <w:tcW w:w="2700" w:type="dxa"/>
            <w:vAlign w:val="bottom"/>
            <w:gridSpan w:val="4"/>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6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Injection Molding</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47,415</w:t>
            </w:r>
          </w:p>
        </w:tc>
        <w:tc>
          <w:tcPr>
            <w:tcW w:w="100" w:type="dxa"/>
            <w:vAlign w:val="bottom"/>
          </w:tcPr>
          <w:p>
            <w:pPr>
              <w:spacing w:after="0"/>
              <w:rPr>
                <w:sz w:val="20"/>
                <w:szCs w:val="20"/>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49,080</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96,138</w:t>
            </w:r>
          </w:p>
        </w:tc>
        <w:tc>
          <w:tcPr>
            <w:tcW w:w="80" w:type="dxa"/>
            <w:vAlign w:val="bottom"/>
          </w:tcPr>
          <w:p>
            <w:pPr>
              <w:spacing w:after="0"/>
              <w:rPr>
                <w:sz w:val="20"/>
                <w:szCs w:val="20"/>
                <w:color w:val="auto"/>
              </w:rPr>
            </w:pP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101,743</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CNC Machining</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61,945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114,788</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101,171</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3D Printing</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41,409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42,863</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Sheet Metal</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8,514</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7,475</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135,063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261,268</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253,521</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50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97"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our Annual Report on Form 10-K for the year ended December 31,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Statements contained in this report regarding matters that are not historical or current facts are “forward-looking statements” within the meaning of The Private Securities Litigation Reform Act of 1995.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that may cause our results to be materially different than those expressed or implied in such statements. Certain of these risk factors and others are described in Item 1A. “Risk Factors” of this Quarterly Report on Form 10-Q, as well as our most recent Annual Report on Form 10-K as filed with the Securities and Exchange Commission (SEC). Other unknown or unpredictable factors also could have material adverse effects on our future results. We cannot guarantee future results, levels of activity, performance or achievements. Accordingly, you should not place undue reliance on these forward-looking statements. Finally, we expressly disclaim any intent or obligation to update any forward-looking statements to reflect subsequent events or circumstances.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8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are one of the world’s largest, fastest and most comprehensive digital manufacturers of custom parts. Our vision is accelerating innovation by revolutionizing manufacturing. Our mission is to shape the future by bringing customer ideas to life across every stage of their product cycle. We accomplish this by offering a variety of manufacturing capabilities fulfilled through a combination of owned manufacturing factories and a worldwide network of premium manufacturing partners. Our automated quoting and manufacturing systems are highly integrated with our manufacturing and fulfillment systems, which allow us to offer a vast array of manufacturing technologies in a variety of materials across a continuum of lead times and prices. Our technology-enabled digital engineering and manufacturing applications enable us to produce commercial-grade plastic, metal, and liquid silicone rubber parts in as fast as one day.</w:t>
      </w:r>
    </w:p>
    <w:p>
      <w:pPr>
        <w:spacing w:after="0" w:line="13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Our customers conduct the majority of their business with us via our Internet-based eCommerce platform. We target our products to the millions of product developers and engineers who use three-dimensional computer-aided design (3D CAD) software to design products across a diverse range of end-markets, to the procurement and supply chain professionals seeking to easily and efficiently source custom parts on-demand, and to a wide variety of customers seeking to purchase custom parts. We believe our use of advanced technologies enable us to offer significant advantages at competitive prices to many customers and is the primary reason we have become a leading supplier of custom parts.</w:t>
      </w:r>
    </w:p>
    <w:p>
      <w:pPr>
        <w:spacing w:after="0" w:line="14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We have established our operations in the United States and Europe. On October 21, 2024, the Company's board of directors approved a plan related to the Company's manufacturing facilities in Germany. The plan includes the closure of the Company's prototype injection molding manufacturing facility in Eschenlohe, Germany, and the discontinuation of Direct Metal Laser Sintering 3D printing services through its 3D printing facility in Putzbrunn, Germany. The Company expects to substantially complete the plan during fiscal year 2025. The Company intends to continue offering all of its manufacturing services to customers across Europe, including injection molding and metal 3D printing. These services will be fulfilled through internal manufacturing facilities and a network of manufacturing partners.</w:t>
      </w:r>
    </w:p>
    <w:p>
      <w:pPr>
        <w:spacing w:after="0" w:line="13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Our primary manufacturing product lines currently include Injection Molding, CNC Machining, 3D Printing and Sheet Metal. We continually seek to expand the range of sizes and geometric complexity of the parts we can make with these processes, to extend the variety of materials we are able to support, and to identify additional manufacturing processes to which we can apply our technology or incorporate into our manufacturing network in order to better serve the evolving preferences and needs of our customers. With the addition of the Protolabs Network in 2021, our global network of premium manufacturing partners significantly expands the breadth and depth of our manufacturing capabilities, enabling us to offer customers a wider variety of lead times and pricing options, and an expanded envelope of parts (complexity, size, etc.).</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 Transition</w:t>
      </w:r>
    </w:p>
    <w:p>
      <w:pPr>
        <w:spacing w:after="0" w:line="199" w:lineRule="exact"/>
        <w:rPr>
          <w:sz w:val="20"/>
          <w:szCs w:val="20"/>
          <w:color w:val="auto"/>
        </w:rPr>
      </w:pPr>
    </w:p>
    <w:p>
      <w:pPr>
        <w:ind w:right="380"/>
        <w:spacing w:after="0" w:line="295" w:lineRule="auto"/>
        <w:rPr>
          <w:sz w:val="20"/>
          <w:szCs w:val="20"/>
          <w:color w:val="auto"/>
        </w:rPr>
      </w:pPr>
      <w:r>
        <w:rPr>
          <w:rFonts w:ascii="Times New Roman" w:cs="Times New Roman" w:eastAsia="Times New Roman" w:hAnsi="Times New Roman"/>
          <w:sz w:val="17"/>
          <w:szCs w:val="17"/>
          <w:color w:val="auto"/>
        </w:rPr>
        <w:t>On May 21, 2025, the Company announced that the Company’s board of directors appointed Suresh Krishna to serve as the Company’s President and Chief Executive Officer, effective May 20, 2025 (the “Transition Date”), succeeding Robert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7"/>
          <w:szCs w:val="17"/>
          <w:color w:val="auto"/>
        </w:rPr>
        <w:t>Bodor, who ceased to be the President and Chief Executive Officer and a director of the Company effective as of May 20, 2025. The board also appointed Mr. Krishna to serve as a director of the Company, filling the vacancy left on the Board by Dr. Bodor’s departure, until the earlier of the Company’s 2026 annual meeting of shareholders and until his successor is elected and qualified, or until his earlier death, resignation, or removal.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Financial Measures and Trends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88"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Our operations are comprised of two geographic operating segments in the United States and Europe. On October 21, 2024, the Company's board of directors approved a plan related to the Company's manufacturing facilities in Germany. The plan includes the closure of the Company's prototype injection molding manufacturing facility in Eschenlohe, Germany, and the discontinuation of Direct Metal Laser Sintering 3D printing services through its 3D printing facility in Putzbrunn, Germany. The Company expects to substantially complete the plan during fiscal year 2025. The Company intends to continue offering all of its manufacturing services to customers across Europe, including injection molding and metal 3D printing. These services will be fulfilled through internal manufacturing facilities and a network of manufacturing partners.</w:t>
      </w:r>
    </w:p>
    <w:p>
      <w:pPr>
        <w:spacing w:after="0" w:line="14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Revenue is derived from the sale or parts fulfilled through our owned manufacturing factories and worldwide network of premium manufacturing partners. Our product lines consist of Injection Molding, CNC Machining, 3D Printing and Sheet Metal. Injection Molding revenue consists of sales of custom injection molds and injection-molded parts. CNC Machining revenue consists of sales of CNC-machined custom parts. 3D Printing revenue consists of sales of 3D-printed parts. Sheet Metal revenue consists of sales of fabricated sheet metal custom parts. Our revenue is generated from a diverse customer base and our historical and current efforts to increase revenue have been directed at gaining new customers and selling to our existing customer base by increasing marketing and selling activities, including:</w:t>
      </w:r>
    </w:p>
    <w:p>
      <w:pPr>
        <w:spacing w:after="0" w:line="134" w:lineRule="exact"/>
        <w:rPr>
          <w:sz w:val="20"/>
          <w:szCs w:val="20"/>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the breadth and scope of our products by adding more sizes and materials to our offerings;</w:t>
      </w:r>
    </w:p>
    <w:p>
      <w:pPr>
        <w:spacing w:after="0" w:line="18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our 3D Printing product line through our acquisition of FineLine in 2014;</w:t>
      </w:r>
    </w:p>
    <w:p>
      <w:pPr>
        <w:spacing w:after="0" w:line="196"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3D Printing to Europe through our acquisition of Alphaform in 2015;</w:t>
      </w:r>
    </w:p>
    <w:p>
      <w:pPr>
        <w:spacing w:after="0" w:line="18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our Sheet Metal product line through our acquisition of Rapid Manufacturing Group, LLC in 2017;</w:t>
      </w:r>
    </w:p>
    <w:p>
      <w:pPr>
        <w:spacing w:after="0" w:line="18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continuously improving the usability of our product lines such as our web-centric applications; and</w:t>
      </w:r>
    </w:p>
    <w:p>
      <w:pPr>
        <w:spacing w:after="0" w:line="196" w:lineRule="exact"/>
        <w:rPr>
          <w:rFonts w:ascii="Times New Roman" w:cs="Times New Roman" w:eastAsia="Times New Roman" w:hAnsi="Times New Roman"/>
          <w:sz w:val="17"/>
          <w:szCs w:val="17"/>
          <w:color w:val="auto"/>
        </w:rPr>
      </w:pPr>
    </w:p>
    <w:p>
      <w:pPr>
        <w:ind w:right="720" w:firstLine="318"/>
        <w:spacing w:after="0" w:line="504" w:lineRule="auto"/>
        <w:tabs>
          <w:tab w:leader="none" w:pos="62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customers with on-demand access to a global network of premium manufacturing partners through our acquisition of Hubs in 2021. The following table summarizes our unique customer contacts and revenue per customer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367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60" w:type="dxa"/>
            <w:vAlign w:val="bottom"/>
          </w:tcPr>
          <w:p>
            <w:pPr>
              <w:spacing w:after="0"/>
              <w:rPr>
                <w:sz w:val="19"/>
                <w:szCs w:val="19"/>
                <w:color w:val="auto"/>
              </w:rPr>
            </w:pPr>
          </w:p>
        </w:tc>
        <w:tc>
          <w:tcPr>
            <w:tcW w:w="2540" w:type="dxa"/>
            <w:vAlign w:val="bottom"/>
            <w:gridSpan w:val="6"/>
          </w:tcPr>
          <w:p>
            <w:pPr>
              <w:ind w:left="10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160" w:type="dxa"/>
            <w:vAlign w:val="bottom"/>
          </w:tcPr>
          <w:p>
            <w:pPr>
              <w:spacing w:after="0"/>
              <w:rPr>
                <w:sz w:val="19"/>
                <w:szCs w:val="19"/>
                <w:color w:val="auto"/>
              </w:rPr>
            </w:pPr>
          </w:p>
        </w:tc>
        <w:tc>
          <w:tcPr>
            <w:tcW w:w="2280" w:type="dxa"/>
            <w:vAlign w:val="bottom"/>
            <w:gridSpan w:val="4"/>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6"/>
        </w:trPr>
        <w:tc>
          <w:tcPr>
            <w:tcW w:w="6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8"/>
        </w:trPr>
        <w:tc>
          <w:tcPr>
            <w:tcW w:w="6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6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4"/>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(in thousands)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261,268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253,521</w:t>
            </w:r>
          </w:p>
        </w:tc>
      </w:tr>
      <w:tr>
        <w:trPr>
          <w:trHeight w:val="235"/>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contacts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33,136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34,338</w:t>
            </w:r>
          </w:p>
        </w:tc>
      </w:tr>
      <w:tr>
        <w:trPr>
          <w:trHeight w:val="26"/>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1"/>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per customer contact</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$7,383</w:t>
            </w:r>
          </w:p>
        </w:tc>
      </w:tr>
      <w:tr>
        <w:trPr>
          <w:trHeight w:val="157"/>
        </w:trPr>
        <w:tc>
          <w:tcPr>
            <w:tcW w:w="6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bl>
    <w:p>
      <w:pPr>
        <w:spacing w:after="0" w:line="243" w:lineRule="exact"/>
        <w:rPr>
          <w:sz w:val="20"/>
          <w:szCs w:val="20"/>
          <w:color w:val="auto"/>
        </w:rPr>
      </w:pPr>
    </w:p>
    <w:p>
      <w:pPr>
        <w:ind w:left="560" w:right="160" w:hanging="7"/>
        <w:spacing w:after="0" w:line="241" w:lineRule="auto"/>
        <w:tabs>
          <w:tab w:leader="none" w:pos="645"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Revenue per customer contact is calculated using the revenue recognized during the respective period divided by the actual number of customer contacts served during the same period. Customer contacts are product developers, engineers, procurement and supply chain professionals and other individuals who place an order, and that order is shipped and invoiced during the period. The Company believes revenue per customer contact is useful to investors in evaluating the underlying business trends and ongoing operating performance of the Company.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 Gross Profit and Gross Margin</w:t>
      </w:r>
    </w:p>
    <w:p>
      <w:pPr>
        <w:spacing w:after="0" w:line="188"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7"/>
          <w:szCs w:val="17"/>
          <w:color w:val="auto"/>
        </w:rPr>
        <w:t>Cost of revenue consists primarily of raw materials, equipment depreciation, employee compensation including benefits and stock-based compensation, facilities costs, overhead allocations associated with the manufacturing process for molds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7"/>
          <w:szCs w:val="17"/>
          <w:color w:val="auto"/>
        </w:rPr>
        <w:t>and custom parts, and costs to procure parts through our network of premium manufacturing partners. We expect our personnel-related costs to increase in order to retain and attract top talent and remain competitive in the market. Overall, we expect cost of revenue to increase in absolute dollars.</w:t>
      </w:r>
    </w:p>
    <w:p>
      <w:pPr>
        <w:spacing w:after="0" w:line="12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We define gross profit as our revenue less our cost of revenue, and we define gross margin as gross profit expressed as a percentage of revenue. Our gross profit and gross margin are affected by many factors, including our mix of revenue produced in our internal manufacturing operations and outsourced to our external manufacturing partners, pricing, sales volume, manufacturing costs, the costs associated with increasing production capacity, the mix between domestic and foreign revenue sources, the mix of revenue by product line, and foreign currency exchange rates.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88" w:lineRule="exact"/>
        <w:rPr>
          <w:sz w:val="20"/>
          <w:szCs w:val="20"/>
          <w:color w:val="auto"/>
        </w:rPr>
      </w:pPr>
    </w:p>
    <w:p>
      <w:pPr>
        <w:ind w:right="360"/>
        <w:spacing w:after="0" w:line="295" w:lineRule="auto"/>
        <w:rPr>
          <w:sz w:val="20"/>
          <w:szCs w:val="20"/>
          <w:color w:val="auto"/>
        </w:rPr>
      </w:pPr>
      <w:r>
        <w:rPr>
          <w:rFonts w:ascii="Times New Roman" w:cs="Times New Roman" w:eastAsia="Times New Roman" w:hAnsi="Times New Roman"/>
          <w:sz w:val="17"/>
          <w:szCs w:val="17"/>
          <w:color w:val="auto"/>
        </w:rPr>
        <w:t>Operating expenses consist of marketing and sales, research and development and general and administrative expenses. Personnel-related costs are the most significant component in each of these categories.</w:t>
      </w:r>
    </w:p>
    <w:p>
      <w:pPr>
        <w:spacing w:after="0" w:line="121"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Our business strategy is to continue to be a leading online and technology-enabled manufacturer of quick-turn, on-demand injection-molded, CNC-machined, 3D-printed and fabricated sheet metal custom parts for prototyping and low-volume production. In order to achieve our goals, we anticipate continued substantial investments in technology and personnel, resulting in increased operating expenses in the future.</w:t>
      </w:r>
    </w:p>
    <w:p>
      <w:pPr>
        <w:spacing w:after="0" w:line="12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Marketing and sales. </w:t>
      </w:r>
      <w:r>
        <w:rPr>
          <w:rFonts w:ascii="Times New Roman" w:cs="Times New Roman" w:eastAsia="Times New Roman" w:hAnsi="Times New Roman"/>
          <w:sz w:val="17"/>
          <w:szCs w:val="17"/>
          <w:color w:val="auto"/>
        </w:rPr>
        <w:t>Marketing and sales expense consists primarily of employee compensation, benefits, commissions, stock-based compensation, marketing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demand generation costs such as electronic, print and pay-per-click advertising, trade shows and other related overhead. We expect sales and marketing expense to increase in the future as we increase the number of marketing and sales professionals and marketing demand generation costs targeted to increase our customer base and grow revenue.</w:t>
      </w:r>
    </w:p>
    <w:p>
      <w:pPr>
        <w:spacing w:after="0" w:line="127"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w:t>
      </w:r>
      <w:r>
        <w:rPr>
          <w:rFonts w:ascii="Times New Roman" w:cs="Times New Roman" w:eastAsia="Times New Roman" w:hAnsi="Times New Roman"/>
          <w:sz w:val="17"/>
          <w:szCs w:val="17"/>
          <w:color w:val="auto"/>
        </w:rPr>
        <w:t>Research and development expense consists primarily of personnel and outside service costs related to the development of new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processes and product lines, enhancement of existing product lines, development of software for internal use, maintenance of internally developed software, quality assurance and testing. Costs for internal use software are evaluated by project and capitalized where appropriate under ASC 350-40, </w:t>
      </w:r>
      <w:r>
        <w:rPr>
          <w:rFonts w:ascii="Times New Roman" w:cs="Times New Roman" w:eastAsia="Times New Roman" w:hAnsi="Times New Roman"/>
          <w:sz w:val="17"/>
          <w:szCs w:val="17"/>
          <w:i w:val="1"/>
          <w:iCs w:val="1"/>
          <w:color w:val="auto"/>
        </w:rPr>
        <w:t>Intangibles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Goodwill and Other, Internal-Use Software</w:t>
      </w:r>
      <w:r>
        <w:rPr>
          <w:rFonts w:ascii="Times New Roman" w:cs="Times New Roman" w:eastAsia="Times New Roman" w:hAnsi="Times New Roman"/>
          <w:sz w:val="17"/>
          <w:szCs w:val="17"/>
          <w:color w:val="auto"/>
        </w:rPr>
        <w:t>. We expect research and development expense to increase in the future as we seek to enhance our e-commerce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interface technology, internal software and supporting business systems, and continue to expand our product lines.</w:t>
      </w:r>
    </w:p>
    <w:p>
      <w:pPr>
        <w:spacing w:after="0" w:line="14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General and administrative expense consists primarily of employee compensation, benefits, stock-based compensation, professional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 fees related to accounting, tax and legal, and other related overhead. We expect general and administrative expense to increase in the future as we continue to grow and expand as a global organization.</w:t>
      </w:r>
    </w:p>
    <w:p>
      <w:pPr>
        <w:spacing w:after="0" w:line="12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Costs related to disposal and exit activities. </w:t>
      </w:r>
      <w:r>
        <w:rPr>
          <w:rFonts w:ascii="Times New Roman" w:cs="Times New Roman" w:eastAsia="Times New Roman" w:hAnsi="Times New Roman"/>
          <w:sz w:val="17"/>
          <w:szCs w:val="17"/>
          <w:color w:val="auto"/>
        </w:rPr>
        <w:t>Costs related to disposal and exit activities is driven by our decision to close certain manufacturing facilities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Germany. The expenses consist primarily of operating expenses, including employee severance, write-down of fixed assets and facility-related charges. Benefits may result from adjustments to initial estimates regarding the nature and timing of disposal and exit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20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Other income, net primarily consists of foreign currency-related gains and losses and interest income on cash balances and investments. Our foreign currency-related gains and losses will vary depending upon movements in underlying foreign currency exchange rates. Our interest income will vary each reporting period depending on our average cash balances during the period, composition of our marketable security portfolio and the current level of interest rates.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88"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Provision for income taxes is comprised of federal, state, local and foreign taxes based on pre-tax income. Overall, our effective tax rate for 2025 and beyond may differ from historical effective tax rates due to increases in losses in foreign operations that are not eligible for tax benefits on account of valuation allowances, as well as any future tax law changes that may impact our effective tax rate.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9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The following table summarizes our results of operations and the related changes for the periods indicated. The results below are not necessarily indicative of the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0866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gridSpan w:val="11"/>
          </w:tcPr>
          <w:p>
            <w:pPr>
              <w:ind w:left="32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1660" w:type="dxa"/>
            <w:vAlign w:val="bottom"/>
            <w:gridSpan w:val="4"/>
          </w:tcPr>
          <w:p>
            <w:pPr>
              <w:ind w:left="5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20" w:type="dxa"/>
            <w:vAlign w:val="bottom"/>
          </w:tcPr>
          <w:p>
            <w:pPr>
              <w:spacing w:after="0"/>
              <w:rPr>
                <w:sz w:val="19"/>
                <w:szCs w:val="19"/>
                <w:color w:val="auto"/>
              </w:rPr>
            </w:pPr>
          </w:p>
        </w:tc>
        <w:tc>
          <w:tcPr>
            <w:tcW w:w="2480" w:type="dxa"/>
            <w:vAlign w:val="bottom"/>
            <w:gridSpan w:val="9"/>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3"/>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6"/>
        </w:trPr>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(dollars in</w:t>
            </w: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4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vMerge w:val="restart"/>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7"/>
                <w:szCs w:val="17"/>
                <w:color w:val="auto"/>
              </w:rPr>
            </w:pPr>
          </w:p>
        </w:tc>
        <w:tc>
          <w:tcPr>
            <w:tcW w:w="860" w:type="dxa"/>
            <w:vAlign w:val="bottom"/>
            <w:vMerge w:val="restart"/>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2024</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vMerge w:val="restart"/>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7"/>
                <w:szCs w:val="17"/>
                <w:color w:val="auto"/>
              </w:rPr>
            </w:pPr>
          </w:p>
        </w:tc>
        <w:tc>
          <w:tcPr>
            <w:tcW w:w="780" w:type="dxa"/>
            <w:vAlign w:val="bottom"/>
            <w:vMerge w:val="restart"/>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27"/>
        </w:trPr>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thousands)</w:t>
            </w:r>
          </w:p>
        </w:tc>
        <w:tc>
          <w:tcPr>
            <w:tcW w:w="120" w:type="dxa"/>
            <w:vAlign w:val="bottom"/>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vMerge w:val="continue"/>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vMerge w:val="continue"/>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135,063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9"/>
              </w:rPr>
              <w:t>100.0</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125,631</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9"/>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$ 9,432</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261,268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9"/>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253,521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7,747</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35"/>
        </w:trPr>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75,289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55.7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69,085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55.0</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6,204</w:t>
            </w:r>
          </w:p>
        </w:tc>
        <w:tc>
          <w:tcPr>
            <w:tcW w:w="80" w:type="dxa"/>
            <w:vAlign w:val="bottom"/>
          </w:tcPr>
          <w:p>
            <w:pPr>
              <w:spacing w:after="0"/>
              <w:rPr>
                <w:sz w:val="20"/>
                <w:szCs w:val="20"/>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145,796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55.8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139,508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55.0</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6,288</w:t>
            </w:r>
          </w:p>
        </w:tc>
        <w:tc>
          <w:tcPr>
            <w:tcW w:w="80" w:type="dxa"/>
            <w:vAlign w:val="bottom"/>
          </w:tcPr>
          <w:p>
            <w:pPr>
              <w:spacing w:after="0"/>
              <w:rPr>
                <w:sz w:val="20"/>
                <w:szCs w:val="20"/>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6"/>
        </w:trPr>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59,774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44.3</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56,546</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45.0</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3,228</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115,472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44.2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114,013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45.0</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1,459</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35"/>
        </w:trPr>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1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Marketing and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sales</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24,731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18.3</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23,291</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18.5</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48,480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18.6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46,451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18.3</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2,029</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17"/>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development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8.3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8.5</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80" w:type="dxa"/>
            <w:vAlign w:val="bottom"/>
          </w:tcPr>
          <w:p>
            <w:pPr>
              <w:spacing w:after="0"/>
              <w:rPr>
                <w:sz w:val="19"/>
                <w:szCs w:val="19"/>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8.6</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19"/>
                <w:szCs w:val="19"/>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6"/>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1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General and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administrative</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13.9</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16,595</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2,157</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13.0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35,600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13.6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32,908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13.0</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2,692</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17"/>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Costs related to</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exit and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disposal</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activities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0.1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80" w:type="dxa"/>
            <w:vAlign w:val="bottom"/>
          </w:tcPr>
          <w:p>
            <w:pPr>
              <w:spacing w:after="0"/>
              <w:rPr>
                <w:sz w:val="19"/>
                <w:szCs w:val="19"/>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tcPr>
          <w:p>
            <w:pPr>
              <w:spacing w:after="0"/>
              <w:rPr>
                <w:sz w:val="19"/>
                <w:szCs w:val="19"/>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6"/>
        </w:trPr>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operating</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4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expenses</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54,805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40.6</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50,547</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40.2</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4,258</w:t>
            </w: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8.4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105,972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40.6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101,187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39.9</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4,785</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197"/>
        </w:trPr>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w:t>
            </w: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operations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w:t>
            </w:r>
          </w:p>
        </w:tc>
        <w:tc>
          <w:tcPr>
            <w:tcW w:w="80" w:type="dxa"/>
            <w:vAlign w:val="bottom"/>
          </w:tcPr>
          <w:p>
            <w:pPr>
              <w:spacing w:after="0"/>
              <w:rPr>
                <w:sz w:val="19"/>
                <w:szCs w:val="19"/>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(3,326)</w:t>
            </w:r>
          </w:p>
        </w:tc>
        <w:tc>
          <w:tcPr>
            <w:tcW w:w="80" w:type="dxa"/>
            <w:vAlign w:val="bottom"/>
          </w:tcPr>
          <w:p>
            <w:pPr>
              <w:spacing w:after="0"/>
              <w:rPr>
                <w:sz w:val="19"/>
                <w:szCs w:val="19"/>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(25.9)</w:t>
            </w:r>
          </w:p>
        </w:tc>
        <w:tc>
          <w:tcPr>
            <w:tcW w:w="0" w:type="dxa"/>
            <w:vAlign w:val="bottom"/>
          </w:tcPr>
          <w:p>
            <w:pPr>
              <w:spacing w:after="0"/>
              <w:rPr>
                <w:sz w:val="1"/>
                <w:szCs w:val="1"/>
                <w:color w:val="auto"/>
              </w:rPr>
            </w:pPr>
          </w:p>
        </w:tc>
      </w:tr>
      <w:tr>
        <w:trPr>
          <w:trHeight w:val="26"/>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1.3</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25.3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(39.8)</w:t>
            </w:r>
          </w:p>
        </w:tc>
        <w:tc>
          <w:tcPr>
            <w:tcW w:w="0" w:type="dxa"/>
            <w:vAlign w:val="bottom"/>
          </w:tcPr>
          <w:p>
            <w:pPr>
              <w:spacing w:after="0"/>
              <w:rPr>
                <w:sz w:val="1"/>
                <w:szCs w:val="1"/>
                <w:color w:val="auto"/>
              </w:rPr>
            </w:pPr>
          </w:p>
        </w:tc>
      </w:tr>
      <w:tr>
        <w:trPr>
          <w:trHeight w:val="197"/>
        </w:trPr>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w:t>
            </w: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w:t>
            </w:r>
          </w:p>
        </w:tc>
        <w:tc>
          <w:tcPr>
            <w:tcW w:w="80" w:type="dxa"/>
            <w:vAlign w:val="bottom"/>
          </w:tcPr>
          <w:p>
            <w:pPr>
              <w:spacing w:after="0"/>
              <w:rPr>
                <w:sz w:val="19"/>
                <w:szCs w:val="19"/>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(2,427)</w:t>
            </w:r>
          </w:p>
        </w:tc>
        <w:tc>
          <w:tcPr>
            <w:tcW w:w="80" w:type="dxa"/>
            <w:vAlign w:val="bottom"/>
          </w:tcPr>
          <w:p>
            <w:pPr>
              <w:spacing w:after="0"/>
              <w:rPr>
                <w:sz w:val="19"/>
                <w:szCs w:val="19"/>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6"/>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1.7</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2,820</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(20.3)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(12.2)</w:t>
            </w:r>
          </w:p>
        </w:tc>
        <w:tc>
          <w:tcPr>
            <w:tcW w:w="0" w:type="dxa"/>
            <w:vAlign w:val="bottom"/>
          </w:tcPr>
          <w:p>
            <w:pPr>
              <w:spacing w:after="0"/>
              <w:rPr>
                <w:sz w:val="1"/>
                <w:szCs w:val="1"/>
                <w:color w:val="auto"/>
              </w:rPr>
            </w:pPr>
          </w:p>
        </w:tc>
      </w:tr>
      <w:tr>
        <w:trPr>
          <w:trHeight w:val="254"/>
        </w:trPr>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4,427</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4,540</w:t>
            </w:r>
          </w:p>
        </w:tc>
        <w:tc>
          <w:tcPr>
            <w:tcW w:w="8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(113)</w:t>
            </w:r>
          </w:p>
        </w:tc>
        <w:tc>
          <w:tcPr>
            <w:tcW w:w="8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8,026</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9,808</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(1,782)</w:t>
            </w:r>
          </w:p>
        </w:tc>
        <w:tc>
          <w:tcPr>
            <w:tcW w:w="8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right="440"/>
        <w:spacing w:after="0" w:line="295" w:lineRule="auto"/>
        <w:rPr>
          <w:sz w:val="20"/>
          <w:szCs w:val="20"/>
          <w:color w:val="auto"/>
        </w:rPr>
      </w:pPr>
      <w:r>
        <w:rPr>
          <w:rFonts w:ascii="Times New Roman" w:cs="Times New Roman" w:eastAsia="Times New Roman" w:hAnsi="Times New Roman"/>
          <w:sz w:val="17"/>
          <w:szCs w:val="17"/>
          <w:color w:val="auto"/>
        </w:rPr>
        <w:t>Stock-based compensation expense included in the statements of operations data above for the three and six months ended June 30, 2025 and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1367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2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140" w:type="dxa"/>
            <w:vAlign w:val="bottom"/>
          </w:tcPr>
          <w:p>
            <w:pPr>
              <w:spacing w:after="0"/>
              <w:rPr>
                <w:sz w:val="19"/>
                <w:szCs w:val="19"/>
                <w:color w:val="auto"/>
              </w:rPr>
            </w:pPr>
          </w:p>
        </w:tc>
        <w:tc>
          <w:tcPr>
            <w:tcW w:w="2220" w:type="dxa"/>
            <w:vAlign w:val="bottom"/>
            <w:gridSpan w:val="4"/>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6"/>
        </w:trPr>
        <w:tc>
          <w:tcPr>
            <w:tcW w:w="6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8"/>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260" w:type="dxa"/>
            <w:vAlign w:val="bottom"/>
          </w:tcPr>
          <w:p>
            <w:pPr>
              <w:spacing w:after="0"/>
              <w:rPr>
                <w:sz w:val="19"/>
                <w:szCs w:val="19"/>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4"/>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 RSUs and PSUs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7,893</w:t>
            </w:r>
          </w:p>
        </w:tc>
      </w:tr>
      <w:tr>
        <w:trPr>
          <w:trHeight w:val="235"/>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w:t>
            </w:r>
          </w:p>
        </w:tc>
      </w:tr>
      <w:tr>
        <w:trPr>
          <w:trHeight w:val="26"/>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9"/>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4,259</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8,520</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6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41"/>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w:t>
            </w:r>
          </w:p>
        </w:tc>
      </w:tr>
      <w:tr>
        <w:trPr>
          <w:trHeight w:val="235"/>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6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Marketing and sales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w:t>
            </w:r>
          </w:p>
        </w:tc>
      </w:tr>
      <w:tr>
        <w:trPr>
          <w:trHeight w:val="235"/>
        </w:trPr>
        <w:tc>
          <w:tcPr>
            <w:tcW w:w="6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w:t>
            </w:r>
          </w:p>
        </w:tc>
      </w:tr>
      <w:tr>
        <w:trPr>
          <w:trHeight w:val="26"/>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1"/>
        </w:trPr>
        <w:tc>
          <w:tcPr>
            <w:tcW w:w="6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4,421</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4,582</w:t>
            </w:r>
          </w:p>
        </w:tc>
      </w:tr>
      <w:tr>
        <w:trPr>
          <w:trHeight w:val="254"/>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4,259</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8,251</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8,520</w:t>
            </w:r>
          </w:p>
        </w:tc>
      </w:tr>
      <w:tr>
        <w:trPr>
          <w:trHeight w:val="20"/>
        </w:trPr>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3"/>
        </w:trPr>
        <w:tc>
          <w:tcPr>
            <w:tcW w:w="6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Three Months Ended June 30, 2025 and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reportable segment and the related changes for the three months ended June 30, 2025 and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60" w:type="dxa"/>
            <w:vAlign w:val="bottom"/>
            <w:gridSpan w:val="7"/>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280" w:type="dxa"/>
            <w:vAlign w:val="bottom"/>
          </w:tcPr>
          <w:p>
            <w:pPr>
              <w:spacing w:after="0"/>
              <w:rPr>
                <w:sz w:val="19"/>
                <w:szCs w:val="19"/>
                <w:color w:val="auto"/>
              </w:rPr>
            </w:pPr>
          </w:p>
        </w:tc>
        <w:tc>
          <w:tcPr>
            <w:tcW w:w="82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spacing w:after="0"/>
              <w:rPr>
                <w:sz w:val="19"/>
                <w:szCs w:val="19"/>
                <w:color w:val="auto"/>
              </w:rPr>
            </w:pPr>
          </w:p>
        </w:tc>
        <w:tc>
          <w:tcPr>
            <w:tcW w:w="82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20" w:type="dxa"/>
            <w:vAlign w:val="bottom"/>
          </w:tcPr>
          <w:p>
            <w:pPr>
              <w:spacing w:after="0"/>
              <w:rPr>
                <w:sz w:val="19"/>
                <w:szCs w:val="19"/>
                <w:color w:val="auto"/>
              </w:rPr>
            </w:pPr>
          </w:p>
        </w:tc>
        <w:tc>
          <w:tcPr>
            <w:tcW w:w="78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
        </w:trPr>
        <w:tc>
          <w:tcPr>
            <w:tcW w:w="3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110,712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82.0 %</w:t>
            </w:r>
          </w:p>
        </w:tc>
        <w:tc>
          <w:tcPr>
            <w:tcW w:w="10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78.4 %</w:t>
            </w:r>
          </w:p>
        </w:tc>
        <w:tc>
          <w:tcPr>
            <w:tcW w:w="80" w:type="dxa"/>
            <w:vAlign w:val="bottom"/>
          </w:tcPr>
          <w:p>
            <w:pPr>
              <w:spacing w:after="0"/>
              <w:rPr>
                <w:sz w:val="20"/>
                <w:szCs w:val="20"/>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12.4 %</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24,351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21.6 %</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54"/>
        </w:trPr>
        <w:tc>
          <w:tcPr>
            <w:tcW w:w="37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revenue</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135,063</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125,631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9,432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76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Our revenue increased $9.4 million, or 7.5%, for the three months ended June 30, 2025 compared to the same period in 2024. The growth in revenue was primarily driven by an increase in average order value for our larger customers in the three months ended June 30, 2025 compared to the same period in 2024. By reportable segment, revenue in the United States increased $12.2 million, or 12.4%, for the three months ended June 30, 2025 compared to the same period in 2024. Revenue in Europe decreased $2.7 million, or 10.1%, for the three months ended June 30, 2025 compared to the same period in 2024. International revenue was favorably impacted by $1.3 million during the three months ended June 30, 2025 compared to the same period in 2024 as a result of foreign currency movements, primarily due to the strengthening of the British Pound and Euro relative to the United States Dollar.</w:t>
      </w:r>
    </w:p>
    <w:p>
      <w:pPr>
        <w:spacing w:after="0" w:line="14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During the three months ended June 30, 2025, we served 21,775 unique customer contacts, which is a decrease of 3.0% from the same period in 2024. During the three months ended June 30, 2025, our customer contacts served decreased while our revenue grew. This was primarily due to our mix of customers served in the quarter as compared to the same period in 2024 and our strategic focus to earn larger orders from our customers as we strive to be their supplier of choice by serving their custom parts needs through the comprehensive offer of our factory and the Protolabs Network. Our revenue per customer contact grew 10.9% for the three months ended June 30, 2025 compared to the same period in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product line and the related changes for the three months ended June 30, 2025 and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ind w:left="26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gridSpan w:val="3"/>
            <w:vMerge w:val="restart"/>
          </w:tcPr>
          <w:p>
            <w:pPr>
              <w:ind w:left="6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gridSpan w:val="3"/>
          </w:tcPr>
          <w:p>
            <w:pPr>
              <w:jc w:val="right"/>
              <w:ind w:right="105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gridSpan w:val="3"/>
          </w:tcPr>
          <w:p>
            <w:pPr>
              <w:jc w:val="right"/>
              <w:ind w:right="1073"/>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3"/>
            <w:vMerge w:val="continue"/>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80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20" w:type="dxa"/>
            <w:vAlign w:val="bottom"/>
          </w:tcPr>
          <w:p>
            <w:pPr>
              <w:spacing w:after="0"/>
              <w:rPr>
                <w:sz w:val="19"/>
                <w:szCs w:val="19"/>
                <w:color w:val="auto"/>
              </w:rPr>
            </w:pPr>
          </w:p>
        </w:tc>
        <w:tc>
          <w:tcPr>
            <w:tcW w:w="82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Pr>
          <w:p>
            <w:pPr>
              <w:spacing w:after="0"/>
              <w:rPr>
                <w:sz w:val="19"/>
                <w:szCs w:val="19"/>
                <w:color w:val="auto"/>
              </w:rPr>
            </w:pPr>
          </w:p>
        </w:tc>
        <w:tc>
          <w:tcPr>
            <w:tcW w:w="8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
        </w:trPr>
        <w:tc>
          <w:tcPr>
            <w:tcW w:w="3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Injection Molding</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47,415</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35.1 %</w:t>
            </w:r>
          </w:p>
        </w:tc>
        <w:tc>
          <w:tcPr>
            <w:tcW w:w="100" w:type="dxa"/>
            <w:vAlign w:val="bottom"/>
          </w:tcPr>
          <w:p>
            <w:pPr>
              <w:spacing w:after="0"/>
              <w:rPr>
                <w:sz w:val="20"/>
                <w:szCs w:val="20"/>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49,080</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39.1 %</w:t>
            </w:r>
          </w:p>
        </w:tc>
        <w:tc>
          <w:tcPr>
            <w:tcW w:w="8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CNC Machining</w:t>
            </w: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61,945</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51,239</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40.8 %</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10,706</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20.9</w:t>
            </w:r>
          </w:p>
        </w:tc>
        <w:tc>
          <w:tcPr>
            <w:tcW w:w="0" w:type="dxa"/>
            <w:vAlign w:val="bottom"/>
          </w:tcPr>
          <w:p>
            <w:pPr>
              <w:spacing w:after="0"/>
              <w:rPr>
                <w:sz w:val="1"/>
                <w:szCs w:val="1"/>
                <w:color w:val="auto"/>
              </w:rPr>
            </w:pPr>
          </w:p>
        </w:tc>
      </w:tr>
      <w:tr>
        <w:trPr>
          <w:trHeight w:val="235"/>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3D Printing</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21,215</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15.7 %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21,281</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16.9 %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Sheet Metal</w:t>
            </w: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4,303</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3,922</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35"/>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69.7</w:t>
            </w:r>
          </w:p>
        </w:tc>
        <w:tc>
          <w:tcPr>
            <w:tcW w:w="0" w:type="dxa"/>
            <w:vAlign w:val="bottom"/>
          </w:tcPr>
          <w:p>
            <w:pPr>
              <w:spacing w:after="0"/>
              <w:rPr>
                <w:sz w:val="1"/>
                <w:szCs w:val="1"/>
                <w:color w:val="auto"/>
              </w:rPr>
            </w:pPr>
          </w:p>
        </w:tc>
      </w:tr>
      <w:tr>
        <w:trPr>
          <w:trHeight w:val="26"/>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80" w:type="dxa"/>
            <w:vAlign w:val="bottom"/>
            <w:vMerge w:val="continue"/>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135,063</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125,631</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9,432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7.5 %</w:t>
            </w: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7"/>
          <w:szCs w:val="17"/>
          <w:color w:val="auto"/>
        </w:rPr>
        <w:t>By product line, our revenue increase was driven by a 20.9% increase in CNC Machining revenue, a 9.7% increase in Sheet Metal revenue and a 69.7% increase in Other Revenue, partially offset by a 3.4% decrease in Injection Molding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and a 0.3% decrease in 3D Printing revenue, in each case for the three months ended June 30, 2025 compared to the same period in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 Gross Profit and Gross Margin</w:t>
      </w:r>
    </w:p>
    <w:p>
      <w:pPr>
        <w:spacing w:after="0" w:line="18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Cost of Revenue. </w:t>
      </w:r>
      <w:r>
        <w:rPr>
          <w:rFonts w:ascii="Times New Roman" w:cs="Times New Roman" w:eastAsia="Times New Roman" w:hAnsi="Times New Roman"/>
          <w:sz w:val="17"/>
          <w:szCs w:val="17"/>
          <w:color w:val="auto"/>
        </w:rPr>
        <w:t>Cost of revenue increased $6.2 million, or 9.0%, for the three months ended June 30, 2025 compared to the same period in 2024, while revenue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increased 7.5% for the three months ended June 30, 2025 compared to the same period in 2024. The increase in the cost of revenue of $6.2 million was primarily driven by higher revenue volumes resulting in increases of $4.0 million in raw material and production and fulfillment related costs, and $2.4 million in personnel and related costs, primarily due to overtime, medical related costs and incentive compensation, during the three months ended June 30, 2025 compared to the same period in 2024, partially offset by decreases in equipment and facility-related costs of $0.2 million.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Gross Profit and Gross Margin. </w:t>
      </w:r>
      <w:r>
        <w:rPr>
          <w:rFonts w:ascii="Times New Roman" w:cs="Times New Roman" w:eastAsia="Times New Roman" w:hAnsi="Times New Roman"/>
          <w:sz w:val="17"/>
          <w:szCs w:val="17"/>
          <w:color w:val="auto"/>
        </w:rPr>
        <w:t>Gross profit increased $3.2 million, or 5.7%, for the three months ended June 30, 2025 compared to the same period in 2024.</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Gross margin decreased from 45.0% in the three months ended June 30, 2024 to 44.3% in the three months ended June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Expenses, Other Income, net and Provision for Income Taxes</w:t>
      </w:r>
    </w:p>
    <w:p>
      <w:pPr>
        <w:spacing w:after="0" w:line="184"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Marketing and Sales. </w:t>
      </w:r>
      <w:r>
        <w:rPr>
          <w:rFonts w:ascii="Times New Roman" w:cs="Times New Roman" w:eastAsia="Times New Roman" w:hAnsi="Times New Roman"/>
          <w:sz w:val="17"/>
          <w:szCs w:val="17"/>
          <w:color w:val="auto"/>
        </w:rPr>
        <w:t>Our marketing and sales expenses increased $1.4 million during the three months ended June 30, 2025 compared to the same period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2024 primarily due to increases in personnel and related costs of $1.4 million, primarily due to merit increases and incentive compensation related to commissions.</w:t>
      </w:r>
    </w:p>
    <w:p>
      <w:pPr>
        <w:spacing w:after="0" w:line="12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w:t>
      </w:r>
      <w:r>
        <w:rPr>
          <w:rFonts w:ascii="Times New Roman" w:cs="Times New Roman" w:eastAsia="Times New Roman" w:hAnsi="Times New Roman"/>
          <w:sz w:val="17"/>
          <w:szCs w:val="17"/>
          <w:color w:val="auto"/>
        </w:rPr>
        <w:t>Our research and development expenses increased $0.5 million, or 4.8%, during the three months ended June 30, 2025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same period in 2024 primarily due to increases in personnel and related costs of $0.8 million, primarily due to incentive compensation and contract labor, partially offset by decreases of $0.2 million in operating costs and $0.1 million in professional services.</w:t>
      </w:r>
    </w:p>
    <w:p>
      <w:pPr>
        <w:spacing w:after="0" w:line="133" w:lineRule="exact"/>
        <w:rPr>
          <w:sz w:val="20"/>
          <w:szCs w:val="20"/>
          <w:color w:val="auto"/>
        </w:rPr>
      </w:pPr>
    </w:p>
    <w:p>
      <w:pPr>
        <w:jc w:val="both"/>
        <w:ind w:right="8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Our general and administrative expenses increased $2.2 million, or 13.0%, during the three months ended June 30, 2025 compared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same period in 2024 primarily due to increases of $1.8 million in personnel and related costs, primarily related to the previously disclosed CEO transition that occurred during the three months ended June 30, 2025, $0.2 million in administrative costs and $0.2 million in professional services.</w:t>
      </w:r>
    </w:p>
    <w:p>
      <w:pPr>
        <w:spacing w:after="0" w:line="12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Costs related to exit and disposal. </w:t>
      </w:r>
      <w:r>
        <w:rPr>
          <w:rFonts w:ascii="Times New Roman" w:cs="Times New Roman" w:eastAsia="Times New Roman" w:hAnsi="Times New Roman"/>
          <w:sz w:val="17"/>
          <w:szCs w:val="17"/>
          <w:color w:val="auto"/>
        </w:rPr>
        <w:t>Our decision to exit and close certain operations in Germany resulted in a $0.2 million expense related to the write-down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fixed assets and $0.1 million in personnel and related cost benefits during the three months ended June 30, 2025. These items are the result of changes from the estimated amounts accrued in 2024 and the timing of employee separation payments. We had no costs related to exit and disposal activities during the three months ended June 30, 2024.</w:t>
      </w:r>
    </w:p>
    <w:p>
      <w:pPr>
        <w:spacing w:after="0" w:line="12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Other income, net. </w:t>
      </w:r>
      <w:r>
        <w:rPr>
          <w:rFonts w:ascii="Times New Roman" w:cs="Times New Roman" w:eastAsia="Times New Roman" w:hAnsi="Times New Roman"/>
          <w:sz w:val="17"/>
          <w:szCs w:val="17"/>
          <w:color w:val="auto"/>
        </w:rPr>
        <w:t>We recognized other income, net of $1.7 million for the three months ended June 30, 2025, an increase of $0.3 million compared to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net of $1.4 million for the three months ended June 30, 2024. Other income, net for the three months ended June 30, 2025 primarily consisted of $1.1 million in interest income on investments, $0.5 million of foreign currency gains and $0.1 million of other income. Other income, net for the three months ended June 30, 2024 primarily consisted of $1.5 million in interest income on investments and other income, partially offset by $0.1 million of foreign currency losses.</w:t>
      </w:r>
    </w:p>
    <w:p>
      <w:pPr>
        <w:spacing w:after="0" w:line="14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Provision for Income Taxes. </w:t>
      </w:r>
      <w:r>
        <w:rPr>
          <w:rFonts w:ascii="Times New Roman" w:cs="Times New Roman" w:eastAsia="Times New Roman" w:hAnsi="Times New Roman"/>
          <w:sz w:val="17"/>
          <w:szCs w:val="17"/>
          <w:color w:val="auto"/>
        </w:rPr>
        <w:t>Our effective tax rate of 33.7% for the three months ended June 30, 2025 decreased 4.6% compared to 38.3% for the same period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2024. The decrease in the effective tax rate was primarily due to a decrease in tax expense from the vesting of restricted stock units and the exercise of stock options. Our income tax provision of $2.2 million for the three months ended June 30, 2025 decreased $0.6 million as compared to our income tax provision of $2.8 million for the same period in 2024.</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Six Months Ended June 30, 2025 and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reportable segment and the related changes for the six months ended June 30, 2025 and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80" w:type="dxa"/>
            <w:vAlign w:val="bottom"/>
            <w:gridSpan w:val="4"/>
          </w:tcPr>
          <w:p>
            <w:pPr>
              <w:ind w:left="28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0" w:type="dxa"/>
            <w:vAlign w:val="bottom"/>
            <w:gridSpan w:val="3"/>
          </w:tcPr>
          <w:p>
            <w:pPr>
              <w:jc w:val="right"/>
              <w:ind w:right="95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20" w:type="dxa"/>
            <w:vAlign w:val="bottom"/>
            <w:gridSpan w:val="3"/>
          </w:tcPr>
          <w:p>
            <w:pPr>
              <w:jc w:val="right"/>
              <w:ind w:right="973"/>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280" w:type="dxa"/>
            <w:vAlign w:val="bottom"/>
          </w:tcPr>
          <w:p>
            <w:pPr>
              <w:spacing w:after="0"/>
              <w:rPr>
                <w:sz w:val="19"/>
                <w:szCs w:val="19"/>
                <w:color w:val="auto"/>
              </w:rPr>
            </w:pPr>
          </w:p>
        </w:tc>
        <w:tc>
          <w:tcPr>
            <w:tcW w:w="74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spacing w:after="0"/>
              <w:rPr>
                <w:sz w:val="19"/>
                <w:szCs w:val="19"/>
                <w:color w:val="auto"/>
              </w:rPr>
            </w:pPr>
          </w:p>
        </w:tc>
        <w:tc>
          <w:tcPr>
            <w:tcW w:w="76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20" w:type="dxa"/>
            <w:vAlign w:val="bottom"/>
          </w:tcPr>
          <w:p>
            <w:pPr>
              <w:spacing w:after="0"/>
              <w:rPr>
                <w:sz w:val="19"/>
                <w:szCs w:val="19"/>
                <w:color w:val="auto"/>
              </w:rPr>
            </w:pPr>
          </w:p>
        </w:tc>
        <w:tc>
          <w:tcPr>
            <w:tcW w:w="78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
        </w:trPr>
        <w:tc>
          <w:tcPr>
            <w:tcW w:w="3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210,979</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80.8 %</w:t>
            </w:r>
          </w:p>
        </w:tc>
        <w:tc>
          <w:tcPr>
            <w:tcW w:w="10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200,022</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78.9 %</w:t>
            </w:r>
          </w:p>
        </w:tc>
        <w:tc>
          <w:tcPr>
            <w:tcW w:w="80" w:type="dxa"/>
            <w:vAlign w:val="bottom"/>
          </w:tcPr>
          <w:p>
            <w:pPr>
              <w:spacing w:after="0"/>
              <w:rPr>
                <w:sz w:val="20"/>
                <w:szCs w:val="20"/>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10,957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50,289</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53,499</w:t>
            </w: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21.1 %</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54"/>
        </w:trPr>
        <w:tc>
          <w:tcPr>
            <w:tcW w:w="37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revenue</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261,268</w:t>
            </w:r>
          </w:p>
        </w:tc>
        <w:tc>
          <w:tcPr>
            <w:tcW w:w="8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253,521</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7,747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76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7"/>
          <w:szCs w:val="17"/>
          <w:color w:val="auto"/>
        </w:rPr>
        <w:t>Our revenue increased $7.7 million, or 3.1%, for the six months ended June 30, 2025 compared to the same period in 2024. By reportable segment, revenue in the United States increased $11.0 million, or 5.5%, for the six months ended June 30, 2025 compared to the same period in 2024. Revenue in Europe decreased $3.2 million, or 6.0% for the six months ended June 30, 2025 compared to the same period in 2024. International revenue was favorable impacted by $0.9 million during six months ended June 30, 2025 compared to the same period in 2024 as a result of foreign currency movements, primarily the strengthening of the British Pound and Euro relative to the United States Dollar.</w:t>
      </w:r>
    </w:p>
    <w:p>
      <w:pPr>
        <w:spacing w:after="0" w:line="14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During the six months ended June 30, 2025, we served 33,136 unique product developers and engineers, a decrease of 3.5% from the same period in 2024. During the six months ended June 30, 2025, our customer contacts served decreased while our revenue grew. This was primarily due to our mix of customers served during the six months ended June 30, 2025 as compared to the same period in 2024 and our strategic focus to earn larger orders from our customers as we strive to be their supplier of choice by serving their custom parts needs through the comprehensive offer of our factory and the Protolabs Network. Our revenue per customer contact grew 6.8% for the six months ended June 30, 2025 compared to the same period in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product line and the related changes for the six months ended June 30, 2025 and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ind w:left="36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gridSpan w:val="3"/>
            <w:vMerge w:val="restart"/>
          </w:tcPr>
          <w:p>
            <w:pPr>
              <w:ind w:left="6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gridSpan w:val="3"/>
          </w:tcPr>
          <w:p>
            <w:pPr>
              <w:jc w:val="right"/>
              <w:ind w:right="105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gridSpan w:val="3"/>
          </w:tcPr>
          <w:p>
            <w:pPr>
              <w:jc w:val="right"/>
              <w:ind w:right="1073"/>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3"/>
            <w:vMerge w:val="continue"/>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80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20" w:type="dxa"/>
            <w:vAlign w:val="bottom"/>
          </w:tcPr>
          <w:p>
            <w:pPr>
              <w:spacing w:after="0"/>
              <w:rPr>
                <w:sz w:val="19"/>
                <w:szCs w:val="19"/>
                <w:color w:val="auto"/>
              </w:rPr>
            </w:pPr>
          </w:p>
        </w:tc>
        <w:tc>
          <w:tcPr>
            <w:tcW w:w="82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Pr>
          <w:p>
            <w:pPr>
              <w:spacing w:after="0"/>
              <w:rPr>
                <w:sz w:val="19"/>
                <w:szCs w:val="19"/>
                <w:color w:val="auto"/>
              </w:rPr>
            </w:pPr>
          </w:p>
        </w:tc>
        <w:tc>
          <w:tcPr>
            <w:tcW w:w="8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
        </w:trPr>
        <w:tc>
          <w:tcPr>
            <w:tcW w:w="3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Injection Molding</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96,138</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36.8 %</w:t>
            </w:r>
          </w:p>
        </w:tc>
        <w:tc>
          <w:tcPr>
            <w:tcW w:w="100" w:type="dxa"/>
            <w:vAlign w:val="bottom"/>
          </w:tcPr>
          <w:p>
            <w:pPr>
              <w:spacing w:after="0"/>
              <w:rPr>
                <w:sz w:val="20"/>
                <w:szCs w:val="20"/>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101,743</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40.1 %</w:t>
            </w:r>
          </w:p>
        </w:tc>
        <w:tc>
          <w:tcPr>
            <w:tcW w:w="8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CNC Machining</w:t>
            </w: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114,788</w:t>
            </w:r>
          </w:p>
        </w:tc>
        <w:tc>
          <w:tcPr>
            <w:tcW w:w="1500" w:type="dxa"/>
            <w:vAlign w:val="bottom"/>
            <w:tcBorders>
              <w:bottom w:val="single" w:sz="8" w:color="CCEEFF"/>
            </w:tcBorders>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101,171</w:t>
            </w:r>
          </w:p>
        </w:tc>
        <w:tc>
          <w:tcPr>
            <w:tcW w:w="1500" w:type="dxa"/>
            <w:vAlign w:val="bottom"/>
            <w:tcBorders>
              <w:bottom w:val="single" w:sz="8" w:color="CCEEFF"/>
            </w:tcBorders>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39.9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13,617</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35"/>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3D Printing</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41,409</w:t>
            </w:r>
          </w:p>
        </w:tc>
        <w:tc>
          <w:tcPr>
            <w:tcW w:w="1500" w:type="dxa"/>
            <w:vAlign w:val="bottom"/>
            <w:gridSpan w:val="3"/>
          </w:tcPr>
          <w:p>
            <w:pPr>
              <w:jc w:val="right"/>
              <w:ind w:right="133"/>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42,863</w:t>
            </w:r>
          </w:p>
        </w:tc>
        <w:tc>
          <w:tcPr>
            <w:tcW w:w="1500" w:type="dxa"/>
            <w:vAlign w:val="bottom"/>
            <w:gridSpan w:val="3"/>
          </w:tcPr>
          <w:p>
            <w:pPr>
              <w:jc w:val="right"/>
              <w:ind w:right="133"/>
              <w:spacing w:after="0"/>
              <w:rPr>
                <w:sz w:val="20"/>
                <w:szCs w:val="20"/>
                <w:color w:val="auto"/>
              </w:rPr>
            </w:pPr>
            <w:r>
              <w:rPr>
                <w:rFonts w:ascii="Times New Roman" w:cs="Times New Roman" w:eastAsia="Times New Roman" w:hAnsi="Times New Roman"/>
                <w:sz w:val="17"/>
                <w:szCs w:val="17"/>
                <w:color w:val="auto"/>
              </w:rPr>
              <w:t>16.9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Sheet Metal</w:t>
            </w: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8,514</w:t>
            </w:r>
          </w:p>
        </w:tc>
        <w:tc>
          <w:tcPr>
            <w:tcW w:w="1500" w:type="dxa"/>
            <w:vAlign w:val="bottom"/>
            <w:tcBorders>
              <w:bottom w:val="single" w:sz="8" w:color="CCEEFF"/>
            </w:tcBorders>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7,475</w:t>
            </w:r>
          </w:p>
        </w:tc>
        <w:tc>
          <w:tcPr>
            <w:tcW w:w="1500" w:type="dxa"/>
            <w:vAlign w:val="bottom"/>
            <w:tcBorders>
              <w:bottom w:val="single" w:sz="8" w:color="CCEEFF"/>
            </w:tcBorders>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35"/>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500" w:type="dxa"/>
            <w:vAlign w:val="bottom"/>
            <w:gridSpan w:val="3"/>
          </w:tcPr>
          <w:p>
            <w:pPr>
              <w:jc w:val="right"/>
              <w:ind w:right="133"/>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500" w:type="dxa"/>
            <w:vAlign w:val="bottom"/>
            <w:gridSpan w:val="3"/>
          </w:tcPr>
          <w:p>
            <w:pPr>
              <w:jc w:val="right"/>
              <w:ind w:right="133"/>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55.8</w:t>
            </w:r>
          </w:p>
        </w:tc>
        <w:tc>
          <w:tcPr>
            <w:tcW w:w="0" w:type="dxa"/>
            <w:vAlign w:val="bottom"/>
          </w:tcPr>
          <w:p>
            <w:pPr>
              <w:spacing w:after="0"/>
              <w:rPr>
                <w:sz w:val="1"/>
                <w:szCs w:val="1"/>
                <w:color w:val="auto"/>
              </w:rPr>
            </w:pPr>
          </w:p>
        </w:tc>
      </w:tr>
      <w:tr>
        <w:trPr>
          <w:trHeight w:val="26"/>
        </w:trPr>
        <w:tc>
          <w:tcPr>
            <w:tcW w:w="3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261,268</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253,521</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7,747</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3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By product line, our revenue increase was driven by a 13.5% increase in CNC Machining revenue, a 13.9% increase in Sheet Metal revenue and a 55.8% increase in Other Revenue, partially offset by a 5.5% decrease in Injection Molding revenue and a 3.4% decrease in 3D Printing revenue in each case for the six months ended June 30, 2025 compared to the same period in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 Gross Profit and Gross Margin</w:t>
      </w:r>
    </w:p>
    <w:p>
      <w:pPr>
        <w:spacing w:after="0" w:line="18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Cost of Revenue. </w:t>
      </w:r>
      <w:r>
        <w:rPr>
          <w:rFonts w:ascii="Times New Roman" w:cs="Times New Roman" w:eastAsia="Times New Roman" w:hAnsi="Times New Roman"/>
          <w:sz w:val="17"/>
          <w:szCs w:val="17"/>
          <w:color w:val="auto"/>
        </w:rPr>
        <w:t>Cost of revenue increased $6.3 million, or 4.5%, for the six months ended June 30, 2025 compared to the same period in 2024, which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higher than the rate of revenue increase of 3.1% for the six months ended June 30, 2025</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compared to the same period in 2024. The increase in cost of revenue of $6.3 million was primarily driven by higher revenue volumes resulting in increases of $4.1 million in raw material and production and fulfillment related costs and $2.7 million in personnel and related costs, primarily due to overtime, medical related costs and incentive compensation, during the six months ended June 30, 2025 compared to the same period in 2024, partially offset by decreases in equipment and facility-related costs of $0.5 million.</w:t>
      </w:r>
    </w:p>
    <w:p>
      <w:pPr>
        <w:spacing w:after="0" w:line="13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Gross Profit and Gross Margin. </w:t>
      </w:r>
      <w:r>
        <w:rPr>
          <w:rFonts w:ascii="Times New Roman" w:cs="Times New Roman" w:eastAsia="Times New Roman" w:hAnsi="Times New Roman"/>
          <w:sz w:val="17"/>
          <w:szCs w:val="17"/>
          <w:color w:val="auto"/>
        </w:rPr>
        <w:t>Gross profit increased from $114.0 million in the six months ended June 30, 2024 to $115.5 million in the six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June 30, 2025. Gross margin decreased from 45.0% in the six months ended June 30, 2024 to 44.2% in the six months ended June 30, 2025.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Expenses, Other Income, net and Provision for Income Taxes</w:t>
      </w:r>
    </w:p>
    <w:p>
      <w:pPr>
        <w:spacing w:after="0" w:line="18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Marketing and Sales. </w:t>
      </w:r>
      <w:r>
        <w:rPr>
          <w:rFonts w:ascii="Times New Roman" w:cs="Times New Roman" w:eastAsia="Times New Roman" w:hAnsi="Times New Roman"/>
          <w:sz w:val="17"/>
          <w:szCs w:val="17"/>
          <w:color w:val="auto"/>
        </w:rPr>
        <w:t>Our Marketing and sales expenses increased $2.0 million, or 4.4%, during the six months ended June 30, 2025 compared to the same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in 2024. The increase was driven by increases in personnel and related costs of $1.8 million, primarily due to merit increases and incentive compensation related to commissions, and marketing program cost increases of $0.2 million during the six months ended June 30, 2025 when compared to the same period in 2024.</w:t>
      </w:r>
    </w:p>
    <w:p>
      <w:pPr>
        <w:spacing w:after="0" w:line="327"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w:t>
      </w:r>
      <w:r>
        <w:rPr>
          <w:rFonts w:ascii="Times New Roman" w:cs="Times New Roman" w:eastAsia="Times New Roman" w:hAnsi="Times New Roman"/>
          <w:sz w:val="17"/>
          <w:szCs w:val="17"/>
          <w:color w:val="auto"/>
        </w:rPr>
        <w:t>Our research and development expenses during the six months ended June 30, 2025 compared to the same period in 2024 were flat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primarily due to personnel and related cost increases of $0.4 million, primarily related to incentive compensation, being offset by decreases of $0.2 million in operating costs and $0.2 million in professional services.</w:t>
      </w:r>
    </w:p>
    <w:p>
      <w:pPr>
        <w:spacing w:after="0" w:line="12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Our general and administrative expenses increased $2.7 million, or 8.2%, during the six months ended June 30, 2025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same period in 2024 primarily due to increases of $1.5 million in personnel and related costs, primarily related to the previously disclosed CEO transition that occurred during the six months ended June 30, 2025, $1.2 million in administrative costs and $0.2 million in professional services, partially offset by decreases of $0.1 million in stock-based compensation and $0.1 million intangible amortization costs.</w:t>
      </w:r>
    </w:p>
    <w:p>
      <w:pPr>
        <w:spacing w:after="0" w:line="123"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Costs related to exit and disposal. </w:t>
      </w:r>
      <w:r>
        <w:rPr>
          <w:rFonts w:ascii="Times New Roman" w:cs="Times New Roman" w:eastAsia="Times New Roman" w:hAnsi="Times New Roman"/>
          <w:sz w:val="17"/>
          <w:szCs w:val="17"/>
          <w:color w:val="auto"/>
        </w:rPr>
        <w:t>Our decision to exit and close certain operations in Germany resulted in a $0.2 million expense related to the write-down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fixed assets and $0.1 million in personnel and related cost benefits during the six months ended June 30, 2025. These items are the result of changes from the estimated amounts accrued in 2024 and the timing of employee separation payments. We had no costs related to exit and disposal activities during the six months ended June 30, 2024.</w:t>
      </w:r>
    </w:p>
    <w:p>
      <w:pPr>
        <w:spacing w:after="0" w:line="14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Other loss, net. </w:t>
      </w:r>
      <w:r>
        <w:rPr>
          <w:rFonts w:ascii="Times New Roman" w:cs="Times New Roman" w:eastAsia="Times New Roman" w:hAnsi="Times New Roman"/>
          <w:sz w:val="17"/>
          <w:szCs w:val="17"/>
          <w:color w:val="auto"/>
        </w:rPr>
        <w:t>We recognized other income, net of $3.2 million for the six months ended June 30, 2025, an increase of $0.9 million compared to other income,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net of $2.3 million for the six months ended June 30, 2024. Other income, net for the six months ended June 30, 2025 primarily consisted of $2.3 million in interest income on investments, $0.5 million of foreign currency gains and $0.4 million of other income. Other income, net for the six months ended June 30, 2024 primarily consisted of $2.6 million in interest income on investments and other income, partially offset by a $0.3 million of foreign currency losses.</w:t>
      </w:r>
    </w:p>
    <w:p>
      <w:pPr>
        <w:spacing w:after="0" w:line="12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Provision for Income Taxes. </w:t>
      </w:r>
      <w:r>
        <w:rPr>
          <w:rFonts w:ascii="Times New Roman" w:cs="Times New Roman" w:eastAsia="Times New Roman" w:hAnsi="Times New Roman"/>
          <w:sz w:val="17"/>
          <w:szCs w:val="17"/>
          <w:color w:val="auto"/>
        </w:rPr>
        <w:t>Our effective tax rate of 36.6% for the six months ended June 30, 2025 increased 1.6% compared to 35.0% for the same period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2024. The increase in the effective tax rate is primarily due to an increase in losses in jurisdictions that are not eligible for tax benefits due to valuation allowances. Our income tax provision of $4.6 million for the six months ended June 30, 2025 decreased $0.6 million compared to our income tax provision of $5.3 million for the six months ended June 30, 2024.</w:t>
      </w: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cash flows during the six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9"/>
        </w:trPr>
        <w:tc>
          <w:tcPr>
            <w:tcW w:w="8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60" w:type="dxa"/>
            <w:vAlign w:val="bottom"/>
          </w:tcPr>
          <w:p>
            <w:pPr>
              <w:spacing w:after="0"/>
              <w:rPr>
                <w:sz w:val="19"/>
                <w:szCs w:val="19"/>
                <w:color w:val="auto"/>
              </w:rPr>
            </w:pP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28,963</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35,781</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(3,552)</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3,665</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(25,169)</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(26,912)</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8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Sources of Liquidity</w:t>
      </w:r>
    </w:p>
    <w:p>
      <w:pPr>
        <w:spacing w:after="0" w:line="19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Historically, we have primarily financed our operations and capital expenditures through cash flow from operations. We had cash and cash equivalents of $90.4 million as of June 30, 2025, an increase of $1.3 million from December 31, 2024. The increase in our cash was primarily due to cash provided by operating activities of $29.0 million and proceeds from call redemptions and maturities of marketable securities of $10.2 million, partially offset by $24.0 million in repurchases of common stock, $11.1 million for purchases of marketable securities and $2.7 million for purchases of property, equipment and other capital assets.</w:t>
      </w:r>
    </w:p>
    <w:p>
      <w:pPr>
        <w:spacing w:after="0" w:line="342"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We believe that our existing cash and cash equivalents together with cash generated from operations will be sufficient to meet our working capital and capital expenditure requirements for at least the next 12 months.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199"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7"/>
          <w:szCs w:val="17"/>
          <w:color w:val="auto"/>
        </w:rPr>
        <w:t>Cash flows from operating activities were $29.0 million during the six months ended June 30, 2025 and primarily consisted of net income of $8.0 million, adjusted for certain non-cash items, including depreciation and amortization of $17.3 million, stock-based compensation expense of $8.3 million and an impairments on a leased facility and fixed assets of $0.4 million, which were partially offset by deferred taxes of $4.0 million and changes in operating assets and liabilities and other items totaling $1.0 million. Cash flows from operating activities were $35.8 million during the six months ended June 30, 2024 and primarily consisted of net income of $9.8 million, adjusted for certain non-cash items, including depreciation and amortization of $18.1 million, stock-based compensation expense of $8.5 million and changes in operating assets and liabilities and other items totaling $3.5 million, which were partially offset by deferred taxes of $4.1 million.</w:t>
      </w:r>
    </w:p>
    <w:p>
      <w:pPr>
        <w:spacing w:after="0" w:line="134"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7"/>
          <w:szCs w:val="17"/>
          <w:color w:val="auto"/>
        </w:rPr>
        <w:t>Cash flows from operating activities decreased $6.8 million during the six months ended June 30, 2025 compared to the same period in 2024, primarily due to changes in operating assets and liabilities and other items totaling $4.5 million, decreases in net income of $1.8 million, decreases in depreciation and amortization of $0.8 million, decreases in stock-based compensation of $0.3 million, which were partially offset by increases in other property and equipment adjustments of $0.4 million and deferred taxes of $0.2 million.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Investing Activities</w:t>
      </w:r>
    </w:p>
    <w:p>
      <w:pPr>
        <w:spacing w:after="0" w:line="19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Cash used in investing activities was $3.6 million during the six months ended June 30, 2025, consisting of $2.7 million for net purchases of property, equipment and other capital assets and $0.8 million of purchases of marketable securities, net of proceeds from call redemptions and maturities.</w:t>
      </w:r>
    </w:p>
    <w:p>
      <w:pPr>
        <w:spacing w:after="0" w:line="108"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7"/>
          <w:szCs w:val="17"/>
          <w:color w:val="auto"/>
        </w:rPr>
        <w:t>Cash provided by investing activities was $3.7 million during the six months ended June 30, 2024, consisting of $10.4 million in proceeds from call redemptions and maturities of marketable securities, which were partially offset by $6.7 million for net purchases of property, equipment and other capital assets.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used in financing activities was $25.2 million during the six months ended June 30, 2025, consisting of $24.0 million in repurchases of common stock,</w:t>
      </w:r>
    </w:p>
    <w:p>
      <w:pPr>
        <w:spacing w:after="0" w:line="32"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$3.1 million in purchases of shares withheld for tax obligations associated with equity transactions and $0.2 million for repayments of finance lease obligations, which were partially offset by $2.1 million in proceeds related to equity plans.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used in financing activities was $26.9 million during the six months ended June 30, 2024, consisting of $26.9 million in repurchases of common stock,</w:t>
      </w:r>
    </w:p>
    <w:p>
      <w:pPr>
        <w:spacing w:after="0" w:line="32"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$1.9 million in purchases of shares withheld for tax obligations associated with equity transactions and $0.2 million for repayments of finance lease obligations, which were partially offset by $2.1 million in proceeds from issuance of common stock from equity plans.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9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We have adopted various accounting policies to prepare the Consolidated Financial Statements in accordance with accounting principles generally accepted in the United States of America (U.S. GAAP). The preparation of these financial statements requires us to make estimates, judgements and assumptions. Our significant accounting policies and estimates are disclosed in Note 2 to the Consolidated Financial Statements included Part II, Item 8 in our Annual Report on Form 10-K for the year ended December 31, 2024. There were no material changes to our critical accounting policies and estimates during the six months ended June 30, 2025.</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86"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7"/>
          <w:szCs w:val="17"/>
          <w:color w:val="auto"/>
        </w:rPr>
        <w:t>For information on recent accounting pronouncements, see Note 2 to the Consolidated Financial Statements appearing in Part I, Item 1 in this Quarterly Report on Form 10-Q.</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Risk</w:t>
      </w:r>
    </w:p>
    <w:p>
      <w:pPr>
        <w:spacing w:after="0" w:line="186"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As a result of our foreign operations, we have revenue, expenses, assets and liabilities that are denominated in foreign currencies. We generate revenue and incur production and sourcing costs and operating expenses in British Pounds and Euros.</w:t>
      </w:r>
    </w:p>
    <w:p>
      <w:pPr>
        <w:spacing w:after="0" w:line="121"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Our operating results and cash flows are adversely impacted when the United States Dollar appreciates relative to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spacing w:after="0" w:line="12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We recognized foreign currency gains of $0.5 million and foreign currency losses of $0.1 million for the three months ended June 30, 2025 and 2024, respectively. We recognized foreign currency gains of $0.5 million and foreign currency losses of $0.3 million for the six months ended June 30, 2025 and 2024, respectively. The changes in foreign exchange rates had a favorable impact on consolidated revenue of $1.3 million for the three months ended June 30, 2025 and a favorable impact on consolidated revenue of $0.8 million for the six months ended June 30, 2025 compared to the same period in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86"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has evaluated the effectiveness of the design and operation of our disclosure controls and procedures (as defined in Rule 13a-15(e) under the Securities Exchange Act of 1934, as amended (the Exchange Act)) as of the end of the period covered by this report. Based upon that evaluation, the Chief Executive Officer and Chief Financial Officer have concluded that, as of the end of the period covered by this Quarterly Report on Form 10-Q, our disclosure controls and procedures are effective and provide reasonable assurance that information required to be disclosed by us in the reports that we file or submit under the Exchange Act is recorded, processed, summarized and reported accurately and within the time frames specified in the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780"/>
        <w:spacing w:after="0" w:line="295" w:lineRule="auto"/>
        <w:rPr>
          <w:sz w:val="20"/>
          <w:szCs w:val="20"/>
          <w:color w:val="auto"/>
        </w:rPr>
      </w:pPr>
      <w:r>
        <w:rPr>
          <w:rFonts w:ascii="Times New Roman" w:cs="Times New Roman" w:eastAsia="Times New Roman" w:hAnsi="Times New Roman"/>
          <w:sz w:val="17"/>
          <w:szCs w:val="17"/>
          <w:color w:val="auto"/>
        </w:rPr>
        <w:t>SEC’s rules and forms and accumulated and communicated to our management, including our Chief Executive Officer and Chief Financial Officer, as appropriate to allow timely decisions regarding required disclosure.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86"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86"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From time to time, we are subject to various legal proceedings and claims that arise in the ordinary course of our business activities. Although the results of litigation and claims cannot be predicted with certainty, as of the date of these financial statements, we do not believe we are party to any litigation the outcome of which, if determined adversely to us, would individually or in the aggregate be reasonably expected to have a material adverse effect on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99"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7"/>
          <w:szCs w:val="17"/>
          <w:color w:val="auto"/>
        </w:rPr>
        <w:t>Part I, Item 1A. “Risk Factors” in our Annual Report on Form 10-K for the year ended December 31, 2024 includes a discussion of our risk factors. There have been no material changes from the risk factors described in our Form 10-K.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8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On February 4, 2025, our board of directors authorized a share repurchase program (the February 2025 Program). The February 2025 Program is open-ended and authorizes repurchases of shares of our common stock from time to time on the open market or in privately negotiated purchases, with a total stock repurchase authorized of up to $100 million. We have $76.0 million remaining under this authorization. The February 2025 Program does not obligate us to acquire any particular amount of shares of our common stock and remains in effect until the total authorized amount is expended or until further action by our board of directors. The actual timing, manner, number and value of shares repurchased under the February 2025 Program will be determined by our management in its discretion and will depend on several factors, including the market price of the Company's common stock, general market and economic conditions, applicable requirements, and other considerations.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months ended June 30, 2025, we repurchased 75,432 shares of our common stock at a total purchase price of $3.1 million under this program.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repurchase activity through June 30, 2025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Maximum Dollar</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Value of Shares that</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May Yet Be</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Shares Purchased as</w:t>
            </w: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Purchased Under</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Part of Publicly</w:t>
            </w:r>
          </w:p>
        </w:tc>
        <w:tc>
          <w:tcPr>
            <w:tcW w:w="200" w:type="dxa"/>
            <w:vAlign w:val="bottom"/>
          </w:tcPr>
          <w:p>
            <w:pPr>
              <w:spacing w:after="0"/>
              <w:rPr>
                <w:sz w:val="18"/>
                <w:szCs w:val="18"/>
                <w:color w:val="auto"/>
              </w:rPr>
            </w:pPr>
          </w:p>
        </w:tc>
        <w:tc>
          <w:tcPr>
            <w:tcW w:w="1460" w:type="dxa"/>
            <w:vAlign w:val="bottom"/>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the Plans</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166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Average Price Paid</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Announced Plans or</w:t>
            </w: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or Programs (in</w:t>
            </w:r>
          </w:p>
        </w:tc>
      </w:tr>
      <w:tr>
        <w:trPr>
          <w:trHeight w:val="22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Shares Purchased</w:t>
            </w:r>
          </w:p>
        </w:tc>
        <w:tc>
          <w:tcPr>
            <w:tcW w:w="260" w:type="dxa"/>
            <w:vAlign w:val="bottom"/>
          </w:tcPr>
          <w:p>
            <w:pPr>
              <w:spacing w:after="0"/>
              <w:rPr>
                <w:sz w:val="19"/>
                <w:szCs w:val="19"/>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per Share</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Programs</w:t>
            </w:r>
          </w:p>
        </w:tc>
        <w:tc>
          <w:tcPr>
            <w:tcW w:w="200" w:type="dxa"/>
            <w:vAlign w:val="bottom"/>
          </w:tcPr>
          <w:p>
            <w:pPr>
              <w:spacing w:after="0"/>
              <w:rPr>
                <w:sz w:val="19"/>
                <w:szCs w:val="19"/>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thousands)</w:t>
            </w:r>
          </w:p>
        </w:tc>
      </w:tr>
      <w:tr>
        <w:trPr>
          <w:trHeight w:val="26"/>
        </w:trPr>
        <w:tc>
          <w:tcPr>
            <w:tcW w:w="4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34"/>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1, 2025 through April 30, 2025</w:t>
            </w:r>
          </w:p>
        </w:tc>
        <w:tc>
          <w:tcPr>
            <w:tcW w:w="1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79,125</w:t>
            </w:r>
          </w:p>
        </w:tc>
      </w:tr>
      <w:tr>
        <w:trPr>
          <w:trHeight w:val="235"/>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May 1, 2025 through May 31, 2025</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75,432</w:t>
            </w:r>
          </w:p>
        </w:tc>
        <w:tc>
          <w:tcPr>
            <w:tcW w:w="100" w:type="dxa"/>
            <w:vAlign w:val="bottom"/>
          </w:tcPr>
          <w:p>
            <w:pPr>
              <w:spacing w:after="0"/>
              <w:rPr>
                <w:sz w:val="20"/>
                <w:szCs w:val="20"/>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40.97</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75,432</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76,035</w:t>
            </w:r>
          </w:p>
        </w:tc>
      </w:tr>
      <w:tr>
        <w:trPr>
          <w:trHeight w:val="26"/>
        </w:trPr>
        <w:tc>
          <w:tcPr>
            <w:tcW w:w="4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1"/>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1, 2025 through June 30, 2025</w:t>
            </w:r>
          </w:p>
        </w:tc>
        <w:tc>
          <w:tcPr>
            <w:tcW w:w="1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76,035</w:t>
            </w:r>
          </w:p>
        </w:tc>
      </w:tr>
      <w:tr>
        <w:trPr>
          <w:trHeight w:val="254"/>
        </w:trPr>
        <w:tc>
          <w:tcPr>
            <w:tcW w:w="4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75,432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40.97</w:t>
            </w:r>
          </w:p>
        </w:tc>
        <w:tc>
          <w:tcPr>
            <w:tcW w:w="8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75,432</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76,035</w:t>
            </w:r>
          </w:p>
        </w:tc>
      </w:tr>
      <w:tr>
        <w:trPr>
          <w:trHeight w:val="20"/>
        </w:trPr>
        <w:tc>
          <w:tcPr>
            <w:tcW w:w="4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matters to disclose.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matters to disclose.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8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During the three months ended June 30, 2025,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documents are filed or furnished, as applicable, as part of this Quarterly Report on Form 10-Q:</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60" w:type="dxa"/>
            <w:vAlign w:val="bottom"/>
            <w:gridSpan w:val="12"/>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
        </w:trPr>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50"/>
        </w:trPr>
        <w:tc>
          <w:tcPr>
            <w:tcW w:w="118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80" w:type="dxa"/>
            <w:vAlign w:val="bottom"/>
            <w:gridSpan w:val="17"/>
          </w:tcPr>
          <w:p>
            <w:pPr>
              <w:spacing w:after="0" w:line="150" w:lineRule="exact"/>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Third Amended and Restated Articles of Incorporation of Proto Labs, Inc. (incorporated by reference to Exhibit 3.2 to the Company’s Registration</w:t>
              </w:r>
            </w:hyperlink>
          </w:p>
        </w:tc>
      </w:tr>
      <w:tr>
        <w:trPr>
          <w:trHeight w:val="150"/>
        </w:trPr>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80" w:type="dxa"/>
            <w:vAlign w:val="bottom"/>
            <w:tcBorders>
              <w:top w:val="single" w:sz="8" w:color="0000EE"/>
              <w:bottom w:val="single" w:sz="8" w:color="0000EE"/>
            </w:tcBorders>
            <w:gridSpan w:val="4"/>
          </w:tcPr>
          <w:p>
            <w:pPr>
              <w:spacing w:after="0" w:line="150" w:lineRule="exact"/>
              <w:rPr>
                <w:rFonts w:ascii="Times New Roman" w:cs="Times New Roman" w:eastAsia="Times New Roman" w:hAnsi="Times New Roman"/>
                <w:sz w:val="14"/>
                <w:szCs w:val="14"/>
                <w:color w:val="0000EE"/>
                <w:w w:val="98"/>
              </w:rPr>
            </w:pPr>
            <w:hyperlink r:id="rId75">
              <w:r>
                <w:rPr>
                  <w:rFonts w:ascii="Times New Roman" w:cs="Times New Roman" w:eastAsia="Times New Roman" w:hAnsi="Times New Roman"/>
                  <w:sz w:val="14"/>
                  <w:szCs w:val="14"/>
                  <w:color w:val="0000EE"/>
                  <w:w w:val="98"/>
                </w:rPr>
                <w:t>Statement on Form S-1/A, filed on February 13, 2012).</w:t>
              </w:r>
            </w:hyperlink>
          </w:p>
        </w:tc>
        <w:tc>
          <w:tcPr>
            <w:tcW w:w="5080" w:type="dxa"/>
            <w:vAlign w:val="bottom"/>
            <w:tcBorders>
              <w:top w:val="single" w:sz="8" w:color="0000EE"/>
            </w:tcBorders>
            <w:gridSpan w:val="8"/>
          </w:tcPr>
          <w:p>
            <w:pPr>
              <w:spacing w:after="0"/>
              <w:rPr>
                <w:sz w:val="13"/>
                <w:szCs w:val="13"/>
                <w:color w:val="auto"/>
              </w:rPr>
            </w:pPr>
          </w:p>
        </w:tc>
        <w:tc>
          <w:tcPr>
            <w:tcW w:w="320" w:type="dxa"/>
            <w:vAlign w:val="bottom"/>
            <w:gridSpan w:val="5"/>
          </w:tcPr>
          <w:p>
            <w:pPr>
              <w:spacing w:after="0"/>
              <w:rPr>
                <w:sz w:val="13"/>
                <w:szCs w:val="13"/>
                <w:color w:val="auto"/>
              </w:rPr>
            </w:pPr>
          </w:p>
        </w:tc>
      </w:tr>
      <w:tr>
        <w:trPr>
          <w:trHeight w:val="189"/>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80" w:type="dxa"/>
            <w:vAlign w:val="bottom"/>
            <w:gridSpan w:val="17"/>
          </w:tcPr>
          <w:p>
            <w:pPr>
              <w:spacing w:after="0"/>
              <w:rPr>
                <w:rFonts w:ascii="Times New Roman" w:cs="Times New Roman" w:eastAsia="Times New Roman" w:hAnsi="Times New Roman"/>
                <w:sz w:val="14"/>
                <w:szCs w:val="14"/>
                <w:color w:val="0000EE"/>
                <w:w w:val="99"/>
              </w:rPr>
            </w:pPr>
            <w:hyperlink r:id="rId76">
              <w:r>
                <w:rPr>
                  <w:rFonts w:ascii="Times New Roman" w:cs="Times New Roman" w:eastAsia="Times New Roman" w:hAnsi="Times New Roman"/>
                  <w:sz w:val="14"/>
                  <w:szCs w:val="14"/>
                  <w:color w:val="0000EE"/>
                  <w:w w:val="99"/>
                </w:rPr>
                <w:t>Articles of Amendment to Third Amended and Restated Articles of Incorporation of Proto Labs, Inc. dated May 20, 2015 (incorporated by reference to</w:t>
              </w:r>
            </w:hyperlink>
          </w:p>
        </w:tc>
      </w:tr>
      <w:tr>
        <w:trPr>
          <w:trHeight w:val="150"/>
        </w:trPr>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20" w:type="dxa"/>
            <w:vAlign w:val="bottom"/>
            <w:tcBorders>
              <w:top w:val="single" w:sz="8" w:color="0000EE"/>
            </w:tcBorders>
            <w:gridSpan w:val="16"/>
          </w:tcPr>
          <w:p>
            <w:pPr>
              <w:spacing w:after="0" w:line="150" w:lineRule="exact"/>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0000EE"/>
                </w:rPr>
                <w:t>Exhibit 3.1 to the Company's Form 8-K, filed with the Commission on May 21, 2015).</w:t>
              </w:r>
            </w:hyperlink>
          </w:p>
        </w:tc>
        <w:tc>
          <w:tcPr>
            <w:tcW w:w="6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89"/>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6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w w:val="99"/>
              </w:rPr>
            </w:pPr>
            <w:hyperlink r:id="rId77">
              <w:r>
                <w:rPr>
                  <w:rFonts w:ascii="Times New Roman" w:cs="Times New Roman" w:eastAsia="Times New Roman" w:hAnsi="Times New Roman"/>
                  <w:sz w:val="14"/>
                  <w:szCs w:val="14"/>
                  <w:color w:val="0000EE"/>
                  <w:w w:val="99"/>
                </w:rPr>
                <w:t>Third Amended and Restated By-Laws of Proto Labs, Inc., as amended through November 15, 2022 (incorporated by reference to Exhibit 3.2 to the</w:t>
              </w:r>
            </w:hyperlink>
          </w:p>
        </w:tc>
        <w:tc>
          <w:tcPr>
            <w:tcW w:w="220" w:type="dxa"/>
            <w:vAlign w:val="bottom"/>
            <w:gridSpan w:val="3"/>
          </w:tcPr>
          <w:p>
            <w:pPr>
              <w:spacing w:after="0"/>
              <w:rPr>
                <w:sz w:val="16"/>
                <w:szCs w:val="16"/>
                <w:color w:val="auto"/>
              </w:rPr>
            </w:pPr>
          </w:p>
        </w:tc>
      </w:tr>
      <w:tr>
        <w:trPr>
          <w:trHeight w:val="150"/>
        </w:trPr>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40" w:type="dxa"/>
            <w:vAlign w:val="bottom"/>
            <w:tcBorders>
              <w:bottom w:val="single" w:sz="8" w:color="0000EE"/>
            </w:tcBorders>
            <w:gridSpan w:val="3"/>
          </w:tcPr>
          <w:p>
            <w:pPr>
              <w:spacing w:after="0" w:line="150" w:lineRule="exact"/>
              <w:rPr>
                <w:rFonts w:ascii="Times New Roman" w:cs="Times New Roman" w:eastAsia="Times New Roman" w:hAnsi="Times New Roman"/>
                <w:sz w:val="14"/>
                <w:szCs w:val="14"/>
                <w:color w:val="0000EE"/>
                <w:w w:val="98"/>
              </w:rPr>
            </w:pPr>
            <w:hyperlink r:id="rId77">
              <w:r>
                <w:rPr>
                  <w:rFonts w:ascii="Times New Roman" w:cs="Times New Roman" w:eastAsia="Times New Roman" w:hAnsi="Times New Roman"/>
                  <w:sz w:val="14"/>
                  <w:szCs w:val="14"/>
                  <w:color w:val="0000EE"/>
                  <w:w w:val="98"/>
                </w:rPr>
                <w:t>Company's Form 8-K, filed on November 15, 2022).</w:t>
              </w:r>
            </w:hyperlink>
          </w:p>
        </w:tc>
        <w:tc>
          <w:tcPr>
            <w:tcW w:w="5540" w:type="dxa"/>
            <w:vAlign w:val="bottom"/>
            <w:gridSpan w:val="14"/>
          </w:tcPr>
          <w:p>
            <w:pPr>
              <w:spacing w:after="0"/>
              <w:rPr>
                <w:sz w:val="13"/>
                <w:szCs w:val="13"/>
                <w:color w:val="auto"/>
              </w:rPr>
            </w:pPr>
          </w:p>
        </w:tc>
      </w:tr>
      <w:tr>
        <w:trPr>
          <w:trHeight w:val="189"/>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4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w w:val="99"/>
              </w:rPr>
            </w:pPr>
            <w:hyperlink r:id="rId78">
              <w:r>
                <w:rPr>
                  <w:rFonts w:ascii="Times New Roman" w:cs="Times New Roman" w:eastAsia="Times New Roman" w:hAnsi="Times New Roman"/>
                  <w:sz w:val="14"/>
                  <w:szCs w:val="14"/>
                  <w:color w:val="0000FF"/>
                  <w:w w:val="99"/>
                </w:rPr>
                <w:t>Executive Employment Agreement, dated May 20, 2025, by and between Proto Labs, Inc. and Suresh Krishna (incorporated by reference to Exhibit</w:t>
              </w:r>
            </w:hyperlink>
          </w:p>
        </w:tc>
        <w:tc>
          <w:tcPr>
            <w:tcW w:w="240" w:type="dxa"/>
            <w:vAlign w:val="bottom"/>
            <w:gridSpan w:val="4"/>
          </w:tcPr>
          <w:p>
            <w:pPr>
              <w:spacing w:after="0"/>
              <w:rPr>
                <w:sz w:val="16"/>
                <w:szCs w:val="16"/>
                <w:color w:val="auto"/>
              </w:rPr>
            </w:pPr>
          </w:p>
        </w:tc>
      </w:tr>
      <w:tr>
        <w:trPr>
          <w:trHeight w:val="150"/>
        </w:trPr>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80" w:type="dxa"/>
            <w:vAlign w:val="bottom"/>
            <w:gridSpan w:val="17"/>
          </w:tcPr>
          <w:p>
            <w:pPr>
              <w:spacing w:after="0" w:line="150" w:lineRule="exact"/>
              <w:rPr>
                <w:rFonts w:ascii="Times New Roman" w:cs="Times New Roman" w:eastAsia="Times New Roman" w:hAnsi="Times New Roman"/>
                <w:sz w:val="14"/>
                <w:szCs w:val="14"/>
                <w:color w:val="0000FF"/>
              </w:rPr>
            </w:pPr>
            <w:hyperlink r:id="rId7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FF"/>
                </w:rPr>
                <w:t xml:space="preserve"> to the Company's Form 8-K, filed on May 21, 2025).</w:t>
              </w:r>
            </w:hyperlink>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89"/>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0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w w:val="99"/>
              </w:rPr>
            </w:pPr>
            <w:hyperlink r:id="rId79">
              <w:r>
                <w:rPr>
                  <w:rFonts w:ascii="Times New Roman" w:cs="Times New Roman" w:eastAsia="Times New Roman" w:hAnsi="Times New Roman"/>
                  <w:sz w:val="14"/>
                  <w:szCs w:val="14"/>
                  <w:color w:val="0000FF"/>
                  <w:w w:val="99"/>
                </w:rPr>
                <w:t>Consulting Agreement, dated May 20, 2025, by and between Proto Labs, Inc. and Robert Bodor (incorporated by reference to Exhibit 10.3 to the</w:t>
              </w:r>
            </w:hyperlink>
          </w:p>
        </w:tc>
        <w:tc>
          <w:tcPr>
            <w:tcW w:w="380" w:type="dxa"/>
            <w:vAlign w:val="bottom"/>
            <w:gridSpan w:val="6"/>
          </w:tcPr>
          <w:p>
            <w:pPr>
              <w:spacing w:after="0"/>
              <w:rPr>
                <w:sz w:val="16"/>
                <w:szCs w:val="16"/>
                <w:color w:val="auto"/>
              </w:rPr>
            </w:pPr>
          </w:p>
        </w:tc>
      </w:tr>
      <w:tr>
        <w:trPr>
          <w:trHeight w:val="150"/>
        </w:trPr>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0" w:type="dxa"/>
            <w:vAlign w:val="bottom"/>
            <w:tcBorders>
              <w:bottom w:val="single" w:sz="8" w:color="0000FF"/>
            </w:tcBorders>
          </w:tcPr>
          <w:p>
            <w:pPr>
              <w:spacing w:after="0" w:line="150" w:lineRule="exact"/>
              <w:rPr>
                <w:rFonts w:ascii="Times New Roman" w:cs="Times New Roman" w:eastAsia="Times New Roman" w:hAnsi="Times New Roman"/>
                <w:sz w:val="14"/>
                <w:szCs w:val="14"/>
                <w:color w:val="0000FF"/>
                <w:w w:val="98"/>
              </w:rPr>
            </w:pPr>
            <w:hyperlink r:id="rId79">
              <w:r>
                <w:rPr>
                  <w:rFonts w:ascii="Times New Roman" w:cs="Times New Roman" w:eastAsia="Times New Roman" w:hAnsi="Times New Roman"/>
                  <w:sz w:val="14"/>
                  <w:szCs w:val="14"/>
                  <w:color w:val="0000FF"/>
                  <w:w w:val="98"/>
                </w:rPr>
                <w:t>Company's Form 8-K, filed on May 21, 2025).</w:t>
              </w:r>
            </w:hyperlink>
          </w:p>
        </w:tc>
        <w:tc>
          <w:tcPr>
            <w:tcW w:w="5880" w:type="dxa"/>
            <w:vAlign w:val="bottom"/>
            <w:gridSpan w:val="16"/>
          </w:tcPr>
          <w:p>
            <w:pPr>
              <w:spacing w:after="0"/>
              <w:rPr>
                <w:sz w:val="13"/>
                <w:szCs w:val="13"/>
                <w:color w:val="auto"/>
              </w:rPr>
            </w:pPr>
          </w:p>
        </w:tc>
      </w:tr>
      <w:tr>
        <w:trPr>
          <w:trHeight w:val="189"/>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8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w w:val="99"/>
              </w:rPr>
            </w:pPr>
            <w:hyperlink r:id="rId80">
              <w:r>
                <w:rPr>
                  <w:rFonts w:ascii="Times New Roman" w:cs="Times New Roman" w:eastAsia="Times New Roman" w:hAnsi="Times New Roman"/>
                  <w:sz w:val="14"/>
                  <w:szCs w:val="14"/>
                  <w:color w:val="0000FF"/>
                  <w:w w:val="99"/>
                </w:rPr>
                <w:t>Consulting Agreement, dated May 28, 2025, by and between Proto Labs, Inc. and Robert Bodor (incorporated by reference to Exhibit 10.2 to the</w:t>
              </w:r>
            </w:hyperlink>
          </w:p>
        </w:tc>
        <w:tc>
          <w:tcPr>
            <w:tcW w:w="400" w:type="dxa"/>
            <w:vAlign w:val="bottom"/>
            <w:gridSpan w:val="7"/>
          </w:tcPr>
          <w:p>
            <w:pPr>
              <w:spacing w:after="0"/>
              <w:rPr>
                <w:sz w:val="16"/>
                <w:szCs w:val="16"/>
                <w:color w:val="auto"/>
              </w:rPr>
            </w:pPr>
          </w:p>
        </w:tc>
      </w:tr>
      <w:tr>
        <w:trPr>
          <w:trHeight w:val="150"/>
        </w:trPr>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0" w:type="dxa"/>
            <w:vAlign w:val="bottom"/>
            <w:tcBorders>
              <w:bottom w:val="single" w:sz="8" w:color="0000FF"/>
            </w:tcBorders>
          </w:tcPr>
          <w:p>
            <w:pPr>
              <w:spacing w:after="0" w:line="150" w:lineRule="exact"/>
              <w:rPr>
                <w:rFonts w:ascii="Times New Roman" w:cs="Times New Roman" w:eastAsia="Times New Roman" w:hAnsi="Times New Roman"/>
                <w:sz w:val="14"/>
                <w:szCs w:val="14"/>
                <w:color w:val="0000FF"/>
                <w:w w:val="98"/>
              </w:rPr>
            </w:pPr>
            <w:hyperlink r:id="rId80">
              <w:r>
                <w:rPr>
                  <w:rFonts w:ascii="Times New Roman" w:cs="Times New Roman" w:eastAsia="Times New Roman" w:hAnsi="Times New Roman"/>
                  <w:sz w:val="14"/>
                  <w:szCs w:val="14"/>
                  <w:color w:val="0000FF"/>
                  <w:w w:val="98"/>
                </w:rPr>
                <w:t>Company's Form 8-K, filed on May 30, 2025).</w:t>
              </w:r>
            </w:hyperlink>
          </w:p>
        </w:tc>
        <w:tc>
          <w:tcPr>
            <w:tcW w:w="5880" w:type="dxa"/>
            <w:vAlign w:val="bottom"/>
            <w:gridSpan w:val="16"/>
          </w:tcPr>
          <w:p>
            <w:pPr>
              <w:spacing w:after="0"/>
              <w:rPr>
                <w:sz w:val="13"/>
                <w:szCs w:val="13"/>
                <w:color w:val="auto"/>
              </w:rPr>
            </w:pPr>
          </w:p>
        </w:tc>
      </w:tr>
      <w:tr>
        <w:trPr>
          <w:trHeight w:val="189"/>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80" w:type="dxa"/>
            <w:vAlign w:val="bottom"/>
            <w:gridSpan w:val="17"/>
          </w:tcPr>
          <w:p>
            <w:pPr>
              <w:spacing w:after="0"/>
              <w:rPr>
                <w:rFonts w:ascii="Times New Roman" w:cs="Times New Roman" w:eastAsia="Times New Roman" w:hAnsi="Times New Roman"/>
                <w:sz w:val="14"/>
                <w:szCs w:val="14"/>
                <w:color w:val="0000FF"/>
              </w:rPr>
            </w:pPr>
            <w:hyperlink r:id="rId81">
              <w:r>
                <w:rPr>
                  <w:rFonts w:ascii="Times New Roman" w:cs="Times New Roman" w:eastAsia="Times New Roman" w:hAnsi="Times New Roman"/>
                  <w:sz w:val="14"/>
                  <w:szCs w:val="14"/>
                  <w:color w:val="0000FF"/>
                </w:rPr>
                <w:t>Amended and Restated Proto Labs, Inc. 2022 Long-Term Incentive Plan, as amended May 20, 2025 (incorporated by reference to Exhibit 10.4 to the</w:t>
              </w:r>
            </w:hyperlink>
          </w:p>
        </w:tc>
      </w:tr>
      <w:tr>
        <w:trPr>
          <w:trHeight w:val="150"/>
        </w:trPr>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20" w:type="dxa"/>
            <w:vAlign w:val="bottom"/>
            <w:tcBorders>
              <w:top w:val="single" w:sz="8" w:color="0000FF"/>
              <w:bottom w:val="single" w:sz="8" w:color="0000FF"/>
            </w:tcBorders>
            <w:gridSpan w:val="2"/>
          </w:tcPr>
          <w:p>
            <w:pPr>
              <w:spacing w:after="0" w:line="150" w:lineRule="exact"/>
              <w:rPr>
                <w:rFonts w:ascii="Times New Roman" w:cs="Times New Roman" w:eastAsia="Times New Roman" w:hAnsi="Times New Roman"/>
                <w:sz w:val="14"/>
                <w:szCs w:val="14"/>
                <w:color w:val="0000FF"/>
                <w:w w:val="98"/>
              </w:rPr>
            </w:pPr>
            <w:hyperlink r:id="rId81">
              <w:r>
                <w:rPr>
                  <w:rFonts w:ascii="Times New Roman" w:cs="Times New Roman" w:eastAsia="Times New Roman" w:hAnsi="Times New Roman"/>
                  <w:sz w:val="14"/>
                  <w:szCs w:val="14"/>
                  <w:color w:val="0000FF"/>
                  <w:w w:val="98"/>
                </w:rPr>
                <w:t>Company’s Form 8-K, filed on May 21, 2025).</w:t>
              </w:r>
            </w:hyperlink>
          </w:p>
        </w:tc>
        <w:tc>
          <w:tcPr>
            <w:tcW w:w="5660" w:type="dxa"/>
            <w:vAlign w:val="bottom"/>
            <w:tcBorders>
              <w:top w:val="single" w:sz="8" w:color="0000FF"/>
            </w:tcBorders>
            <w:gridSpan w:val="13"/>
          </w:tcPr>
          <w:p>
            <w:pPr>
              <w:spacing w:after="0"/>
              <w:rPr>
                <w:sz w:val="13"/>
                <w:szCs w:val="13"/>
                <w:color w:val="auto"/>
              </w:rPr>
            </w:pPr>
          </w:p>
        </w:tc>
        <w:tc>
          <w:tcPr>
            <w:tcW w:w="200" w:type="dxa"/>
            <w:vAlign w:val="bottom"/>
            <w:gridSpan w:val="2"/>
          </w:tcPr>
          <w:p>
            <w:pPr>
              <w:spacing w:after="0"/>
              <w:rPr>
                <w:sz w:val="13"/>
                <w:szCs w:val="13"/>
                <w:color w:val="auto"/>
              </w:rPr>
            </w:pPr>
          </w:p>
        </w:tc>
      </w:tr>
      <w:tr>
        <w:trPr>
          <w:trHeight w:val="189"/>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Certification of the Chief Executive Officer pursuant to Section 302 of the Sarbanes-Oxley Act*</w:t>
            </w:r>
          </w:p>
        </w:tc>
      </w:tr>
      <w:tr>
        <w:trPr>
          <w:trHeight w:val="189"/>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9"/>
              </w:rPr>
              <w:t>Certification of the Chief Financial Officer pursuant to Section 302 of the Sarbanes-Oxley Act*</w:t>
            </w:r>
          </w:p>
        </w:tc>
        <w:tc>
          <w:tcPr>
            <w:tcW w:w="3120" w:type="dxa"/>
            <w:vAlign w:val="bottom"/>
            <w:gridSpan w:val="9"/>
          </w:tcPr>
          <w:p>
            <w:pPr>
              <w:spacing w:after="0"/>
              <w:rPr>
                <w:sz w:val="16"/>
                <w:szCs w:val="16"/>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gridSpan w:val="7"/>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r>
      <w:tr>
        <w:trPr>
          <w:trHeight w:val="189"/>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Certification of the Chief Executive Officer and the Chief Financial Officer pursuant to Section 906 of the Sarbanes-Oxley Act**</w:t>
            </w:r>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40" w:type="dxa"/>
            <w:vAlign w:val="bottom"/>
            <w:gridSpan w:val="9"/>
            <w:shd w:val="clear" w:color="auto" w:fill="0000EE"/>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r>
      <w:tr>
        <w:trPr>
          <w:trHeight w:val="206"/>
        </w:trPr>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101.INS</w:t>
            </w:r>
          </w:p>
        </w:tc>
        <w:tc>
          <w:tcPr>
            <w:tcW w:w="20" w:type="dxa"/>
            <w:vAlign w:val="bottom"/>
          </w:tcPr>
          <w:p>
            <w:pPr>
              <w:spacing w:after="0"/>
              <w:rPr>
                <w:sz w:val="17"/>
                <w:szCs w:val="17"/>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Instance Document (the Instance Document does not appear in the Interactive Data File because its XBRL tags are embedded within the</w:t>
            </w:r>
          </w:p>
        </w:tc>
      </w:tr>
      <w:tr>
        <w:trPr>
          <w:trHeight w:val="182"/>
        </w:trPr>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document)*</w:t>
            </w:r>
          </w:p>
        </w:tc>
      </w:tr>
      <w:tr>
        <w:trPr>
          <w:trHeight w:val="196"/>
        </w:trPr>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7"/>
                <w:szCs w:val="17"/>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09"/>
        </w:trPr>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8"/>
              </w:rPr>
              <w:t>101.CAL</w:t>
            </w:r>
          </w:p>
        </w:tc>
        <w:tc>
          <w:tcPr>
            <w:tcW w:w="20" w:type="dxa"/>
            <w:vAlign w:val="bottom"/>
          </w:tcPr>
          <w:p>
            <w:pPr>
              <w:spacing w:after="0"/>
              <w:rPr>
                <w:sz w:val="18"/>
                <w:szCs w:val="18"/>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09"/>
        </w:trPr>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101.DEF</w:t>
            </w:r>
          </w:p>
        </w:tc>
        <w:tc>
          <w:tcPr>
            <w:tcW w:w="20" w:type="dxa"/>
            <w:vAlign w:val="bottom"/>
          </w:tcPr>
          <w:p>
            <w:pPr>
              <w:spacing w:after="0"/>
              <w:rPr>
                <w:sz w:val="18"/>
                <w:szCs w:val="18"/>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09"/>
        </w:trPr>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8"/>
              </w:rPr>
              <w:t>101.LAB</w:t>
            </w:r>
          </w:p>
        </w:tc>
        <w:tc>
          <w:tcPr>
            <w:tcW w:w="20" w:type="dxa"/>
            <w:vAlign w:val="bottom"/>
          </w:tcPr>
          <w:p>
            <w:pPr>
              <w:spacing w:after="0"/>
              <w:rPr>
                <w:sz w:val="18"/>
                <w:szCs w:val="18"/>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209"/>
        </w:trPr>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101.PRE</w:t>
            </w:r>
          </w:p>
        </w:tc>
        <w:tc>
          <w:tcPr>
            <w:tcW w:w="20" w:type="dxa"/>
            <w:vAlign w:val="bottom"/>
          </w:tcPr>
          <w:p>
            <w:pPr>
              <w:spacing w:after="0"/>
              <w:rPr>
                <w:sz w:val="18"/>
                <w:szCs w:val="18"/>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209"/>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bl>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*Filed herewith.</w:t>
      </w:r>
    </w:p>
    <w:p>
      <w:pPr>
        <w:spacing w:after="0" w:line="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19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Proto Labs, Inc.</w:t>
      </w:r>
    </w:p>
    <w:p>
      <w:pPr>
        <w:spacing w:after="0" w:line="301"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Date: July 31, 2025</w:t>
      </w:r>
      <w:r>
        <w:rPr>
          <w:sz w:val="20"/>
          <w:szCs w:val="20"/>
          <w:color w:val="auto"/>
        </w:rPr>
        <w:tab/>
      </w:r>
      <w:r>
        <w:rPr>
          <w:rFonts w:ascii="Times New Roman" w:cs="Times New Roman" w:eastAsia="Times New Roman" w:hAnsi="Times New Roman"/>
          <w:sz w:val="17"/>
          <w:szCs w:val="17"/>
          <w:color w:val="auto"/>
        </w:rPr>
        <w:t>/s/ Suresh Krishna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28575</wp:posOffset>
            </wp:positionV>
            <wp:extent cx="28879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2887980" cy="8255"/>
                    </a:xfrm>
                    <a:prstGeom prst="rect">
                      <a:avLst/>
                    </a:prstGeom>
                    <a:noFill/>
                  </pic:spPr>
                </pic:pic>
              </a:graphicData>
            </a:graphic>
          </wp:anchor>
        </w:drawing>
      </w:r>
    </w:p>
    <w:p>
      <w:pPr>
        <w:spacing w:after="0" w:line="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Suresh Krishna</w:t>
      </w:r>
    </w:p>
    <w:p>
      <w:pPr>
        <w:spacing w:after="0" w:line="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94"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Date: July 31, 2025</w:t>
      </w:r>
      <w:r>
        <w:rPr>
          <w:sz w:val="20"/>
          <w:szCs w:val="20"/>
          <w:color w:val="auto"/>
        </w:rPr>
        <w:tab/>
      </w:r>
      <w:r>
        <w:rPr>
          <w:rFonts w:ascii="Times New Roman" w:cs="Times New Roman" w:eastAsia="Times New Roman" w:hAnsi="Times New Roman"/>
          <w:sz w:val="17"/>
          <w:szCs w:val="17"/>
          <w:color w:val="auto"/>
        </w:rPr>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28575</wp:posOffset>
            </wp:positionV>
            <wp:extent cx="28879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2887980" cy="8255"/>
                    </a:xfrm>
                    <a:prstGeom prst="rect">
                      <a:avLst/>
                    </a:prstGeom>
                    <a:noFill/>
                  </pic:spPr>
                </pic:pic>
              </a:graphicData>
            </a:graphic>
          </wp:anchor>
        </w:drawing>
      </w:r>
    </w:p>
    <w:p>
      <w:pPr>
        <w:spacing w:after="0" w:line="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Daniel Schumacher</w:t>
      </w:r>
    </w:p>
    <w:p>
      <w:pPr>
        <w:spacing w:after="0" w:line="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(Duly Authorized Officer, Principal Financial Officer and</w:t>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0840"/>
          </w:cols>
          <w:pgMar w:left="320" w:top="121" w:right="7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Suresh Krishna, certify that:</w:t>
      </w:r>
    </w:p>
    <w:p>
      <w:pPr>
        <w:spacing w:after="0" w:line="223" w:lineRule="exact"/>
        <w:rPr>
          <w:sz w:val="20"/>
          <w:szCs w:val="20"/>
          <w:color w:val="auto"/>
        </w:rPr>
      </w:pPr>
    </w:p>
    <w:p>
      <w:pPr>
        <w:ind w:left="640" w:hanging="165"/>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Proto Labs, Inc.;</w:t>
      </w:r>
    </w:p>
    <w:p>
      <w:pPr>
        <w:spacing w:after="0" w:line="222" w:lineRule="exact"/>
        <w:rPr>
          <w:rFonts w:ascii="Times New Roman" w:cs="Times New Roman" w:eastAsia="Times New Roman" w:hAnsi="Times New Roman"/>
          <w:sz w:val="17"/>
          <w:szCs w:val="17"/>
          <w:color w:val="auto"/>
        </w:rPr>
      </w:pPr>
    </w:p>
    <w:p>
      <w:pPr>
        <w:ind w:right="480" w:firstLine="475"/>
        <w:spacing w:after="0" w:line="295" w:lineRule="auto"/>
        <w:tabs>
          <w:tab w:leader="none" w:pos="62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right="440" w:firstLine="475"/>
        <w:spacing w:after="0" w:line="295" w:lineRule="auto"/>
        <w:tabs>
          <w:tab w:leader="none" w:pos="62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right="180" w:firstLine="475"/>
        <w:spacing w:after="0" w:line="276" w:lineRule="auto"/>
        <w:tabs>
          <w:tab w:leader="none" w:pos="62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7"/>
          <w:szCs w:val="17"/>
          <w:color w:val="auto"/>
        </w:rPr>
      </w:pPr>
    </w:p>
    <w:p>
      <w:pPr>
        <w:ind w:left="1580" w:right="160" w:hanging="478"/>
        <w:spacing w:after="0" w:line="276" w:lineRule="auto"/>
        <w:tabs>
          <w:tab w:leader="none" w:pos="1571"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ind w:left="1580" w:right="100" w:hanging="478"/>
        <w:spacing w:after="0" w:line="276" w:lineRule="auto"/>
        <w:tabs>
          <w:tab w:leader="none" w:pos="1568"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Times New Roman" w:cs="Times New Roman" w:eastAsia="Times New Roman" w:hAnsi="Times New Roman"/>
          <w:sz w:val="17"/>
          <w:szCs w:val="17"/>
          <w:color w:val="auto"/>
        </w:rPr>
      </w:pPr>
    </w:p>
    <w:p>
      <w:pPr>
        <w:jc w:val="both"/>
        <w:ind w:left="1580" w:right="260" w:hanging="478"/>
        <w:spacing w:after="0" w:line="295" w:lineRule="auto"/>
        <w:tabs>
          <w:tab w:leader="none" w:pos="1571"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1580" w:right="260" w:hanging="478"/>
        <w:spacing w:after="0" w:line="276" w:lineRule="auto"/>
        <w:tabs>
          <w:tab w:leader="none" w:pos="1568"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7"/>
          <w:szCs w:val="17"/>
          <w:color w:val="auto"/>
        </w:rPr>
      </w:pPr>
    </w:p>
    <w:p>
      <w:pPr>
        <w:ind w:right="360" w:firstLine="475"/>
        <w:spacing w:after="0" w:line="295" w:lineRule="auto"/>
        <w:tabs>
          <w:tab w:leader="none" w:pos="62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580" w:right="500" w:hanging="478"/>
        <w:spacing w:after="0" w:line="295" w:lineRule="auto"/>
        <w:tabs>
          <w:tab w:leader="none" w:pos="1571"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1580" w:right="200" w:hanging="478"/>
        <w:spacing w:after="0" w:line="295" w:lineRule="auto"/>
        <w:tabs>
          <w:tab w:leader="none" w:pos="1568"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ind w:left="20"/>
        <w:spacing w:after="0"/>
        <w:tabs>
          <w:tab w:leader="none" w:pos="5900" w:val="left"/>
          <w:tab w:leader="none" w:pos="6360" w:val="left"/>
        </w:tabs>
        <w:rPr>
          <w:sz w:val="20"/>
          <w:szCs w:val="20"/>
          <w:color w:val="auto"/>
        </w:rPr>
      </w:pPr>
      <w:r>
        <w:rPr>
          <w:rFonts w:ascii="Times New Roman" w:cs="Times New Roman" w:eastAsia="Times New Roman" w:hAnsi="Times New Roman"/>
          <w:sz w:val="17"/>
          <w:szCs w:val="17"/>
          <w:color w:val="auto"/>
        </w:rPr>
        <w:t>Date: July 31, 2025</w:t>
      </w:r>
      <w:r>
        <w:rPr>
          <w:sz w:val="20"/>
          <w:szCs w:val="20"/>
          <w:color w:val="auto"/>
        </w:rPr>
        <w:tab/>
      </w:r>
      <w:r>
        <w:rPr>
          <w:rFonts w:ascii="Times New Roman" w:cs="Times New Roman" w:eastAsia="Times New Roman" w:hAnsi="Times New Roman"/>
          <w:sz w:val="17"/>
          <w:szCs w:val="17"/>
          <w:color w:val="auto"/>
        </w:rPr>
        <w:t>By:</w:t>
        <w:tab/>
        <w:t>/s/ Suresh Krishna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4036060</wp:posOffset>
            </wp:positionH>
            <wp:positionV relativeFrom="paragraph">
              <wp:posOffset>36830</wp:posOffset>
            </wp:positionV>
            <wp:extent cx="31038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3103880" cy="8255"/>
                    </a:xfrm>
                    <a:prstGeom prst="rect">
                      <a:avLst/>
                    </a:prstGeom>
                    <a:noFill/>
                  </pic:spPr>
                </pic:pic>
              </a:graphicData>
            </a:graphic>
          </wp:anchor>
        </w:drawing>
      </w:r>
    </w:p>
    <w:p>
      <w:pPr>
        <w:spacing w:after="0" w:line="5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Suresh Krishna</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112"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Daniel Schumacher, certify that:</w:t>
      </w:r>
    </w:p>
    <w:p>
      <w:pPr>
        <w:spacing w:after="0" w:line="223" w:lineRule="exact"/>
        <w:rPr>
          <w:sz w:val="20"/>
          <w:szCs w:val="20"/>
          <w:color w:val="auto"/>
        </w:rPr>
      </w:pPr>
    </w:p>
    <w:p>
      <w:pPr>
        <w:ind w:left="640" w:hanging="165"/>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Proto Labs, Inc.;</w:t>
      </w:r>
    </w:p>
    <w:p>
      <w:pPr>
        <w:spacing w:after="0" w:line="222" w:lineRule="exact"/>
        <w:rPr>
          <w:rFonts w:ascii="Times New Roman" w:cs="Times New Roman" w:eastAsia="Times New Roman" w:hAnsi="Times New Roman"/>
          <w:sz w:val="17"/>
          <w:szCs w:val="17"/>
          <w:color w:val="auto"/>
        </w:rPr>
      </w:pPr>
    </w:p>
    <w:p>
      <w:pPr>
        <w:ind w:right="480" w:firstLine="475"/>
        <w:spacing w:after="0" w:line="295" w:lineRule="auto"/>
        <w:tabs>
          <w:tab w:leader="none" w:pos="62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right="440" w:firstLine="475"/>
        <w:spacing w:after="0" w:line="295" w:lineRule="auto"/>
        <w:tabs>
          <w:tab w:leader="none" w:pos="62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right="180" w:firstLine="475"/>
        <w:spacing w:after="0" w:line="276" w:lineRule="auto"/>
        <w:tabs>
          <w:tab w:leader="none" w:pos="62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7"/>
          <w:szCs w:val="17"/>
          <w:color w:val="auto"/>
        </w:rPr>
      </w:pPr>
    </w:p>
    <w:p>
      <w:pPr>
        <w:ind w:left="1580" w:right="160" w:hanging="478"/>
        <w:spacing w:after="0" w:line="276" w:lineRule="auto"/>
        <w:tabs>
          <w:tab w:leader="none" w:pos="1571"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ind w:left="1580" w:right="100" w:hanging="478"/>
        <w:spacing w:after="0" w:line="276" w:lineRule="auto"/>
        <w:tabs>
          <w:tab w:leader="none" w:pos="1568"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Times New Roman" w:cs="Times New Roman" w:eastAsia="Times New Roman" w:hAnsi="Times New Roman"/>
          <w:sz w:val="17"/>
          <w:szCs w:val="17"/>
          <w:color w:val="auto"/>
        </w:rPr>
      </w:pPr>
    </w:p>
    <w:p>
      <w:pPr>
        <w:jc w:val="both"/>
        <w:ind w:left="1580" w:right="260" w:hanging="478"/>
        <w:spacing w:after="0" w:line="295" w:lineRule="auto"/>
        <w:tabs>
          <w:tab w:leader="none" w:pos="1571"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1580" w:right="260" w:hanging="478"/>
        <w:spacing w:after="0" w:line="276" w:lineRule="auto"/>
        <w:tabs>
          <w:tab w:leader="none" w:pos="1568"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7"/>
          <w:szCs w:val="17"/>
          <w:color w:val="auto"/>
        </w:rPr>
      </w:pPr>
    </w:p>
    <w:p>
      <w:pPr>
        <w:ind w:right="360" w:firstLine="475"/>
        <w:spacing w:after="0" w:line="295" w:lineRule="auto"/>
        <w:tabs>
          <w:tab w:leader="none" w:pos="62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580" w:right="500" w:hanging="478"/>
        <w:spacing w:after="0" w:line="295" w:lineRule="auto"/>
        <w:tabs>
          <w:tab w:leader="none" w:pos="1571"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1580" w:right="200" w:hanging="478"/>
        <w:spacing w:after="0" w:line="295" w:lineRule="auto"/>
        <w:tabs>
          <w:tab w:leader="none" w:pos="1568"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ind w:left="20"/>
        <w:spacing w:after="0"/>
        <w:tabs>
          <w:tab w:leader="none" w:pos="5900" w:val="left"/>
          <w:tab w:leader="none" w:pos="6360" w:val="left"/>
        </w:tabs>
        <w:rPr>
          <w:sz w:val="20"/>
          <w:szCs w:val="20"/>
          <w:color w:val="auto"/>
        </w:rPr>
      </w:pPr>
      <w:r>
        <w:rPr>
          <w:rFonts w:ascii="Times New Roman" w:cs="Times New Roman" w:eastAsia="Times New Roman" w:hAnsi="Times New Roman"/>
          <w:sz w:val="17"/>
          <w:szCs w:val="17"/>
          <w:color w:val="auto"/>
        </w:rPr>
        <w:t>Date: July 31, 2025</w:t>
      </w:r>
      <w:r>
        <w:rPr>
          <w:sz w:val="20"/>
          <w:szCs w:val="20"/>
          <w:color w:val="auto"/>
        </w:rPr>
        <w:tab/>
      </w:r>
      <w:r>
        <w:rPr>
          <w:rFonts w:ascii="Times New Roman" w:cs="Times New Roman" w:eastAsia="Times New Roman" w:hAnsi="Times New Roman"/>
          <w:sz w:val="17"/>
          <w:szCs w:val="17"/>
          <w:color w:val="auto"/>
        </w:rPr>
        <w:t>By:</w:t>
        <w:tab/>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4036060</wp:posOffset>
            </wp:positionH>
            <wp:positionV relativeFrom="paragraph">
              <wp:posOffset>36830</wp:posOffset>
            </wp:positionV>
            <wp:extent cx="31038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3103880" cy="8255"/>
                    </a:xfrm>
                    <a:prstGeom prst="rect">
                      <a:avLst/>
                    </a:prstGeom>
                    <a:noFill/>
                  </pic:spPr>
                </pic:pic>
              </a:graphicData>
            </a:graphic>
          </wp:anchor>
        </w:drawing>
      </w:r>
    </w:p>
    <w:p>
      <w:pPr>
        <w:spacing w:after="0" w:line="5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Daniel Schumacher</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112"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AND CHIEF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5"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I, Suresh Krishna, certify, pursuant to 18 U.S.C. Section 1350, as adopted pursuant to Section 906 of the Sarbanes-Oxley Act of 2002, that the Quarterly Report of Proto Labs, Inc. on Form 10-Q for the fiscal quarter ended June 30, 2025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Date: July 31, 2025</w:t>
            </w:r>
          </w:p>
        </w:tc>
        <w:tc>
          <w:tcPr>
            <w:tcW w:w="3180" w:type="dxa"/>
            <w:vAlign w:val="bottom"/>
          </w:tcPr>
          <w:p>
            <w:pPr>
              <w:ind w:left="2400"/>
              <w:spacing w:after="0"/>
              <w:rPr>
                <w:sz w:val="20"/>
                <w:szCs w:val="20"/>
                <w:color w:val="auto"/>
              </w:rPr>
            </w:pPr>
            <w:r>
              <w:rPr>
                <w:rFonts w:ascii="Times New Roman" w:cs="Times New Roman" w:eastAsia="Times New Roman" w:hAnsi="Times New Roman"/>
                <w:sz w:val="17"/>
                <w:szCs w:val="17"/>
                <w:color w:val="auto"/>
              </w:rPr>
              <w:t>By:</w:t>
            </w:r>
          </w:p>
        </w:tc>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/s/ Suresh Krishna</w:t>
            </w: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3180" w:type="dxa"/>
            <w:vAlign w:val="bottom"/>
            <w:vMerge w:val="restart"/>
          </w:tcPr>
          <w:p>
            <w:pPr>
              <w:ind w:left="2400"/>
              <w:spacing w:after="0"/>
              <w:rPr>
                <w:sz w:val="20"/>
                <w:szCs w:val="20"/>
                <w:color w:val="auto"/>
              </w:rPr>
            </w:pPr>
            <w:r>
              <w:rPr>
                <w:rFonts w:ascii="Times New Roman" w:cs="Times New Roman" w:eastAsia="Times New Roman" w:hAnsi="Times New Roman"/>
                <w:sz w:val="17"/>
                <w:szCs w:val="17"/>
                <w:color w:val="auto"/>
              </w:rPr>
              <w:t>Name: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740" w:type="dxa"/>
            <w:vAlign w:val="bottom"/>
          </w:tcPr>
          <w:p>
            <w:pPr>
              <w:spacing w:after="0"/>
              <w:rPr>
                <w:sz w:val="19"/>
                <w:szCs w:val="19"/>
                <w:color w:val="auto"/>
              </w:rPr>
            </w:pPr>
          </w:p>
        </w:tc>
        <w:tc>
          <w:tcPr>
            <w:tcW w:w="3180" w:type="dxa"/>
            <w:vAlign w:val="bottom"/>
            <w:vMerge w:val="continue"/>
          </w:tcPr>
          <w:p>
            <w:pPr>
              <w:spacing w:after="0"/>
              <w:rPr>
                <w:sz w:val="19"/>
                <w:szCs w:val="19"/>
                <w:color w:val="auto"/>
              </w:rPr>
            </w:pP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Suresh Krishna</w:t>
            </w:r>
          </w:p>
        </w:tc>
        <w:tc>
          <w:tcPr>
            <w:tcW w:w="0" w:type="dxa"/>
            <w:vAlign w:val="bottom"/>
          </w:tcPr>
          <w:p>
            <w:pPr>
              <w:spacing w:after="0"/>
              <w:rPr>
                <w:sz w:val="1"/>
                <w:szCs w:val="1"/>
                <w:color w:val="auto"/>
              </w:rPr>
            </w:pPr>
          </w:p>
        </w:tc>
      </w:tr>
      <w:tr>
        <w:trPr>
          <w:trHeight w:val="261"/>
        </w:trPr>
        <w:tc>
          <w:tcPr>
            <w:tcW w:w="3740" w:type="dxa"/>
            <w:vAlign w:val="bottom"/>
          </w:tcPr>
          <w:p>
            <w:pPr>
              <w:spacing w:after="0"/>
              <w:rPr>
                <w:sz w:val="22"/>
                <w:szCs w:val="22"/>
                <w:color w:val="auto"/>
              </w:rPr>
            </w:pPr>
          </w:p>
        </w:tc>
        <w:tc>
          <w:tcPr>
            <w:tcW w:w="3180" w:type="dxa"/>
            <w:vAlign w:val="bottom"/>
          </w:tcPr>
          <w:p>
            <w:pPr>
              <w:ind w:left="2400"/>
              <w:spacing w:after="0"/>
              <w:rPr>
                <w:sz w:val="20"/>
                <w:szCs w:val="20"/>
                <w:color w:val="auto"/>
              </w:rPr>
            </w:pPr>
            <w:r>
              <w:rPr>
                <w:rFonts w:ascii="Times New Roman" w:cs="Times New Roman" w:eastAsia="Times New Roman" w:hAnsi="Times New Roman"/>
                <w:sz w:val="17"/>
                <w:szCs w:val="17"/>
                <w:color w:val="auto"/>
              </w:rPr>
              <w:t>Title:</w:t>
            </w: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17"/>
          <w:szCs w:val="17"/>
          <w:color w:val="auto"/>
        </w:rPr>
        <w:t>I, Daniel Schumacher, certify, pursuant to 18 U.S.C. Section 1350, as adopted pursuant to Section 906 of the Sarbanes-Oxley Act of 2002, that the Quarterly Report of Proto Labs, Inc. on Form 10-Q for the fiscal quarter ended June 30, 2025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Date: July 31, 2025</w:t>
            </w:r>
          </w:p>
        </w:tc>
        <w:tc>
          <w:tcPr>
            <w:tcW w:w="3180" w:type="dxa"/>
            <w:vAlign w:val="bottom"/>
          </w:tcPr>
          <w:p>
            <w:pPr>
              <w:ind w:left="2400"/>
              <w:spacing w:after="0"/>
              <w:rPr>
                <w:sz w:val="20"/>
                <w:szCs w:val="20"/>
                <w:color w:val="auto"/>
              </w:rPr>
            </w:pPr>
            <w:r>
              <w:rPr>
                <w:rFonts w:ascii="Times New Roman" w:cs="Times New Roman" w:eastAsia="Times New Roman" w:hAnsi="Times New Roman"/>
                <w:sz w:val="17"/>
                <w:szCs w:val="17"/>
                <w:color w:val="auto"/>
              </w:rPr>
              <w:t>By:</w:t>
            </w:r>
          </w:p>
        </w:tc>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/s/ Daniel Schumacher</w:t>
            </w: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3180" w:type="dxa"/>
            <w:vAlign w:val="bottom"/>
            <w:vMerge w:val="restart"/>
          </w:tcPr>
          <w:p>
            <w:pPr>
              <w:ind w:left="2400"/>
              <w:spacing w:after="0"/>
              <w:rPr>
                <w:sz w:val="20"/>
                <w:szCs w:val="20"/>
                <w:color w:val="auto"/>
              </w:rPr>
            </w:pPr>
            <w:r>
              <w:rPr>
                <w:rFonts w:ascii="Times New Roman" w:cs="Times New Roman" w:eastAsia="Times New Roman" w:hAnsi="Times New Roman"/>
                <w:sz w:val="17"/>
                <w:szCs w:val="17"/>
                <w:color w:val="auto"/>
              </w:rPr>
              <w:t>Name: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740" w:type="dxa"/>
            <w:vAlign w:val="bottom"/>
          </w:tcPr>
          <w:p>
            <w:pPr>
              <w:spacing w:after="0"/>
              <w:rPr>
                <w:sz w:val="19"/>
                <w:szCs w:val="19"/>
                <w:color w:val="auto"/>
              </w:rPr>
            </w:pPr>
          </w:p>
        </w:tc>
        <w:tc>
          <w:tcPr>
            <w:tcW w:w="3180" w:type="dxa"/>
            <w:vAlign w:val="bottom"/>
            <w:vMerge w:val="continue"/>
          </w:tcPr>
          <w:p>
            <w:pPr>
              <w:spacing w:after="0"/>
              <w:rPr>
                <w:sz w:val="19"/>
                <w:szCs w:val="19"/>
                <w:color w:val="auto"/>
              </w:rPr>
            </w:pP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Daniel Schumacher</w:t>
            </w:r>
          </w:p>
        </w:tc>
        <w:tc>
          <w:tcPr>
            <w:tcW w:w="0" w:type="dxa"/>
            <w:vAlign w:val="bottom"/>
          </w:tcPr>
          <w:p>
            <w:pPr>
              <w:spacing w:after="0"/>
              <w:rPr>
                <w:sz w:val="1"/>
                <w:szCs w:val="1"/>
                <w:color w:val="auto"/>
              </w:rPr>
            </w:pPr>
          </w:p>
        </w:tc>
      </w:tr>
      <w:tr>
        <w:trPr>
          <w:trHeight w:val="261"/>
        </w:trPr>
        <w:tc>
          <w:tcPr>
            <w:tcW w:w="3740" w:type="dxa"/>
            <w:vAlign w:val="bottom"/>
          </w:tcPr>
          <w:p>
            <w:pPr>
              <w:spacing w:after="0"/>
              <w:rPr>
                <w:sz w:val="22"/>
                <w:szCs w:val="22"/>
                <w:color w:val="auto"/>
              </w:rPr>
            </w:pPr>
          </w:p>
        </w:tc>
        <w:tc>
          <w:tcPr>
            <w:tcW w:w="3180" w:type="dxa"/>
            <w:vAlign w:val="bottom"/>
          </w:tcPr>
          <w:p>
            <w:pPr>
              <w:ind w:left="2400"/>
              <w:spacing w:after="0"/>
              <w:rPr>
                <w:sz w:val="20"/>
                <w:szCs w:val="20"/>
                <w:color w:val="auto"/>
              </w:rPr>
            </w:pPr>
            <w:r>
              <w:rPr>
                <w:rFonts w:ascii="Times New Roman" w:cs="Times New Roman" w:eastAsia="Times New Roman" w:hAnsi="Times New Roman"/>
                <w:sz w:val="17"/>
                <w:szCs w:val="17"/>
                <w:color w:val="auto"/>
              </w:rPr>
              <w:t>Title:</w:t>
            </w: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bullet"/>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75" Type="http://schemas.openxmlformats.org/officeDocument/2006/relationships/hyperlink" Target="https://www.sec.gov/Archives/edgar/data/1443669/000119312512054357/d199869dex32.htm" TargetMode="External"/><Relationship Id="rId76" Type="http://schemas.openxmlformats.org/officeDocument/2006/relationships/hyperlink" Target="https://www.sec.gov/Archives/edgar/data/1443669/000143774915010824/ex3-1.htm" TargetMode="External"/><Relationship Id="rId77" Type="http://schemas.openxmlformats.org/officeDocument/2006/relationships/hyperlink" Target="https://www.sec.gov/Archives/edgar/data/1443669/000143774922027471/ex_445136.htm" TargetMode="External"/><Relationship Id="rId78" Type="http://schemas.openxmlformats.org/officeDocument/2006/relationships/hyperlink" Target="https://www.sec.gov/Archives/edgar/data/1443669/000110465925051610/tm2515767d1_ex10-1.htm" TargetMode="External"/><Relationship Id="rId79" Type="http://schemas.openxmlformats.org/officeDocument/2006/relationships/hyperlink" Target="https://www.sec.gov/Archives/edgar/data/1443669/000110465925051610/tm2515767d1_ex10-3.htm" TargetMode="External"/><Relationship Id="rId80" Type="http://schemas.openxmlformats.org/officeDocument/2006/relationships/hyperlink" Target="https://www.sec.gov/Archives/edgar/data/1443669/000110465925054901/tm2516513d1_ex10-2.htm" TargetMode="External"/><Relationship Id="rId81" Type="http://schemas.openxmlformats.org/officeDocument/2006/relationships/hyperlink" Target="https://www.sec.gov/Archives/edgar/data/1443669/000110465925051610/tm2515767d1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2025-07-31T15:38:20Z</dcterms:created>
  <dcterms:modified xsi:type="dcterms:W3CDTF">2025-07-31T15:38:20Z</dcterms:modified>
</cp:coreProperties>
</file>