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ind w:left="380" w:right="1700" w:hanging="372"/>
        <w:spacing w:after="0" w:line="28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5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001-35435</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Proto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4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4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(763) 479-3680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53"/>
        </w:trPr>
        <w:tc>
          <w:tcPr>
            <w:tcW w:w="3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r>
      <w:tr>
        <w:trPr>
          <w:trHeight w:val="190"/>
        </w:trPr>
        <w:tc>
          <w:tcPr>
            <w:tcW w:w="396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93" w:lineRule="exact"/>
              <w:rPr>
                <w:sz w:val="20"/>
                <w:szCs w:val="20"/>
                <w:color w:val="auto"/>
              </w:rPr>
            </w:pPr>
            <w:r>
              <w:rPr>
                <w:rFonts w:ascii="Times New Roman" w:cs="Times New Roman" w:eastAsia="Times New Roman" w:hAnsi="Times New Roman"/>
                <w:sz w:val="18"/>
                <w:szCs w:val="18"/>
                <w:color w:val="auto"/>
              </w:rPr>
              <w:t>PRLB</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left="140" w:right="16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8" w:lineRule="exact"/>
        <w:rPr>
          <w:sz w:val="24"/>
          <w:szCs w:val="24"/>
          <w:color w:val="auto"/>
        </w:rPr>
      </w:pPr>
    </w:p>
    <w:p>
      <w:pPr>
        <w:ind w:left="140" w:right="260" w:firstLine="486"/>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79" w:lineRule="exact"/>
        <w:rPr>
          <w:sz w:val="24"/>
          <w:szCs w:val="24"/>
          <w:color w:val="auto"/>
        </w:rPr>
      </w:pPr>
    </w:p>
    <w:p>
      <w:pPr>
        <w:ind w:left="140" w:right="240" w:firstLine="486"/>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"accelerated filer,"</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"smaller reporting company,"</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and "emerging growth company"</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40" w:right="200"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ind w:left="140" w:right="240" w:firstLine="48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27,503,100 shares of Common Stock, par value $0.001 per share, were outstanding at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916"/>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Proto Labs,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4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7"/>
          </w:tcPr>
          <w:p>
            <w:pPr>
              <w:jc w:val="center"/>
              <w:ind w:right="4020"/>
              <w:spacing w:after="0"/>
              <w:rPr>
                <w:sz w:val="20"/>
                <w:szCs w:val="20"/>
                <w:color w:val="auto"/>
              </w:rPr>
            </w:pPr>
            <w:r>
              <w:rPr>
                <w:rFonts w:ascii="Times New Roman" w:cs="Times New Roman" w:eastAsia="Times New Roman" w:hAnsi="Times New Roman"/>
                <w:sz w:val="18"/>
                <w:szCs w:val="18"/>
                <w:color w:val="0000EE"/>
                <w:w w:val="95"/>
              </w:rPr>
              <w:t>PART I</w:t>
            </w: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40" w:type="dxa"/>
            <w:vAlign w:val="bottom"/>
            <w:tcBorders>
              <w:top w:val="single" w:sz="8" w:color="0000EE"/>
            </w:tcBorders>
            <w:gridSpan w:val="3"/>
          </w:tcPr>
          <w:p>
            <w:pPr>
              <w:spacing w:after="0"/>
              <w:rPr>
                <w:sz w:val="17"/>
                <w:szCs w:val="17"/>
                <w:color w:val="auto"/>
              </w:rPr>
            </w:pPr>
          </w:p>
        </w:tc>
        <w:tc>
          <w:tcPr>
            <w:tcW w:w="4060" w:type="dxa"/>
            <w:vAlign w:val="bottom"/>
            <w:gridSpan w:val="3"/>
          </w:tcPr>
          <w:p>
            <w:pPr>
              <w:spacing w:after="0"/>
              <w:rPr>
                <w:sz w:val="17"/>
                <w:szCs w:val="17"/>
                <w:color w:val="auto"/>
              </w:rPr>
            </w:pPr>
          </w:p>
        </w:tc>
        <w:tc>
          <w:tcPr>
            <w:tcW w:w="840" w:type="dxa"/>
            <w:vAlign w:val="bottom"/>
            <w:gridSpan w:val="5"/>
          </w:tcPr>
          <w:p>
            <w:pPr>
              <w:jc w:val="center"/>
              <w:ind w:left="57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4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80" w:type="dxa"/>
            <w:vAlign w:val="bottom"/>
            <w:gridSpan w:val="6"/>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3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27</w:t>
            </w: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40" w:type="dxa"/>
            <w:vAlign w:val="bottom"/>
            <w:gridSpan w:val="7"/>
          </w:tcPr>
          <w:p>
            <w:pPr>
              <w:jc w:val="center"/>
              <w:ind w:right="4040"/>
              <w:spacing w:after="0" w:line="196" w:lineRule="exact"/>
              <w:rPr>
                <w:sz w:val="20"/>
                <w:szCs w:val="20"/>
                <w:color w:val="auto"/>
              </w:rPr>
            </w:pPr>
            <w:r>
              <w:rPr>
                <w:rFonts w:ascii="Times New Roman" w:cs="Times New Roman" w:eastAsia="Times New Roman" w:hAnsi="Times New Roman"/>
                <w:sz w:val="18"/>
                <w:szCs w:val="18"/>
                <w:color w:val="0000EE"/>
                <w:w w:val="95"/>
              </w:rPr>
              <w:t>PART II</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2700" w:type="dxa"/>
            <w:vAlign w:val="bottom"/>
            <w:gridSpan w:val="4"/>
          </w:tcPr>
          <w:p>
            <w:pPr>
              <w:spacing w:after="0"/>
              <w:rPr>
                <w:sz w:val="17"/>
                <w:szCs w:val="17"/>
                <w:color w:val="auto"/>
              </w:rPr>
            </w:pPr>
          </w:p>
        </w:tc>
        <w:tc>
          <w:tcPr>
            <w:tcW w:w="600" w:type="dxa"/>
            <w:vAlign w:val="bottom"/>
            <w:tcBorders>
              <w:top w:val="single" w:sz="8" w:color="0000EE"/>
            </w:tcBorders>
            <w:gridSpan w:val="5"/>
          </w:tcPr>
          <w:p>
            <w:pPr>
              <w:spacing w:after="0"/>
              <w:rPr>
                <w:sz w:val="17"/>
                <w:szCs w:val="17"/>
                <w:color w:val="auto"/>
              </w:rPr>
            </w:pPr>
          </w:p>
        </w:tc>
        <w:tc>
          <w:tcPr>
            <w:tcW w:w="40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00" w:type="dxa"/>
            <w:vAlign w:val="bottom"/>
            <w:gridSpan w:val="3"/>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1A.</w:t>
            </w: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Pr>
          <w:p>
            <w:pPr>
              <w:spacing w:after="0"/>
              <w:rPr>
                <w:sz w:val="17"/>
                <w:szCs w:val="17"/>
                <w:color w:val="auto"/>
              </w:rPr>
            </w:pPr>
          </w:p>
        </w:tc>
        <w:tc>
          <w:tcPr>
            <w:tcW w:w="634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688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29</w:t>
            </w:r>
          </w:p>
        </w:tc>
      </w:tr>
      <w:tr>
        <w:trPr>
          <w:trHeight w:val="453"/>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gridSpan w:val="10"/>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65,929</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11,580</w:t>
            </w:r>
          </w:p>
        </w:tc>
      </w:tr>
      <w:tr>
        <w:trPr>
          <w:trHeight w:val="198"/>
        </w:trPr>
        <w:tc>
          <w:tcPr>
            <w:tcW w:w="8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$2,130 and $1,948 as of June 30, 2022, and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80,051</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13,161</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11,450</w:t>
            </w:r>
          </w:p>
        </w:tc>
      </w:tr>
      <w:tr>
        <w:trPr>
          <w:trHeight w:val="210"/>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190,676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183,492</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280,346</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400,610</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14,340</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5,578</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4,320</w:t>
            </w:r>
          </w:p>
        </w:tc>
      </w:tr>
      <w:tr>
        <w:trPr>
          <w:trHeight w:val="210"/>
        </w:trPr>
        <w:tc>
          <w:tcPr>
            <w:tcW w:w="8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918,649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928,582</w:t>
            </w: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25,364</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13,704</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11,980</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09"/>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54,896</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2,245</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35,892</w:t>
            </w:r>
          </w:p>
        </w:tc>
      </w:tr>
      <w:tr>
        <w:trPr>
          <w:trHeight w:val="216"/>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w:t>
            </w:r>
          </w:p>
        </w:tc>
      </w:tr>
      <w:tr>
        <w:trPr>
          <w:trHeight w:val="210"/>
        </w:trPr>
        <w:tc>
          <w:tcPr>
            <w:tcW w:w="8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100,089</w:t>
            </w: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8"/>
        </w:trPr>
        <w:tc>
          <w:tcPr>
            <w:tcW w:w="83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 each of</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27,503,100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27,465,945 shares as of June 30, 2022, and December 31, 2021,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475,740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468,548</w:t>
            </w:r>
          </w:p>
        </w:tc>
      </w:tr>
      <w:tr>
        <w:trPr>
          <w:trHeight w:val="216"/>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376,734</w:t>
            </w:r>
          </w:p>
        </w:tc>
      </w:tr>
      <w:tr>
        <w:trPr>
          <w:trHeight w:val="216"/>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09"/>
        </w:trPr>
        <w:tc>
          <w:tcPr>
            <w:tcW w:w="8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820,698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828,493</w:t>
            </w:r>
          </w:p>
        </w:tc>
      </w:tr>
      <w:tr>
        <w:trPr>
          <w:trHeight w:val="250"/>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918,649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928,582</w:t>
            </w:r>
          </w:p>
        </w:tc>
      </w:tr>
      <w:tr>
        <w:trPr>
          <w:trHeight w:val="250"/>
        </w:trPr>
        <w:tc>
          <w:tcPr>
            <w:tcW w:w="8380" w:type="dxa"/>
            <w:vAlign w:val="bottom"/>
            <w:tcBorders>
              <w:top w:val="single" w:sz="8" w:color="CCEEFF"/>
              <w:bottom w:val="single" w:sz="8" w:color="auto"/>
            </w:tcBorders>
          </w:tcPr>
          <w:p>
            <w:pPr>
              <w:spacing w:after="0"/>
              <w:rPr>
                <w:sz w:val="21"/>
                <w:szCs w:val="21"/>
                <w:color w:val="auto"/>
              </w:rPr>
            </w:pPr>
          </w:p>
        </w:tc>
        <w:tc>
          <w:tcPr>
            <w:tcW w:w="6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126,902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251,070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239,174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69,480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127,219</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57,422</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113,226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21,055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21,044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40,524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16,522</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Closure of Japan business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52,221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40,521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100,135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91,590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16,627</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0.60</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income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27,530,739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27,735,732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27,515,583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27,600,684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27,536,823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27,744,870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27,524,019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27,741,464</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(net of tax)</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(11,287)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6"/>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27,465,945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468,548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828,493</w:t>
            </w:r>
          </w:p>
        </w:tc>
        <w:tc>
          <w:tcPr>
            <w:tcW w:w="0" w:type="dxa"/>
            <w:vAlign w:val="bottom"/>
          </w:tcPr>
          <w:p>
            <w:pPr>
              <w:spacing w:after="0"/>
              <w:rPr>
                <w:sz w:val="1"/>
                <w:szCs w:val="1"/>
                <w:color w:val="auto"/>
              </w:rPr>
            </w:pPr>
          </w:p>
        </w:tc>
      </w:tr>
      <w:tr>
        <w:trPr>
          <w:trHeight w:val="198"/>
        </w:trPr>
        <w:tc>
          <w:tcPr>
            <w:tcW w:w="4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shares withheld for tax obligations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27,716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198"/>
        </w:trPr>
        <w:tc>
          <w:tcPr>
            <w:tcW w:w="47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investments in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27,493,661</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472,483</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381,829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832,035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20" w:type="dxa"/>
            <w:vAlign w:val="bottom"/>
            <w:tcBorders>
              <w:right w:val="single" w:sz="8" w:color="CCEEFF"/>
            </w:tcBorders>
            <w:shd w:val="clear" w:color="auto" w:fill="CCEEFF"/>
          </w:tcPr>
          <w:p>
            <w:pPr>
              <w:ind w:left="180"/>
              <w:spacing w:after="0" w:line="178"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shares withheld for tax obligations</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122,705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0" w:type="dxa"/>
            <w:vAlign w:val="bottom"/>
          </w:tcPr>
          <w:p>
            <w:pPr>
              <w:spacing w:after="0"/>
              <w:rPr>
                <w:sz w:val="1"/>
                <w:szCs w:val="1"/>
                <w:color w:val="auto"/>
              </w:rPr>
            </w:pPr>
          </w:p>
        </w:tc>
      </w:tr>
      <w:tr>
        <w:trPr>
          <w:trHeight w:val="198"/>
        </w:trPr>
        <w:tc>
          <w:tcPr>
            <w:tcW w:w="4720" w:type="dxa"/>
            <w:vAlign w:val="bottom"/>
            <w:tcBorders>
              <w:right w:val="single" w:sz="8" w:color="CCEEFF"/>
            </w:tcBorders>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investments in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1"/>
        </w:trPr>
        <w:tc>
          <w:tcPr>
            <w:tcW w:w="47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0" w:type="dxa"/>
            <w:vAlign w:val="bottom"/>
          </w:tcPr>
          <w:p>
            <w:pPr>
              <w:spacing w:after="0"/>
              <w:rPr>
                <w:sz w:val="1"/>
                <w:szCs w:val="1"/>
                <w:color w:val="auto"/>
              </w:rPr>
            </w:pPr>
          </w:p>
        </w:tc>
      </w:tr>
      <w:tr>
        <w:trPr>
          <w:trHeight w:val="230"/>
        </w:trPr>
        <w:tc>
          <w:tcPr>
            <w:tcW w:w="4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27,503,100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475,740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381,079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820,698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6"/>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88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26,776,796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644,356</w:t>
            </w:r>
          </w:p>
        </w:tc>
        <w:tc>
          <w:tcPr>
            <w:tcW w:w="0" w:type="dxa"/>
            <w:vAlign w:val="bottom"/>
          </w:tcPr>
          <w:p>
            <w:pPr>
              <w:spacing w:after="0"/>
              <w:rPr>
                <w:sz w:val="1"/>
                <w:szCs w:val="1"/>
                <w:color w:val="auto"/>
              </w:rPr>
            </w:pPr>
          </w:p>
        </w:tc>
      </w:tr>
      <w:tr>
        <w:trPr>
          <w:trHeight w:val="198"/>
        </w:trPr>
        <w:tc>
          <w:tcPr>
            <w:tcW w:w="4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Common shares issued on exercise of options and other, net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withheld for tax obligations</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48,955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issued for Hubs acquisition</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863,995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166,709</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50"/>
        </w:trPr>
        <w:tc>
          <w:tcPr>
            <w:tcW w:w="4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27,689,746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28</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456,886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366,613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813,431</w:t>
            </w:r>
          </w:p>
        </w:tc>
        <w:tc>
          <w:tcPr>
            <w:tcW w:w="0" w:type="dxa"/>
            <w:vAlign w:val="bottom"/>
          </w:tcPr>
          <w:p>
            <w:pPr>
              <w:spacing w:after="0"/>
              <w:rPr>
                <w:sz w:val="1"/>
                <w:szCs w:val="1"/>
                <w:color w:val="auto"/>
              </w:rPr>
            </w:pPr>
          </w:p>
        </w:tc>
      </w:tr>
      <w:tr>
        <w:trPr>
          <w:trHeight w:val="178"/>
        </w:trPr>
        <w:tc>
          <w:tcPr>
            <w:tcW w:w="4720" w:type="dxa"/>
            <w:vAlign w:val="bottom"/>
            <w:tcBorders>
              <w:top w:val="single" w:sz="8" w:color="CCEEFF"/>
            </w:tcBorders>
          </w:tcPr>
          <w:p>
            <w:pPr>
              <w:ind w:left="180"/>
              <w:spacing w:after="0" w:line="178" w:lineRule="exact"/>
              <w:rPr>
                <w:sz w:val="20"/>
                <w:szCs w:val="20"/>
                <w:color w:val="auto"/>
              </w:rPr>
            </w:pPr>
            <w:r>
              <w:rPr>
                <w:rFonts w:ascii="Times New Roman" w:cs="Times New Roman" w:eastAsia="Times New Roman" w:hAnsi="Times New Roman"/>
                <w:sz w:val="18"/>
                <w:szCs w:val="18"/>
                <w:color w:val="auto"/>
                <w:w w:val="99"/>
              </w:rPr>
              <w:t>Common shares issued on exercise of options and other, net of</w:t>
            </w: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withheld for tax obligations</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85,317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4,941</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14,896</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27,761,063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28</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461,597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378,467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831,977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538"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38"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r>
      <w:tr>
        <w:trPr>
          <w:trHeight w:val="209"/>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16,627</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20,127</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10,561</w:t>
            </w: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Impairments related to closure of Japan business</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w:t>
            </w:r>
          </w:p>
        </w:tc>
      </w:tr>
      <w:tr>
        <w:trPr>
          <w:trHeight w:val="216"/>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r>
      <w:tr>
        <w:trPr>
          <w:trHeight w:val="216"/>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16"/>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5,011</w:t>
            </w:r>
          </w:p>
        </w:tc>
      </w:tr>
      <w:tr>
        <w:trPr>
          <w:trHeight w:val="216"/>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0"/>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31,040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20,729</w:t>
            </w:r>
          </w:p>
        </w:tc>
      </w:tr>
      <w:tr>
        <w:trPr>
          <w:trHeight w:val="209"/>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(23,929)</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acquisitions, net of cash acquired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(127,413)</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47,694</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call redemptions and maturities of marketable securities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13,725</w:t>
            </w:r>
          </w:p>
        </w:tc>
      </w:tr>
      <w:tr>
        <w:trPr>
          <w:trHeight w:val="209"/>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(105,082)</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16"/>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09"/>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(85,694)</w:t>
            </w:r>
          </w:p>
        </w:tc>
      </w:tr>
      <w:tr>
        <w:trPr>
          <w:trHeight w:val="21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65,929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127,603</w:t>
            </w: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54,666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41,909</w:t>
            </w:r>
          </w:p>
        </w:tc>
      </w:tr>
      <w:tr>
        <w:trPr>
          <w:trHeight w:val="20"/>
        </w:trPr>
        <w:tc>
          <w:tcPr>
            <w:tcW w:w="8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2021, as filed with the Securities and Exchange Commission (SEC) on February 18, 2022.</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accompanying Consolidated Balance Sheet as of December 31, 2021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Annual Report on Form 10-K filed on February 18, 2022 as referenced above.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27, 2022, the Company's board of directors approved a plan for the closure of the Company's manufacturing facility in Japan and announced an intention to cease operations in the region. Affected employees in Japan will receive severance and other transition assistance that meet or exceed local requirements. The Company expects to substantially complete the closure plan within the next year. The Company's decision to close the Japan business resulted in $5.2 million in operating expenses during the three and six months ended June 30, 2022. Operating expenses included $2.2 million of employee severance, $1.2 million related to the write-down of fixed assets, $0.9 million of facility-related charges, $0.6 million in goodwill impairment charges and $0.3 million in other closure related charges for the three and six months ended June 30, 2022.</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recently adopt any accounting pronouncements that had a material impact on the Company's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pending accounting pronouncements that are expected to have a material impact on the Company's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Income per Common Share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For the three and six months ended June 30, 2022, 220,776 and 208,840 anti-dilutive options were excluded from the calculation of diluted weighted average shares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7,652</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27,530,739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27,735,732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27,515,583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140,780</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27,536,823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27,744,870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27,524,019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27,741,464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4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3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22, 2021, the Company acquired all of the outstanding shares of 3D Hubs, Inc. (Hubs), for $294.1 million, consisting of $127.4 million in cash and 863,995 shares of the Company's common stock valued at $166.7 million on the closing date. The purchase agreement included additional contingent consideration of up to $52.8 million subject to the achievement of performance-based targets during fiscal 2021 and fiscal 2022. The contingent consideration consisted of up to $25.0 million in cash and up to 143,983 shares of the Company's common stock valued at $27.8 million on the closing date. The Company initially recorded a liability of $13.6 million related to the contingent consideration, which was subsequently reversed when it was determined the performance based targets would not be met in 2021 and the expectation that those targets would not be met in fiscal 2022. The reversal of the contingent consideration was recorded as a decrease in general and administrative expense in the Consolidated Statements of Comprehensive Income.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consideration paid for this acquisition has been allocated to the assets purchased and liabilities assumed based on their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w:t>
      </w:r>
    </w:p>
    <w:p>
      <w:pPr>
        <w:spacing w:after="0" w:line="178"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final purchase price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44450</wp:posOffset>
            </wp:positionV>
            <wp:extent cx="6772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280,925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315,331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contingent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Equity portion of purchase price</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920" w:type="dxa"/>
            <w:vAlign w:val="bottom"/>
            <w:tcBorders>
              <w:top w:val="single" w:sz="8" w:color="CCEEFF"/>
              <w:bottom w:val="single" w:sz="8" w:color="auto"/>
            </w:tcBorders>
          </w:tcPr>
          <w:p>
            <w:pPr>
              <w:spacing w:after="0"/>
              <w:rPr>
                <w:sz w:val="17"/>
                <w:szCs w:val="17"/>
                <w:color w:val="auto"/>
              </w:rPr>
            </w:pPr>
          </w:p>
        </w:tc>
        <w:tc>
          <w:tcPr>
            <w:tcW w:w="514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14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six months ended June 30,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222885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400,610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written off during the period</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r>
      <w:tr>
        <w:trPr>
          <w:trHeight w:val="249"/>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Goodwill of $0.6 million was written off as of June 30, 2022, as a result of the Company's decision to close the Japan manufacturing facility and exit the Japan market. The Japan business was in operations through the second quarter of 2022 and the assets are expected to be available for sale during the second half of 2022. Goodwill has been allocated to the acquired Hubs entities consisting of goodwill of €106.5 million in Europe and $151.3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at June 30, 2022 and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2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Intangible assets with finite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lives:</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Marketing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2.0 - 5.0</w:t>
            </w:r>
          </w:p>
        </w:tc>
        <w:tc>
          <w:tcPr>
            <w:tcW w:w="6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platform</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24,463</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4,379</w:t>
            </w: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3.0 - 9.0</w:t>
            </w:r>
          </w:p>
        </w:tc>
        <w:tc>
          <w:tcPr>
            <w:tcW w:w="68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53,278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34,026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54,337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Intangible assets have been allocated to the acquired Hubs entities consisting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$2.0 and $0.9 million as of June 30, 2022 and December 31, 2021, respectively. Amortization expense for intangible assets was $1.5 million for each of the three months ended June 30, 2022 and 2021, and $3.1 million and $3.0 million for the six months ended June 30, 2022 and 2021, respectively.</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182880</wp:posOffset>
            </wp:positionV>
            <wp:extent cx="6412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5,855</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3,706</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14,320</w:t>
            </w:r>
          </w:p>
        </w:tc>
      </w:tr>
      <w:tr>
        <w:trPr>
          <w:trHeight w:val="249"/>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34,026</w:t>
            </w: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20"/>
          </w:cols>
          <w:pgMar w:left="320" w:top="121" w:right="259" w:bottom="943" w:gutter="0" w:footer="0" w:header="0"/>
        </w:sectPr>
      </w:pPr>
    </w:p>
    <w:p>
      <w:pPr>
        <w:spacing w:after="0" w:line="1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943"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Held for Sale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Assets are classified as held for sale and presented separately on the Consolidated Balance Sheet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The assets are then recorded at the lower of their current carrying value or the fair market value, less costs to sell.</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a facility the Company owns in Maple Plain, Minnesota, encompassing approximately 35,000 square feet of manufacturing and office space, met the criteria to be held for sale. The assets held for sale were $2.0 million as of June 30, 2022 and are presented on the Company's Consolidated Balance Sheet as Long-term assets held for sale. The assets held for sale had no impact on the Company’s Consolidated Statements of Operations during the three or six months ended June 30,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w:t>
      </w:r>
      <w:r>
        <w:rPr>
          <w:rFonts w:ascii="Times New Roman" w:cs="Times New Roman" w:eastAsia="Times New Roman" w:hAnsi="Times New Roman"/>
          <w:sz w:val="18"/>
          <w:szCs w:val="18"/>
          <w:i w:val="1"/>
          <w:iCs w:val="1"/>
          <w:color w:val="auto"/>
        </w:rPr>
        <w:t>Fair Value Measuremen</w:t>
      </w:r>
      <w:r>
        <w:rPr>
          <w:rFonts w:ascii="Times New Roman" w:cs="Times New Roman" w:eastAsia="Times New Roman" w:hAnsi="Times New Roman"/>
          <w:sz w:val="18"/>
          <w:szCs w:val="18"/>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3—Unobservable inputs that are supported by little or no market activity and that are significant to the fair value of the assets or liabilities.</w:t>
      </w: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or disclosed at fair value on a recurring basis include cash and cash equivalents and marketable securities. The Company’s cash consists of bank deposits.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assets as of June 30, 2022 and December 31, 2021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20"/>
                <w:szCs w:val="20"/>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44,886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65,637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mutual fund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39,596</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18,318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70,517</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39,596</w:t>
            </w:r>
          </w:p>
        </w:tc>
        <w:tc>
          <w:tcPr>
            <w:tcW w:w="860" w:type="dxa"/>
            <w:vAlign w:val="bottom"/>
            <w:tcBorders>
              <w:bottom w:val="single" w:sz="8" w:color="auto"/>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73,531</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18,318</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Marketable Securities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191770</wp:posOffset>
            </wp:positionV>
            <wp:extent cx="6412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21,931</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2,988</w:t>
            </w:r>
          </w:p>
        </w:tc>
      </w:tr>
      <w:tr>
        <w:trPr>
          <w:trHeight w:val="20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55,447</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2"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240030</wp:posOffset>
            </wp:positionV>
            <wp:extent cx="6412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of marketable securities as current or non-current is based upon the security’s maturity date as of the date of these financial statements.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June 30, 2022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182880</wp:posOffset>
            </wp:positionV>
            <wp:extent cx="5709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20" w:type="dxa"/>
            <w:vAlign w:val="bottom"/>
          </w:tcPr>
          <w:p>
            <w:pPr>
              <w:spacing w:after="0"/>
              <w:rPr>
                <w:sz w:val="18"/>
                <w:szCs w:val="18"/>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55,447</w:t>
            </w:r>
          </w:p>
        </w:tc>
        <w:tc>
          <w:tcPr>
            <w:tcW w:w="20" w:type="dxa"/>
            <w:vAlign w:val="bottom"/>
          </w:tcPr>
          <w:p>
            <w:pPr>
              <w:spacing w:after="0"/>
              <w:rPr>
                <w:sz w:val="21"/>
                <w:szCs w:val="21"/>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222885</wp:posOffset>
            </wp:positionV>
            <wp:extent cx="5709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3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20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4"/>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Company’s 2012 Long-Term Incentive Plan, as amended (the 2012 Plan), the Company had the ability to grant stock options, stock appreciation rights (SARs), restricted stock, restricted stock units, other stock-based awards and cash incentive awards through February 23, 2022. On July 8, 2022, the board of directors approved the Proto Labs, Inc. 2022 Long-Term Incentive Plan (the 2022 Plan), which will take effect on August 29, 2022 subject to approval by the Company's shareholders at our previously noticed Special Meeting of Shareholders on August 29, 2022. No awards have been granted since February 23, 2022 or will be granted under the 2012 Plan until a new long-term incentive plan is approved by shareholders.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$4.0 million and $4.9 million for the three months ended June 30, 2022 and 2021, respectively, and $8.4 and $10.6 million for the six months ended June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90.61</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84.92</w:t>
            </w: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at June 30,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220,776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92.28</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113,652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92.57</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outstanding options generally have a term of ten years. For employees, options granted become exercisable ratably over the vesting period, which is generally a period of four to five years, beginning on the first anniversary of the grant date, subject to the employee’s continuing service to the Company. For the board of directors, options generally become exercisable in full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options that were granted during the six months ended June 30, 2022 was $27.84.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the Black-Scholes pricing model valuation of options during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114300</wp:posOffset>
            </wp:positionV>
            <wp:extent cx="64122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67"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 - 1.12%</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45.95%</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45.28 - 45.35%</w:t>
            </w: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125730</wp:posOffset>
            </wp:positionV>
            <wp:extent cx="6412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2022, there was $4.0 million of unrecognized compensation expense related to unvested stock options, which is expected to be recognized over a weighted-average period of 2.7 years.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Restricted stock awards are share-settled awards and restrictions lapse ratably over the vesting period, which is generally a period from three to five years, beginning on the first anniversary of the grant date, subject to the employee's continuing service to the Company. For the board of directors, restrictions generally lapse in full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Restricted stock at December 31, 2021</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Restrictions lapsed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Restricted stock at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6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343,782</w:t>
            </w:r>
          </w:p>
        </w:tc>
        <w:tc>
          <w:tcPr>
            <w:tcW w:w="1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105.06</w:t>
            </w:r>
          </w:p>
        </w:tc>
      </w:tr>
      <w:tr>
        <w:trPr>
          <w:trHeight w:val="234"/>
        </w:trPr>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107.48</w:t>
            </w:r>
          </w:p>
        </w:tc>
      </w:tr>
      <w:tr>
        <w:trPr>
          <w:trHeight w:val="209"/>
        </w:trPr>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236,435</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105.90</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-719455</wp:posOffset>
            </wp:positionV>
            <wp:extent cx="67722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-445135</wp:posOffset>
            </wp:positionV>
            <wp:extent cx="67722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-162560</wp:posOffset>
            </wp:positionV>
            <wp:extent cx="67722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137160</wp:posOffset>
            </wp:positionV>
            <wp:extent cx="6772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460"/>
          </w:cols>
          <w:pgMar w:left="320" w:top="121" w:right="459" w:bottom="1440" w:gutter="0" w:footer="0" w:header="0"/>
          <w:type w:val="continuous"/>
        </w:sectPr>
      </w:pP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June 30, 2022, there was $18.8 million of unrecognized compensation expense related to non-vested restricted stock, which is expected to be recognized over a weighted-average period of 2.3 years.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2022 and certain PSUs granted in 2021 are based on market conditions and the related compensation cost is based on the fair value at grant date calculated using a Monte Carlo pricing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during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at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Restrictions lapsed</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change</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121.79</w:t>
            </w:r>
          </w:p>
        </w:tc>
      </w:tr>
      <w:tr>
        <w:trPr>
          <w:trHeight w:val="20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stock at June 30,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113.25</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left="140" w:right="360" w:hanging="161"/>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the Monte Carlo pricing model valuation of PSUs during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182880</wp:posOffset>
            </wp:positionV>
            <wp:extent cx="6772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3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1.76%</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0.22%</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2.87</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53.50%</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51.40%</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125730</wp:posOffset>
            </wp:positionV>
            <wp:extent cx="6772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June 30, 2022, there was $3.0 million of unrecognized compensation expense related to non-vested performance stock, which is expected to be recognized over a weighted-average period of 2.5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80" w:type="dxa"/>
            <w:vAlign w:val="bottom"/>
            <w:gridSpan w:val="2"/>
            <w:shd w:val="clear" w:color="auto" w:fill="CCEEFF"/>
          </w:tcPr>
          <w:p>
            <w:pPr>
              <w:jc w:val="center"/>
              <w:ind w:left="3790"/>
              <w:spacing w:after="0"/>
              <w:rPr>
                <w:sz w:val="20"/>
                <w:szCs w:val="20"/>
                <w:color w:val="auto"/>
              </w:rPr>
            </w:pPr>
            <w:r>
              <w:rPr>
                <w:rFonts w:ascii="Times New Roman" w:cs="Times New Roman" w:eastAsia="Times New Roman" w:hAnsi="Times New Roman"/>
                <w:sz w:val="18"/>
                <w:szCs w:val="18"/>
                <w:color w:val="auto"/>
                <w:w w:val="98"/>
              </w:rPr>
              <w:t>0.17 - 2.06%</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0.06 - 0.12%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(months)</w:t>
            </w:r>
          </w:p>
        </w:tc>
        <w:tc>
          <w:tcPr>
            <w:tcW w:w="5480" w:type="dxa"/>
            <w:vAlign w:val="bottom"/>
            <w:gridSpan w:val="2"/>
          </w:tcPr>
          <w:p>
            <w:pPr>
              <w:jc w:val="center"/>
              <w:ind w:left="3790"/>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80" w:type="dxa"/>
            <w:vAlign w:val="bottom"/>
            <w:gridSpan w:val="2"/>
            <w:shd w:val="clear" w:color="auto" w:fill="CCEEFF"/>
          </w:tcPr>
          <w:p>
            <w:pPr>
              <w:jc w:val="center"/>
              <w:ind w:left="3790"/>
              <w:spacing w:after="0"/>
              <w:rPr>
                <w:sz w:val="20"/>
                <w:szCs w:val="20"/>
                <w:color w:val="auto"/>
              </w:rPr>
            </w:pPr>
            <w:r>
              <w:rPr>
                <w:rFonts w:ascii="Times New Roman" w:cs="Times New Roman" w:eastAsia="Times New Roman" w:hAnsi="Times New Roman"/>
                <w:sz w:val="18"/>
                <w:szCs w:val="18"/>
                <w:color w:val="auto"/>
              </w:rPr>
              <w:t>47.05 - 53.44%</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50.85 - 65.53%</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80" w:type="dxa"/>
            <w:vAlign w:val="bottom"/>
            <w:gridSpan w:val="2"/>
          </w:tcPr>
          <w:p>
            <w:pPr>
              <w:jc w:val="center"/>
              <w:ind w:left="3790"/>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c>
          <w:tcPr>
            <w:tcW w:w="280" w:type="dxa"/>
            <w:vAlign w:val="bottom"/>
          </w:tcPr>
          <w:p>
            <w:pPr>
              <w:spacing w:after="0"/>
              <w:rPr>
                <w:sz w:val="20"/>
                <w:szCs w:val="20"/>
                <w:color w:val="auto"/>
              </w:rPr>
            </w:pPr>
          </w:p>
        </w:tc>
      </w:tr>
      <w:tr>
        <w:trPr>
          <w:trHeight w:val="198"/>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Accumulated Other Comprehensive Income (Loss)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is comprised of foreign currency translation adjustments and net unrealized gains (losses) on investments in securities. The following table presents the changes in accumulated other comprehensive income (loss) balances during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Net unrealized gains (losses) on investments in securities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three months ended June 30, 2022 and 2021, the Company recorded an income tax provision of $2.6 million and $3.3 million, respectively. For the six months ended June 30, 2022 and 2021, the Company recorded an income tax provision of $5.1 million and $3.6 million, respectively. The income tax provision is based on the estimated annual effective tax rate for the year applied to pre-tax income. The effective income tax rate for the three months ended June 30, 2022 was 50.8 percent compared to 20.5 percent in the same period of the prior year. The effective tax rate increased by 30.3 percent for the three months ended June 30, 2022 when compared to the same period in 2021, primarily due to a decrease in tax benefits from the vesting of restricted stock and the exercise of stock options, as well as an increase in losses in jurisdictions, primarily Japan, that are not eligible for tax benefits due to valuation allowances. The effective income tax rate for the six months ended June 30, 2022 was 40.2 percent compared to 17.6 percent in the same period of the prior year. The effective tax rate increased by 22.6 percent for the six months ended June 30, 2022 when compared to the same period in 2021, primarily due to a decrease in tax benefits from the vesting of restricted stock and the exercise of stock options, as well as an increase in losses in jurisdictions, primarily Japan, that are not eligible for tax benefits due to valuation allowances.</w:t>
      </w:r>
    </w:p>
    <w:p>
      <w:pPr>
        <w:spacing w:after="0" w:line="1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2022 differs from the U.S. federal statutory rate of 21.0 percent due to various factors, including operating in multiple state and foreign jurisdictions and tax credits for which the Company qualifies.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totaling $4.3 million as of June 30, 2022 and $4.4 million as of December 31, 2021,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income from operations by reportable segment for the three and six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100,655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196,151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186,397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46,104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6,673</w:t>
            </w:r>
          </w:p>
        </w:tc>
      </w:tr>
      <w:tr>
        <w:trPr>
          <w:trHeight w:val="249"/>
        </w:trPr>
        <w:tc>
          <w:tcPr>
            <w:tcW w:w="300" w:type="dxa"/>
            <w:vAlign w:val="bottom"/>
            <w:shd w:val="clear" w:color="auto" w:fill="CCEEFF"/>
          </w:tcPr>
          <w:p>
            <w:pPr>
              <w:spacing w:after="0"/>
              <w:rPr>
                <w:sz w:val="21"/>
                <w:szCs w:val="21"/>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126,902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251,070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239,174</w:t>
            </w:r>
          </w:p>
        </w:tc>
      </w:tr>
      <w:tr>
        <w:trPr>
          <w:trHeight w:val="251"/>
        </w:trPr>
        <w:tc>
          <w:tcPr>
            <w:tcW w:w="300" w:type="dxa"/>
            <w:vAlign w:val="bottom"/>
            <w:tcBorders>
              <w:top w:val="single" w:sz="8" w:color="CCEEFF"/>
              <w:bottom w:val="single" w:sz="8" w:color="auto"/>
            </w:tcBorders>
          </w:tcPr>
          <w:p>
            <w:pPr>
              <w:spacing w:after="0"/>
              <w:rPr>
                <w:sz w:val="21"/>
                <w:szCs w:val="21"/>
                <w:color w:val="auto"/>
              </w:rPr>
            </w:pPr>
          </w:p>
        </w:tc>
        <w:tc>
          <w:tcPr>
            <w:tcW w:w="568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5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26,168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48,691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48,783</w:t>
            </w:r>
          </w:p>
        </w:tc>
      </w:tr>
      <w:tr>
        <w:trPr>
          <w:trHeight w:val="216"/>
        </w:trPr>
        <w:tc>
          <w:tcPr>
            <w:tcW w:w="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r>
      <w:tr>
        <w:trPr>
          <w:trHeight w:val="216"/>
        </w:trPr>
        <w:tc>
          <w:tcPr>
            <w:tcW w:w="3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Corporate Unallocated and Japan</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(32,110)</w:t>
            </w:r>
          </w:p>
        </w:tc>
      </w:tr>
      <w:tr>
        <w:trPr>
          <w:trHeight w:val="250"/>
        </w:trPr>
        <w:tc>
          <w:tcPr>
            <w:tcW w:w="300" w:type="dxa"/>
            <w:vAlign w:val="bottom"/>
          </w:tcPr>
          <w:p>
            <w:pPr>
              <w:spacing w:after="0"/>
              <w:rPr>
                <w:sz w:val="21"/>
                <w:szCs w:val="21"/>
                <w:color w:val="auto"/>
              </w:rPr>
            </w:pPr>
          </w:p>
        </w:tc>
        <w:tc>
          <w:tcPr>
            <w:tcW w:w="3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20,365</w:t>
            </w:r>
          </w:p>
        </w:tc>
      </w:tr>
      <w:tr>
        <w:trPr>
          <w:trHeight w:val="197"/>
        </w:trPr>
        <w:tc>
          <w:tcPr>
            <w:tcW w:w="300" w:type="dxa"/>
            <w:vAlign w:val="bottom"/>
          </w:tcPr>
          <w:p>
            <w:pPr>
              <w:spacing w:after="0"/>
              <w:rPr>
                <w:sz w:val="17"/>
                <w:szCs w:val="17"/>
                <w:color w:val="auto"/>
              </w:rPr>
            </w:pPr>
          </w:p>
        </w:tc>
        <w:tc>
          <w:tcPr>
            <w:tcW w:w="5220" w:type="dxa"/>
            <w:vAlign w:val="bottom"/>
            <w:tcBorders>
              <w:top w:val="single" w:sz="8" w:color="CCEEFF"/>
              <w:bottom w:val="single" w:sz="8" w:color="auto"/>
            </w:tcBorders>
            <w:gridSpan w:val="2"/>
          </w:tcPr>
          <w:p>
            <w:pPr>
              <w:spacing w:after="0"/>
              <w:rPr>
                <w:sz w:val="17"/>
                <w:szCs w:val="17"/>
                <w:color w:val="auto"/>
              </w:rPr>
            </w:pPr>
          </w:p>
        </w:tc>
        <w:tc>
          <w:tcPr>
            <w:tcW w:w="1300" w:type="dxa"/>
            <w:vAlign w:val="bottom"/>
            <w:tcBorders>
              <w:top w:val="single" w:sz="8" w:color="auto"/>
              <w:bottom w:val="single" w:sz="8" w:color="auto"/>
            </w:tcBorders>
            <w:gridSpan w:val="2"/>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r>
      <w:tr>
        <w:trPr>
          <w:trHeight w:val="425"/>
        </w:trPr>
        <w:tc>
          <w:tcPr>
            <w:tcW w:w="6820" w:type="dxa"/>
            <w:vAlign w:val="bottom"/>
            <w:gridSpan w:val="5"/>
          </w:tcPr>
          <w:p>
            <w:pPr>
              <w:jc w:val="right"/>
              <w:ind w:right="850"/>
              <w:spacing w:after="0"/>
              <w:rPr>
                <w:sz w:val="20"/>
                <w:szCs w:val="20"/>
                <w:color w:val="auto"/>
              </w:rPr>
            </w:pPr>
            <w:r>
              <w:rPr>
                <w:rFonts w:ascii="Times New Roman" w:cs="Times New Roman" w:eastAsia="Times New Roman" w:hAnsi="Times New Roman"/>
                <w:sz w:val="18"/>
                <w:szCs w:val="18"/>
                <w:color w:val="auto"/>
              </w:rPr>
              <w:t>Total long-lived assets at June 30, 2022 and December 31, 2021 were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137160</wp:posOffset>
            </wp:positionV>
            <wp:extent cx="57092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215,701</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w:t>
            </w:r>
          </w:p>
        </w:tc>
        <w:tc>
          <w:tcPr>
            <w:tcW w:w="20" w:type="dxa"/>
            <w:vAlign w:val="bottom"/>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0" w:type="dxa"/>
            <w:vAlign w:val="bottom"/>
          </w:tcPr>
          <w:p>
            <w:pPr>
              <w:spacing w:after="0"/>
              <w:rPr>
                <w:sz w:val="18"/>
                <w:szCs w:val="18"/>
                <w:color w:val="auto"/>
              </w:rPr>
            </w:pPr>
          </w:p>
        </w:tc>
      </w:tr>
      <w:tr>
        <w:trPr>
          <w:trHeight w:val="250"/>
        </w:trPr>
        <w:tc>
          <w:tcPr>
            <w:tcW w:w="5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Long-lived Assets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280,346</w:t>
            </w:r>
          </w:p>
        </w:tc>
        <w:tc>
          <w:tcPr>
            <w:tcW w:w="20" w:type="dxa"/>
            <w:vAlign w:val="bottom"/>
          </w:tcPr>
          <w:p>
            <w:pPr>
              <w:spacing w:after="0"/>
              <w:rPr>
                <w:sz w:val="21"/>
                <w:szCs w:val="21"/>
                <w:color w:val="auto"/>
              </w:rPr>
            </w:pPr>
          </w:p>
        </w:tc>
      </w:tr>
      <w:tr>
        <w:trPr>
          <w:trHeight w:val="197"/>
        </w:trPr>
        <w:tc>
          <w:tcPr>
            <w:tcW w:w="57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decision to exit Japan resulted in a $1.2 million impairment of fixed assets during the three and six months ended June 30, 2022. The Japan business was in operations through the second quarter of 2022 and the fixed assets are expected to be available for sale during the second half of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for the three and six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Injection Molding</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53,355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106,753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CNC Machining</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48,222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94,320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3D Printing</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Sheet Metal</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126,902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251,070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239,174</w:t>
            </w:r>
          </w:p>
        </w:tc>
      </w:tr>
      <w:tr>
        <w:trPr>
          <w:trHeight w:val="251"/>
        </w:trPr>
        <w:tc>
          <w:tcPr>
            <w:tcW w:w="598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01"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01"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For most of our offerings,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May 27, 2022, our board of directors approved a plan for the closure of our manufacturing facility in Japan and announced an intention to cease operations in the region. Affected employees in Japan will receive severance and other transition assistance that meet or exceed local requirements. We expect to substantially complete the closure plan within the next year. Our decision to close the Japan business resulted in $5.2 million in operating expenses during the three and six months ended June 30, 2022. Operating expenses included $2.2 million of employee severance, $1.2 million related to the write-down of fixed assets, $0.9 million of facility-related charges, $0.6 million in goodwill impairment charges and $0.3 million in other closure related charges for the three and six months ended June 30, 2022.</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Injection Molding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CNC Machining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ectPr>
          <w:pgSz w:w="11900" w:h="16838" w:orient="portrait"/>
          <w:cols w:equalWidth="0" w:num="1">
            <w:col w:w="11220"/>
          </w:cols>
          <w:pgMar w:left="320" w:top="121" w:right="359" w:bottom="771"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77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3D Printing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Sheet Metal</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gaining new customers and selling to our existing customer base by increasing marketing and selling activities, including:</w:t>
      </w:r>
    </w:p>
    <w:p>
      <w:pPr>
        <w:spacing w:after="0" w:line="183"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2015;</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Manufacturing Group, LLC in 2017;</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on-demand access to a global network of premium manufacturing partners through our acquisition of Hubs in 2021.</w:t>
      </w:r>
    </w:p>
    <w:p>
      <w:pPr>
        <w:spacing w:after="0" w:line="22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During the three months ended June 30, 2022, we served 24,058 unique product developers and engineers who purchased our products through our web-based customer interface, an increase of 3.4% over the same period in 2021. During the six months ended June 30, 2022, we served 36,878 unique product developers and engineers who purchased our products through our web-based customer interface, an increase of 5.2% over the same period in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benefits,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launch of our Protolabs 2.0 project, an internal business systems initiative impacting both external customer-facing and internal back-end systems, in the United States in the first quarter of 2021, and our acquisition of Hubs in January 2021, led to higher operating expenses in the first six months of 2021. 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interface technology, internal software and supporting business systems, and continue to expand our product lines.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80"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Closure of Japan business expense is driven by our decision to close the Japan manufacturing facility and exit the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The expenses consist primarily of operating expense, including employee severance, write-down of fixed assets, facility-related charges and goodwill impairment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Other income (loss),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Overall, our effective tax rate for 2022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540" w:type="dxa"/>
            <w:vAlign w:val="bottom"/>
            <w:gridSpan w:val="2"/>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126,902</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123,048</w:t>
            </w: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6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  3,854</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9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$ 251,070</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239,174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7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$11,896</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69,480</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66,423</w:t>
            </w:r>
          </w:p>
        </w:tc>
        <w:tc>
          <w:tcPr>
            <w:tcW w:w="10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6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3,057</w:t>
            </w:r>
          </w:p>
        </w:tc>
        <w:tc>
          <w:tcPr>
            <w:tcW w:w="240" w:type="dxa"/>
            <w:vAlign w:val="bottom"/>
          </w:tcPr>
          <w:p>
            <w:pPr>
              <w:spacing w:after="0"/>
              <w:rPr>
                <w:sz w:val="12"/>
                <w:szCs w:val="12"/>
                <w:color w:val="auto"/>
              </w:rPr>
            </w:pPr>
          </w:p>
        </w:tc>
        <w:tc>
          <w:tcPr>
            <w:tcW w:w="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137,844</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127,219</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10,625</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57,422</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56,625</w:t>
            </w: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46.0</w:t>
            </w:r>
          </w:p>
        </w:tc>
        <w:tc>
          <w:tcPr>
            <w:tcW w:w="6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797</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9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113,226</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111,955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46.8</w:t>
            </w:r>
          </w:p>
        </w:tc>
        <w:tc>
          <w:tcPr>
            <w:tcW w:w="7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1,271</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Marketing and sales</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21,055</w:t>
            </w:r>
          </w:p>
        </w:tc>
        <w:tc>
          <w:tcPr>
            <w:tcW w:w="5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21,044</w:t>
            </w: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6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41,641</w:t>
            </w:r>
          </w:p>
        </w:tc>
        <w:tc>
          <w:tcPr>
            <w:tcW w:w="5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40,524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11,060</w:t>
            </w:r>
          </w:p>
        </w:tc>
        <w:tc>
          <w:tcPr>
            <w:tcW w:w="10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24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20,007</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23,241</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(3,234)</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16,522</w:t>
            </w:r>
          </w:p>
        </w:tc>
        <w:tc>
          <w:tcPr>
            <w:tcW w:w="5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16,180</w:t>
            </w: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6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33,293</w:t>
            </w:r>
          </w:p>
        </w:tc>
        <w:tc>
          <w:tcPr>
            <w:tcW w:w="58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35,588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(2,295)</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Closure of Japan business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5,194</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5,194</w:t>
            </w:r>
          </w:p>
        </w:tc>
        <w:tc>
          <w:tcPr>
            <w:tcW w:w="240" w:type="dxa"/>
            <w:vAlign w:val="bottom"/>
          </w:tcPr>
          <w:p>
            <w:pPr>
              <w:spacing w:after="0"/>
              <w:rPr>
                <w:sz w:val="12"/>
                <w:szCs w:val="12"/>
                <w:color w:val="auto"/>
              </w:rPr>
            </w:pPr>
          </w:p>
        </w:tc>
        <w:tc>
          <w:tcPr>
            <w:tcW w:w="6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5,194</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5,194</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Changes in fair value of contingent</w:t>
            </w: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(7,763)</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CCEEFF"/>
            </w:tcBorders>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6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7,763</w:t>
            </w:r>
          </w:p>
        </w:tc>
        <w:tc>
          <w:tcPr>
            <w:tcW w:w="2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7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(7,763)</w:t>
            </w: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7,763</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consideration</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52,221</w:t>
            </w:r>
          </w:p>
        </w:tc>
        <w:tc>
          <w:tcPr>
            <w:tcW w:w="5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40,521</w:t>
            </w:r>
          </w:p>
        </w:tc>
        <w:tc>
          <w:tcPr>
            <w:tcW w:w="100" w:type="dxa"/>
            <w:vAlign w:val="bottom"/>
          </w:tcPr>
          <w:p>
            <w:pPr>
              <w:spacing w:after="0"/>
              <w:rPr>
                <w:sz w:val="12"/>
                <w:szCs w:val="12"/>
                <w:color w:val="auto"/>
              </w:rPr>
            </w:pPr>
          </w:p>
        </w:tc>
        <w:tc>
          <w:tcPr>
            <w:tcW w:w="4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32.9</w:t>
            </w:r>
          </w:p>
        </w:tc>
        <w:tc>
          <w:tcPr>
            <w:tcW w:w="6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11,700</w:t>
            </w:r>
          </w:p>
        </w:tc>
        <w:tc>
          <w:tcPr>
            <w:tcW w:w="240" w:type="dxa"/>
            <w:vAlign w:val="bottom"/>
          </w:tcPr>
          <w:p>
            <w:pPr>
              <w:spacing w:after="0"/>
              <w:rPr>
                <w:sz w:val="12"/>
                <w:szCs w:val="12"/>
                <w:color w:val="auto"/>
              </w:rPr>
            </w:pPr>
          </w:p>
        </w:tc>
        <w:tc>
          <w:tcPr>
            <w:tcW w:w="60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9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100,135</w:t>
            </w:r>
          </w:p>
        </w:tc>
        <w:tc>
          <w:tcPr>
            <w:tcW w:w="5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91,590</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38.3</w:t>
            </w:r>
          </w:p>
        </w:tc>
        <w:tc>
          <w:tcPr>
            <w:tcW w:w="7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8,545</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5,201</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16,104</w:t>
            </w: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(10,903)</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(67.7)</w:t>
            </w:r>
          </w:p>
        </w:tc>
        <w:tc>
          <w:tcPr>
            <w:tcW w:w="9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13,091</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20,365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(7,274)</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(loss), net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4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5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5,202</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16,241</w:t>
            </w: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(11,039)</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(68.0)</w:t>
            </w:r>
          </w:p>
        </w:tc>
        <w:tc>
          <w:tcPr>
            <w:tcW w:w="9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12,792</w:t>
            </w:r>
          </w:p>
        </w:tc>
        <w:tc>
          <w:tcPr>
            <w:tcW w:w="5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20,189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(7,397)</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2,645</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3,326</w:t>
            </w:r>
          </w:p>
        </w:tc>
        <w:tc>
          <w:tcPr>
            <w:tcW w:w="10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240" w:type="dxa"/>
            <w:vAlign w:val="bottom"/>
          </w:tcPr>
          <w:p>
            <w:pPr>
              <w:spacing w:after="0"/>
              <w:rPr>
                <w:sz w:val="12"/>
                <w:szCs w:val="12"/>
                <w:color w:val="auto"/>
              </w:rPr>
            </w:pPr>
          </w:p>
        </w:tc>
        <w:tc>
          <w:tcPr>
            <w:tcW w:w="6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5,140</w:t>
            </w:r>
          </w:p>
        </w:tc>
        <w:tc>
          <w:tcPr>
            <w:tcW w:w="5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2,557</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12,915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 (10,358</w:t>
            </w:r>
          </w:p>
        </w:tc>
        <w:tc>
          <w:tcPr>
            <w:tcW w:w="12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(80.2</w:t>
            </w:r>
          </w:p>
        </w:tc>
        <w:tc>
          <w:tcPr>
            <w:tcW w:w="1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$ 7,652</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16,627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$(8,975)</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7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the statements of operations data above for the three and six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114300</wp:posOffset>
            </wp:positionV>
            <wp:extent cx="67722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(dollars in thousands)</w:t>
            </w:r>
          </w:p>
        </w:tc>
        <w:tc>
          <w:tcPr>
            <w:tcW w:w="6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restricted stock and performance stock</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the three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95,344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2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24,655</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increased $3.9 million, or 3.1%, for the three months ended June 30, 2022 compared to the same period in 2021. By reportable segment, revenue in the United States increased $5.3 million, or 5.6%, for the three months ended June 30, 2022 compared to the same period in 2021. Revenue in Europe decreased $1.3 million, or 5.1%, and revenue in Japan decreased $0.2 million, or 6.3%, in each case for the three months ended June 30, 2022 compared to the same period in 2021. Our acquisition of Hubs provided revenue of $5.9 million and $4.6 million in the United States and $5.4 million and $4.3 million in Europe for each of the three months ended June 30, 2022 and 2021, respectively. International revenue was negatively impacted by $2.7 million during the three months ended June 30, 2022 compared to the same period in 2021 as a result of foreign currency movements, primarily the weakening of the British Pound and Euro relative to the United States Dollar.</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2022, we served 24,058 unique product developers and engineers, an increase of 3.4% over the same period in 2021. Our growth in product developers and engineers served increased at a rate consistent with our revenue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and the related changes for the three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41,592</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18,170</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4,717</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r>
      <w:tr>
        <w:trPr>
          <w:trHeight w:val="250"/>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product line, our revenue increase was driven by a 15.9% increase in CNC Machining revenue, a 9.9% increase in 3D Printing revenue, and a 9.4% increase in Sheet Metal revenue, which was partially offset by an 8.3% decrease in Injection Molding revenue, and a 49.6% decrease in Other Revenue, in each case for the three months ended June 30, 2022 compared to the same period in 2021.</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$3.1 million, or 4.6%, for the three months ended June 30, 2022 compared to the same period in 2021,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greater than the rate of revenue increase of 3.1% for the three months ended June 30, 2022 compared to the same period in 2021. Cost of revenue increased $2.6 million in our digital manufacturing business, which was driven by increased volumes and labor shortages resulting in wage inflation, driving personnel and related cost increases of $0.7 million, an increase in raw material and product costs of $1.8 million driven by materials cost inflation and higher logistics costs, and an increase in equipment and facility related costs of $0.1 million. Hubs provided a $0.5 million increase in cost of revenue for the three months ended June 30, 2022 when compared to the same period in 2021.</w:t>
      </w:r>
    </w:p>
    <w:p>
      <w:pPr>
        <w:spacing w:after="0" w:line="182"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from $56.6 million in the three months ended June 30, 2021 to $57.4 million in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Gross margin decreased from 46.0% in the three months ended June 30, 2021 to 45.2% in the three months ended June 30, 2022, primarily due to labor and materials cost inflation as described above and the mix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Other Income (Loss), net and Provision for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expenses remained consistent during the three months ended June 30, 2022 compared to the same period</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2021. Personnel and related cost decreases in our digital manufacturing business of $0.5 million and marketing program cost decreases in our digital manufacturing business of $0.1 million were offset by increases in Hubs' marketing and sales expense of $0.6 million during the three months ended June 30, 2022 when compared to the same period in 2021.</w:t>
      </w:r>
    </w:p>
    <w:p>
      <w:pPr>
        <w:spacing w:after="0" w:line="18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decreased $1.6 million, or 14.6%, during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personnel and related cost decreases of $1.6 million driven by personnel and contractor resources dedicated to the launch of our Protolabs 2.0 system in the first quarter of 2021.</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$0.3 million, or 2.1%, during the three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an increase in personnel and related costs of $0.2 million and an increase of professional services of $0.1 million.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Our decision to close our Japan business resulted in $5.2 million in operating expenses during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Operating expenses included $2.2 million of employee severance, $1.2 million related to the write-down of fixed assets, $0.9 million of facility-related charges, $0.6 million in goodwill impairment charges and $0.3 million in other closure related charges. We had no expenses related to the closure of our Japan business in 2021.</w:t>
      </w:r>
    </w:p>
    <w:p>
      <w:pPr>
        <w:spacing w:after="0" w:line="18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fair value of contingent consideration. </w:t>
      </w:r>
      <w:r>
        <w:rPr>
          <w:rFonts w:ascii="Times New Roman" w:cs="Times New Roman" w:eastAsia="Times New Roman" w:hAnsi="Times New Roman"/>
          <w:sz w:val="18"/>
          <w:szCs w:val="18"/>
          <w:color w:val="auto"/>
        </w:rPr>
        <w:t>We had no contingent consideration liabilities recorded during 2022. The change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associated with the acquisition of Hubs was $7.8 million during the three months ended June 30, 2021.</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We recognized no other income, net for the three months ended June 30, 2022, a decrease of $0.1 million compared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net of $0.1 million for the three months ended June 30, 2021. Other income, net for the three months ended June 30, 2022 primarily consisted of a $0.3 million loss on foreign currency, which was offset by interest income on investments and other income. Other income, net for the three months ended June 30, 2021 primarily consisted of a $0.1 million gain on foreign currency and interest income on investments.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of 50.8% for the three months ended June 30, 2022 increased 30.3% compared to 20.5%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increase in the effective tax rate is primarily due to a decrease in tax benefits from the vesting of restricted stock and the exercise of stock options, as well as an increase in losses in jurisdictions, primarily Japan, that are not eligible for tax benefits due to valuation allowances. Our income tax provision of $2.6 million for the three months ended June 30, 2022 decreased $0.7 million compared to our income tax provision of $3.3 million for the three months ended June 30, 2021.</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the six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196,151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186,397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47,977</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46,104</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251,070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revenue increased $11.9 million, or 5.0%, for the six months ended June 30, 2022 compared to the same period in 2021. By reportable segment, revenue in the United States increased $9.8 million, or 5.2%, for the six months ended June 30, 2022 compared to the same period in 2021. Revenue in Europe increased $1.9 million, or 4.1%, and revenue in Japan increased $0.3 million, or 4.0%, in each case for the six months ended June 30, 2022 compared to the same period in 2021. Our acquisition of Hubs provided revenue of $10.6 million and $7.8 million in the United States and $10.9 million and $6.9 million in Europe for each of the six months ended June 30, 2022 and 2021, respectively. Hubs revenue in 2021 represents the period from January 22, 2021, the date of acquisition, through June 30, 2021. International revenue was negatively impacted by $4.3 million during the six months ended June 30, 2022 compared to the same period in 2021 as a result of foreign currency movements, primarily the weakening of the British Pound and Euro relative to the United States Dollar.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we served 36,878 unique product developers and engineers, an increase of 5.2% over the same period in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in product developers and engineers served increased at a rate consistent with our revenue growth.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and the related changes for the six months ended June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78,295</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35,405</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9,936</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251,070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By product line, our revenue increase was driven by a 20.5% increase in CNC Machining revenue and an 11.9% increase in 3D Printing revenue, which was partially offset by a 6.8% decrease in Injection Molding revenue, a 0.9% decrease in Sheet Metal revenue and a 49.1% decrease in Other Revenue, in each case for the six months ended June 30, 2022 compared to the same period in 2021.</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$10.6 million, or 8.4%, for the six months ended June 30, 2022 compared to the same period in 2021,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greater than the rate of revenue increase of 5.0% for the six months ended June 30, 2022 compared to the same period in 2021. Cost of revenue increased $7.5 million in our digital manufacturing business, which was driven by increased volumes and labor shortages resulting in wage inflation driving personnel and related cost increases of $3.2 million, an increase in raw material and product costs of $3.9 million driven by materials cost inflation and higher logistics costs, and an increase in equipment and facility related costs of $0.4 million. Our acquisition of Hubs provided a $3.1 million increase in cost of revenue for the six months ended June 30, 2022 when compared to the same period in 2021.</w:t>
      </w:r>
    </w:p>
    <w:p>
      <w:pPr>
        <w:spacing w:after="0" w:line="182"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from $112.0 million in the six months ended June 30, 2021 to $113.2 million in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Gross margin decreased from 46.8% in the six months ended June 30, 2021 to 45.1% in the six months ended June 30, 2022, primarily due to labor and materials cost inflation as described above and the mix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Other Income (Loss), net and Provision for Income Taxes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expenses increased $1.1 million, or 2.8%, during the six months ended June 30, 2022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Hubs provided a $1.2 million increase in marketing and sales expenses and our digital manufacturing business provided marketing program cost increases of $0.2 million during the six months ended June 30, 2022 when compared to the same period in 2021, which was partially offset by a decrease in our digital manufacturing business personnel and related costs of $0.3 million.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decreased $3.2 million, or 13.9%, during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personnel and related cost decreases of $3.8 million driven by personnel and contractor resources dedicated to the launch and support of our Protolabs 2.0 system in the first quarter of 2021. The decrease was partially offset by a $0.6 million increase in Hubs' research and development expenses during the six months ended June 30, 2022 when compared to the same period in 2021.</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$2.3 million, or 6.4%, during the six months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a decrease of $2.3 million in professional service costs primarily driven by increased transaction costs in 2021 related to our acquisition of Hubs and a decrease of $1.3 million in stock-based compensation expense primarily driven by increased stock-based compensation expense in 2021 related to the retirement of our CEO. In addition, our acquisition of Hubs provided an increase of $1.3 million in general and administrative expense during the six months ended June 30, 2022 when compared to the same period in 2021.</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Our decision to close our Japan business resulted in $5.2 million in operating expenses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Operating expenses included $2.2 million of employee severance, $1.2 million related to the write-down of fixed assets, $0.9 million of facility-related charges, $0.6 million in goodwill impairment charges and $0.3 million in other closure related charges. We had no expenses related to the closure of our Japan business in 2021.</w:t>
      </w:r>
    </w:p>
    <w:p>
      <w:pPr>
        <w:spacing w:after="0" w:line="180"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fair value of contingent consideration. </w:t>
      </w:r>
      <w:r>
        <w:rPr>
          <w:rFonts w:ascii="Times New Roman" w:cs="Times New Roman" w:eastAsia="Times New Roman" w:hAnsi="Times New Roman"/>
          <w:sz w:val="18"/>
          <w:szCs w:val="18"/>
          <w:color w:val="auto"/>
        </w:rPr>
        <w:t>We had no contingent consideration liabilities recorded during 2022. The change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associated with the acquisition of Hubs was $7.8 million during the six months ended June 30, 2021.</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Loss, net. </w:t>
      </w:r>
      <w:r>
        <w:rPr>
          <w:rFonts w:ascii="Times New Roman" w:cs="Times New Roman" w:eastAsia="Times New Roman" w:hAnsi="Times New Roman"/>
          <w:sz w:val="18"/>
          <w:szCs w:val="18"/>
          <w:color w:val="auto"/>
        </w:rPr>
        <w:t>We recognized other loss, net of $0.3 million for the six months ended June 30, 2022, a decrease of $0.1 million compared to other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$0.2 million for the six months ended June 30, 2021. Other loss, net for the six months ended June 30, 2022 primarily consisted of a $0.4 million loss on foreign currency, which was partially offset by $0.1 million in interest income on investments and other income. Other loss, net for the six months ended June 30, 2021 primarily consisted of a $0.5 million loss on foreign currency, which was partially offset by $0.2 million in interest income on investments and $0.1 million in other income.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of 40.2% for the six months ended June 30, 2022 increased 22.6% compared to 17.6%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2021. The increase in the effective tax rate is primarily due to a decrease in tax benefits from the vesting of restricted stock and the exercise of stock options, as well as an increase in losses in jurisdictions, primarily Japan, that are not eligible for tax benefits due to valuation allowances. Our income tax provision of $5.1 million for the six months ended June 30, 2022 increased $1.5 million compared to our income tax provision of $3.6 million for the six months ended June 30, 2021.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31,040</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20,729</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(105,082)</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49"/>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(85,694)</w:t>
            </w:r>
          </w:p>
        </w:tc>
      </w:tr>
      <w:tr>
        <w:trPr>
          <w:trHeight w:val="197"/>
        </w:trPr>
        <w:tc>
          <w:tcPr>
            <w:tcW w:w="20" w:type="dxa"/>
            <w:vAlign w:val="bottom"/>
          </w:tcPr>
          <w:p>
            <w:pPr>
              <w:spacing w:after="0"/>
              <w:rPr>
                <w:sz w:val="17"/>
                <w:szCs w:val="17"/>
                <w:color w:val="auto"/>
              </w:rPr>
            </w:pPr>
          </w:p>
        </w:tc>
        <w:tc>
          <w:tcPr>
            <w:tcW w:w="5520" w:type="dxa"/>
            <w:vAlign w:val="bottom"/>
            <w:tcBorders>
              <w:top w:val="single" w:sz="8" w:color="CCEEFF"/>
              <w:bottom w:val="single" w:sz="8" w:color="auto"/>
            </w:tcBorders>
          </w:tcPr>
          <w:p>
            <w:pPr>
              <w:spacing w:after="0"/>
              <w:rPr>
                <w:sz w:val="17"/>
                <w:szCs w:val="17"/>
                <w:color w:val="auto"/>
              </w:rPr>
            </w:pPr>
          </w:p>
        </w:tc>
        <w:tc>
          <w:tcPr>
            <w:tcW w:w="166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Historically, we have primarily financed our operations and capital expenditures through cash flow from operations. We had cash and cash equivalents of $54.7 million as of June 30, 2022, a decrease of $11.3 million from December 31, 2021. The decrease in our cash was primarily due to cash used in investing activity for purchases of marketable securities, net, of $30.5 million, purchases of property, equipment and other capital assets of $6.0 million, and cash used in financing activities of $4.8 million, which were partially offset by cash generated through operations of $31.0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were $31.0 million during the six months ended June 30, 2022 and primarily consisted of net income of $7.7 million, adjusted for certain non-cash items, including depreciation and amortization of $20.3 million, stock-based compensation expense of $8.4 million, and impairments related to the closure of our Japan business of $1.8 million, which were partially offset by deferred taxes of $5.7 million and changes in operating assets and liabilities and other items totaling $1.5 million. Cash flows from operating activities were $20.7 million during the six months ended June 30, 2021 and primarily consisted of net income of $16.6 million, adjusted for certain non-cash items, including depreciation and amortization of $20.1 million and stock-based compensation expense of $10.6 million, which were partially offset by a decrease in the fair value of contingent consideration of $7.8 million and changes in operating assets and liabilities and other items totaling $18.8 million.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increased $10.3 million during the six months ended June 30, 2022 compared to the same period in 2021, primarily due to changes in operating assets and liabilities totaling $17.7 million, changes in fair value of contingent consideration of $7.8 million, costs related to the closure of our Japan business of $1.8 million, and increases of depreciation and amortization of $0.2 million, which were partially offset by decreases in net income of $9.0 million, stock-based compensation of $2.1 million and deferred taxes of $6.1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$36.5 million during the six months ended June 30, 2022, consisting of $30.5 million for net purchases of marketable securities and $6.0 million for the purchases of property, equipment and other capital assets.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$105.1 million during the six months ended June 30, 2021, consisting of $127.4 million in cash used for acquisitions, net of cash acquired and $23.9 million for the purchases of property, equipment and other capital assets, which were partially offset by $46.2 million for net proceeds from investments in marketable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$4.8 million during the six months ended June 30, 2022, consisting of $5.2 million in repurchases of common stock, $1.6 million in purchases of shares withheld for tax obligations associated with equity transactions and $0.3 million for repayments of finance lease obligations, which were partially offset by $2.3 million in proceeds from exercises of stock options.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$1.9 million during the six months ended June 30, 2021, consisting of $4.2 million in purchases of shares withheld for tax obligations associated with equity transactions, $1.2 million in repurchases of common stock and $0.3 million for repayments of finance lease obligations, which were partially offset by $3.8 million in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2021. There were no material changes to our critical accounting policies during the six months ended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2 to the Consolidated Financial Statements appearing in Part I, Item 1 in this Quarterly Report on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$0.3 million and foreign currency gains of $0.1 million during the three months ended June 30, 2022 and 2021, respectively. We recognized foreign currency losses of $0.4 million and $0.5 million during the six months ended June 30, 2022 and 2021, respectively. The changes in foreign exchange rates had a negative impact on consolidated revenue of $2.7 million for the three months ended June 30, 2022 and $4.3 million for the six months ended June 30, 2022 as compared to the same periods in 2021.</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year ended December 31, 2021 includes a discussion of our risk factors. There have been no material changes from the risk factors described in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which increased the stock repurchase program to $100 million. On December 8, 2021, our board of directors approved a $50 million increase in its authorized stock repurchase program, which increased the total expenditure authorized to $150 million. We have $56.7 million remaining under this authorization. The timing and amount of any share repurchases will be determined by our management based on market conditions and other factors.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2022, we repurchased 113,266 shares of our common stock at a total purchase price of $5.2 million under this program. Common stock repurchase activity through June 30, 2022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3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Maximum Dollar Value of Shares that</w:t>
            </w:r>
          </w:p>
        </w:tc>
      </w:tr>
      <w:tr>
        <w:trPr>
          <w:trHeight w:val="216"/>
        </w:trPr>
        <w:tc>
          <w:tcPr>
            <w:tcW w:w="3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100" w:type="dxa"/>
            <w:vAlign w:val="bottom"/>
          </w:tcPr>
          <w:p>
            <w:pPr>
              <w:spacing w:after="0"/>
              <w:rPr>
                <w:sz w:val="18"/>
                <w:szCs w:val="18"/>
                <w:color w:val="auto"/>
              </w:rPr>
            </w:pPr>
          </w:p>
        </w:tc>
        <w:tc>
          <w:tcPr>
            <w:tcW w:w="3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May Yet Be Purchased Under the</w:t>
            </w:r>
          </w:p>
        </w:tc>
      </w:tr>
      <w:tr>
        <w:trPr>
          <w:trHeight w:val="23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10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 (in thousands) (1)</w:t>
            </w:r>
          </w:p>
        </w:tc>
        <w:tc>
          <w:tcPr>
            <w:tcW w:w="60" w:type="dxa"/>
            <w:vAlign w:val="bottom"/>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2022 through April 30, 2022</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3"/>
              </w:rPr>
              <w:t>$-</w:t>
            </w:r>
          </w:p>
        </w:tc>
        <w:tc>
          <w:tcPr>
            <w:tcW w:w="25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3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$61,905</w:t>
            </w:r>
          </w:p>
        </w:tc>
        <w:tc>
          <w:tcPr>
            <w:tcW w:w="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May 1, 2022 through May 31, 2022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79,236</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$45.22</w:t>
            </w:r>
          </w:p>
        </w:tc>
        <w:tc>
          <w:tcPr>
            <w:tcW w:w="2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79,236</w:t>
            </w:r>
          </w:p>
        </w:tc>
        <w:tc>
          <w:tcPr>
            <w:tcW w:w="3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$58,322</w:t>
            </w:r>
          </w:p>
        </w:tc>
        <w:tc>
          <w:tcPr>
            <w:tcW w:w="60" w:type="dxa"/>
            <w:vAlign w:val="bottom"/>
          </w:tcPr>
          <w:p>
            <w:pPr>
              <w:spacing w:after="0"/>
              <w:rPr>
                <w:sz w:val="18"/>
                <w:szCs w:val="18"/>
                <w:color w:val="auto"/>
              </w:rPr>
            </w:pPr>
          </w:p>
        </w:tc>
      </w:tr>
      <w:tr>
        <w:trPr>
          <w:trHeight w:val="216"/>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2022 through June 30, 2022</w:t>
            </w: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34,030</w:t>
            </w:r>
          </w:p>
        </w:tc>
        <w:tc>
          <w:tcPr>
            <w:tcW w:w="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$48.58</w:t>
            </w:r>
          </w:p>
        </w:tc>
        <w:tc>
          <w:tcPr>
            <w:tcW w:w="1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34,030</w:t>
            </w:r>
          </w:p>
        </w:tc>
        <w:tc>
          <w:tcPr>
            <w:tcW w:w="31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$56,669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113,266</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$46.23</w:t>
            </w:r>
          </w:p>
        </w:tc>
        <w:tc>
          <w:tcPr>
            <w:tcW w:w="2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113,266</w:t>
            </w:r>
          </w:p>
        </w:tc>
        <w:tc>
          <w:tcPr>
            <w:tcW w:w="3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$56,669</w:t>
            </w:r>
          </w:p>
        </w:tc>
        <w:tc>
          <w:tcPr>
            <w:tcW w:w="6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220" w:type="dxa"/>
            <w:vAlign w:val="bottom"/>
            <w:gridSpan w:val="7"/>
          </w:tcPr>
          <w:p>
            <w:pPr>
              <w:ind w:left="21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9"/>
                <w:szCs w:val="19"/>
                <w:color w:val="auto"/>
                <w:vertAlign w:val="subscript"/>
              </w:rPr>
              <w:t>3.1</w:t>
            </w:r>
            <w:r>
              <w:rPr>
                <w:rFonts w:ascii="Times New Roman" w:cs="Times New Roman" w:eastAsia="Times New Roman" w:hAnsi="Times New Roman"/>
                <w:sz w:val="9"/>
                <w:szCs w:val="9"/>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tcBorders>
              <w:top w:val="single" w:sz="8" w:color="auto"/>
            </w:tcBorders>
            <w:gridSpan w:val="8"/>
          </w:tcPr>
          <w:p>
            <w:pPr>
              <w:spacing w:after="0" w:line="169"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Third Amended and Restated Articles of Incorporation of Proto Labs, Inc.</w:t>
              </w:r>
            </w:hyperlink>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7"/>
                <w:szCs w:val="17"/>
                <w:color w:val="auto"/>
                <w:w w:val="93"/>
              </w:rPr>
              <w:t>3.2</w:t>
            </w:r>
            <w:r>
              <w:rPr>
                <w:rFonts w:ascii="Times New Roman" w:cs="Times New Roman" w:eastAsia="Times New Roman" w:hAnsi="Times New Roman"/>
                <w:sz w:val="22"/>
                <w:szCs w:val="22"/>
                <w:color w:val="auto"/>
                <w:w w:val="93"/>
                <w:vertAlign w:val="superscript"/>
              </w:rPr>
              <w:t>(2)</w:t>
            </w:r>
          </w:p>
        </w:tc>
        <w:tc>
          <w:tcPr>
            <w:tcW w:w="120" w:type="dxa"/>
            <w:vAlign w:val="bottom"/>
          </w:tcPr>
          <w:p>
            <w:pPr>
              <w:spacing w:after="0"/>
              <w:rPr>
                <w:sz w:val="17"/>
                <w:szCs w:val="17"/>
                <w:color w:val="auto"/>
              </w:rPr>
            </w:pPr>
          </w:p>
        </w:tc>
        <w:tc>
          <w:tcPr>
            <w:tcW w:w="8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Articles of Amendment to Third Amended and Restated Articles of Incorporation of Proto Labs, Inc. dated May 20, 2015</w:t>
              </w:r>
            </w:hyperlink>
          </w:p>
        </w:tc>
        <w:tc>
          <w:tcPr>
            <w:tcW w:w="1680" w:type="dxa"/>
            <w:vAlign w:val="bottom"/>
            <w:gridSpan w:val="2"/>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7"/>
                <w:szCs w:val="17"/>
                <w:color w:val="auto"/>
                <w:w w:val="93"/>
              </w:rPr>
              <w:t>3.3</w:t>
            </w:r>
            <w:r>
              <w:rPr>
                <w:rFonts w:ascii="Times New Roman" w:cs="Times New Roman" w:eastAsia="Times New Roman" w:hAnsi="Times New Roman"/>
                <w:sz w:val="22"/>
                <w:szCs w:val="22"/>
                <w:color w:val="auto"/>
                <w:w w:val="93"/>
                <w:vertAlign w:val="superscript"/>
              </w:rPr>
              <w:t>(3)</w:t>
            </w:r>
          </w:p>
        </w:tc>
        <w:tc>
          <w:tcPr>
            <w:tcW w:w="120" w:type="dxa"/>
            <w:vAlign w:val="bottom"/>
          </w:tcPr>
          <w:p>
            <w:pPr>
              <w:spacing w:after="0"/>
              <w:rPr>
                <w:sz w:val="17"/>
                <w:szCs w:val="17"/>
                <w:color w:val="auto"/>
              </w:rPr>
            </w:pPr>
          </w:p>
        </w:tc>
        <w:tc>
          <w:tcPr>
            <w:tcW w:w="10440" w:type="dxa"/>
            <w:vAlign w:val="bottom"/>
            <w:gridSpan w:val="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Second Amended and Restated By-Laws of Proto Labs, Inc., as amended through November 8, 2016</w:t>
              </w:r>
            </w:hyperlink>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2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w:t>
            </w:r>
          </w:p>
        </w:tc>
        <w:tc>
          <w:tcPr>
            <w:tcW w:w="3180" w:type="dxa"/>
            <w:vAlign w:val="bottom"/>
            <w:gridSpan w:val="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w:t>
            </w:r>
          </w:p>
        </w:tc>
        <w:tc>
          <w:tcPr>
            <w:tcW w:w="40" w:type="dxa"/>
            <w:vAlign w:val="bottom"/>
            <w:tcBorders>
              <w:top w:val="single" w:sz="8" w:color="0000EE"/>
            </w:tcBorders>
          </w:tcPr>
          <w:p>
            <w:pPr>
              <w:spacing w:after="0"/>
              <w:rPr>
                <w:sz w:val="17"/>
                <w:szCs w:val="17"/>
                <w:color w:val="auto"/>
              </w:rPr>
            </w:pPr>
          </w:p>
        </w:tc>
        <w:tc>
          <w:tcPr>
            <w:tcW w:w="3500" w:type="dxa"/>
            <w:vAlign w:val="bottom"/>
            <w:gridSpan w:val="4"/>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2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and the Chief Financial Officer pursuant to Section 906 of the Sarbanes-Oxley Act*</w:t>
            </w:r>
          </w:p>
        </w:tc>
        <w:tc>
          <w:tcPr>
            <w:tcW w:w="120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22"/>
                <w:szCs w:val="22"/>
                <w:color w:val="auto"/>
                <w:vertAlign w:val="superscript"/>
              </w:rPr>
              <w:t>(4)</w:t>
            </w:r>
          </w:p>
        </w:tc>
        <w:tc>
          <w:tcPr>
            <w:tcW w:w="120" w:type="dxa"/>
            <w:vAlign w:val="bottom"/>
          </w:tcPr>
          <w:p>
            <w:pPr>
              <w:spacing w:after="0"/>
              <w:rPr>
                <w:sz w:val="17"/>
                <w:szCs w:val="17"/>
                <w:color w:val="auto"/>
              </w:rPr>
            </w:pPr>
          </w:p>
        </w:tc>
        <w:tc>
          <w:tcPr>
            <w:tcW w:w="2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Severance Agreement</w:t>
              </w:r>
            </w:hyperlink>
          </w:p>
        </w:tc>
        <w:tc>
          <w:tcPr>
            <w:tcW w:w="8220" w:type="dxa"/>
            <w:vAlign w:val="bottom"/>
            <w:gridSpan w:val="7"/>
          </w:tcPr>
          <w:p>
            <w:pPr>
              <w:spacing w:after="0"/>
              <w:rPr>
                <w:sz w:val="17"/>
                <w:szCs w:val="17"/>
                <w:color w:val="auto"/>
              </w:rPr>
            </w:pPr>
          </w:p>
        </w:tc>
      </w:tr>
      <w:tr>
        <w:trPr>
          <w:trHeight w:val="218"/>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800" w:hanging="590"/>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ind w:left="380" w:right="600" w:hanging="372"/>
        <w:spacing w:after="0" w:line="223"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3.2 to the Company’s Registration Statement on Form S-1/A, filed with the Commission on February 13, 2012, and incorporated by reference herein.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3.1 to the Company's Form 8-K, filed with the Commission on May 21, 2015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3.1 to the Company's Form 8-K, filed with the Commission on November 8, 2016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99.2 to the Company's Form 8-K, filed with the Commission on June 6, 2022 and incorporated by reference herein.</w:t>
      </w:r>
    </w:p>
    <w:p>
      <w:pPr>
        <w:spacing w:after="0" w:line="2"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Proto Labs,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21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Bodor</w:t>
            </w:r>
          </w:p>
        </w:tc>
      </w:tr>
      <w:tr>
        <w:trPr>
          <w:trHeight w:val="191"/>
        </w:trPr>
        <w:tc>
          <w:tcPr>
            <w:tcW w:w="3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16"/>
        </w:trPr>
        <w:tc>
          <w:tcPr>
            <w:tcW w:w="3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21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191"/>
        </w:trPr>
        <w:tc>
          <w:tcPr>
            <w:tcW w:w="3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16"/>
        </w:trPr>
        <w:tc>
          <w:tcPr>
            <w:tcW w:w="3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540" w:type="dxa"/>
            <w:vAlign w:val="bottom"/>
          </w:tcPr>
          <w:p>
            <w:pPr>
              <w:spacing w:after="0"/>
              <w:rPr>
                <w:sz w:val="24"/>
                <w:szCs w:val="24"/>
                <w:color w:val="auto"/>
              </w:rPr>
            </w:pPr>
          </w:p>
        </w:tc>
        <w:tc>
          <w:tcPr>
            <w:tcW w:w="6580" w:type="dxa"/>
            <w:vAlign w:val="bottom"/>
            <w:gridSpan w:val="2"/>
          </w:tcPr>
          <w:p>
            <w:pPr>
              <w:jc w:val="right"/>
              <w:ind w:right="431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200"/>
          </w:cols>
          <w:pgMar w:left="320" w:top="121" w:right="379" w:bottom="1440" w:gutter="0" w:footer="0" w:header="0"/>
        </w:sectPr>
      </w:pPr>
    </w:p>
    <w:bookmarkStart w:id="31" w:name="page32"/>
    <w:bookmarkEnd w:id="31"/>
    <w:p>
      <w:pPr>
        <w:ind w:left="101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60" w:right="160" w:hanging="340"/>
        <w:spacing w:after="0" w:line="312" w:lineRule="auto"/>
        <w:tabs>
          <w:tab w:leader="none" w:pos="13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60" w:right="1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400" w:hanging="340"/>
        <w:spacing w:after="0" w:line="282"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80" w:hanging="340"/>
        <w:spacing w:after="0" w:line="282"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75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Robert Bodor</w:t>
            </w:r>
          </w:p>
        </w:tc>
      </w:tr>
      <w:tr>
        <w:trPr>
          <w:trHeight w:val="191"/>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16"/>
        </w:trPr>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Schumacher,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60" w:right="160" w:hanging="340"/>
        <w:spacing w:after="0" w:line="312" w:lineRule="auto"/>
        <w:tabs>
          <w:tab w:leader="none" w:pos="13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60" w:right="160" w:hanging="340"/>
        <w:spacing w:after="0" w:line="26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400" w:hanging="340"/>
        <w:spacing w:after="0" w:line="282"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80" w:hanging="340"/>
        <w:spacing w:after="0" w:line="282"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75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Daniel Schumacher</w:t>
            </w:r>
          </w:p>
        </w:tc>
      </w:tr>
      <w:tr>
        <w:trPr>
          <w:trHeight w:val="191"/>
        </w:trPr>
        <w:tc>
          <w:tcPr>
            <w:tcW w:w="3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16"/>
        </w:trPr>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Robert Bodor, certify, pursuant to 18 U.S.C. Section 1350, as adopted pursuant to Section 906 of the Sarbanes-Oxley Act of 2002, that the Quarterly Report of Proto Labs, Inc. on Form 10-Q for the fiscal quarter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Robert Bodor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Daniel Schumacher, certify, pursuant to 18 U.S.C. Section 1350, as adopted pursuant to Section 906 of the Sarbanes-Oxley Act of 2002, that the Quarterly Report of Proto Labs, Inc. on Form 10-Q for the fiscal quarter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decimal"/>
      <w:start w:val="104"/>
    </w:lvl>
  </w:abstractNum>
  <w:abstractNum w:abstractNumId="4">
    <w:nsid w:val="2EB141F2"/>
    <w:multiLevelType w:val="hybridMultilevel"/>
    <w:lvl w:ilvl="0">
      <w:lvlJc w:val="left"/>
      <w:lvlText w:val="(%1)"/>
      <w:numFmt w:val="decimal"/>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2" Type="http://schemas.openxmlformats.org/officeDocument/2006/relationships/hyperlink" Target="http://www.sec.gov/Archives/edgar/data/1443669/000119312512054357/d199869dex32.htm" TargetMode="External"/><Relationship Id="rId73" Type="http://schemas.openxmlformats.org/officeDocument/2006/relationships/hyperlink" Target="http://www.sec.gov/Archives/edgar/data/1443669/000143774915010824/ex3-1.htm" TargetMode="External"/><Relationship Id="rId74" Type="http://schemas.openxmlformats.org/officeDocument/2006/relationships/hyperlink" Target="http://www.sec.gov/Archives/edgar/data/1443669/000143774916041414/ex3-1.htm" TargetMode="External"/><Relationship Id="rId75" Type="http://schemas.openxmlformats.org/officeDocument/2006/relationships/hyperlink" Target="http://www.sec.gov/Archives/edgar/data/0001443669/000143774922014360/ex_3839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2022-08-05T11:17:43Z</dcterms:created>
  <dcterms:modified xsi:type="dcterms:W3CDTF">2022-08-05T11:17:43Z</dcterms:modified>
</cp:coreProperties>
</file>