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(Mark One)</w:t>
      </w:r>
    </w:p>
    <w:p>
      <w:pPr>
        <w:spacing w:after="0" w:line="167" w:lineRule="exact"/>
        <w:rPr>
          <w:sz w:val="24"/>
          <w:szCs w:val="24"/>
          <w:color w:val="auto"/>
        </w:rPr>
      </w:pPr>
    </w:p>
    <w:p>
      <w:pPr>
        <w:ind w:left="1380" w:right="1060" w:hanging="778"/>
        <w:spacing w:after="0" w:line="349"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1380" w:right="680" w:hanging="777"/>
        <w:spacing w:after="0" w:line="349" w:lineRule="auto"/>
        <w:tabs>
          <w:tab w:leader="none" w:pos="1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to___________</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001-35435</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Proto Labs,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52"/>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3100" w:type="dxa"/>
            <w:vAlign w:val="bottom"/>
          </w:tcPr>
          <w:p>
            <w:pPr>
              <w:spacing w:after="0"/>
              <w:rPr>
                <w:sz w:val="24"/>
                <w:szCs w:val="24"/>
                <w:color w:val="auto"/>
              </w:rPr>
            </w:pPr>
          </w:p>
        </w:tc>
      </w:tr>
      <w:tr>
        <w:trPr>
          <w:trHeight w:val="270"/>
        </w:trPr>
        <w:tc>
          <w:tcPr>
            <w:tcW w:w="46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3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70"/>
        </w:trPr>
        <w:tc>
          <w:tcPr>
            <w:tcW w:w="46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(763) 479-3680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337" w:right="359" w:bottom="1440" w:gutter="0" w:footer="0" w:header="0"/>
        </w:sectPr>
      </w:pPr>
    </w:p>
    <w:p>
      <w:pPr>
        <w:spacing w:after="0" w:line="17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220" w:space="720"/>
            <w:col w:w="1840" w:space="720"/>
            <w:col w:w="3720"/>
          </w:cols>
          <w:pgMar w:left="320" w:top="337" w:right="3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PRLB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680" w:space="720"/>
            <w:col w:w="2000" w:space="720"/>
            <w:col w:w="3100"/>
          </w:cols>
          <w:pgMar w:left="320" w:top="337" w:right="35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9" w:lineRule="exact"/>
        <w:rPr>
          <w:sz w:val="24"/>
          <w:szCs w:val="24"/>
          <w:color w:val="auto"/>
        </w:rPr>
      </w:pPr>
    </w:p>
    <w:p>
      <w:pPr>
        <w:ind w:right="1540"/>
        <w:spacing w:after="0" w:line="397"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337" w:right="379" w:bottom="1440" w:gutter="0" w:footer="0" w:header="0"/>
        </w:sectPr>
      </w:pPr>
    </w:p>
    <w:p>
      <w:pPr>
        <w:spacing w:after="0" w:line="12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x</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o</w:t>
      </w:r>
    </w:p>
    <w:p>
      <w:pPr>
        <w:spacing w:after="0" w:line="200" w:lineRule="exact"/>
        <w:rPr>
          <w:sz w:val="20"/>
          <w:szCs w:val="20"/>
          <w:color w:val="auto"/>
        </w:rPr>
      </w:pPr>
    </w:p>
    <w:p>
      <w:pPr>
        <w:sectPr>
          <w:pgSz w:w="11900" w:h="16838" w:orient="portrait"/>
          <w:cols w:equalWidth="0" w:num="2">
            <w:col w:w="8160" w:space="720"/>
            <w:col w:w="2320"/>
          </w:cols>
          <w:pgMar w:left="320" w:top="337" w:right="379" w:bottom="1440" w:gutter="0" w:footer="0" w:header="0"/>
          <w:type w:val="continuous"/>
        </w:sectPr>
      </w:pPr>
    </w:p>
    <w:p>
      <w:pPr>
        <w:spacing w:after="0" w:line="1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198" w:lineRule="exact"/>
        <w:rPr>
          <w:sz w:val="20"/>
          <w:szCs w:val="20"/>
          <w:color w:val="auto"/>
        </w:rPr>
      </w:pPr>
    </w:p>
    <w:p>
      <w:pPr>
        <w:sectPr>
          <w:pgSz w:w="11900" w:h="16838" w:orient="portrait"/>
          <w:cols w:equalWidth="0" w:num="2">
            <w:col w:w="7380" w:space="720"/>
            <w:col w:w="3100"/>
          </w:cols>
          <w:pgMar w:left="320" w:top="337" w:right="37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ectPr>
          <w:pgSz w:w="11900" w:h="16838" w:orient="portrait"/>
          <w:cols w:equalWidth="0" w:num="1">
            <w:col w:w="11200"/>
          </w:cols>
          <w:pgMar w:left="320" w:top="337" w:right="379" w:bottom="1440" w:gutter="0" w:footer="0" w:header="0"/>
          <w:type w:val="continuous"/>
        </w:sectPr>
      </w:pP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voting stock held by non-affiliates of the Registrant was approximately $0.9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2026, there were 23,775,160 shares of the Registrant’s common stock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2026 annual meeting of shareholders are incorporated by reference into Part III of this Annual Report on Form 10-K where indicated. We expect to file such proxy statement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0" w:type="dxa"/>
            <w:vAlign w:val="bottom"/>
            <w:gridSpan w:val="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445"/>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50"/>
        </w:trPr>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0" w:type="dxa"/>
            <w:vAlign w:val="bottom"/>
            <w:gridSpan w:val="6"/>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FF"/>
                <w:w w:val="95"/>
              </w:rPr>
              <w:t>PART I</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160" w:type="dxa"/>
            <w:vAlign w:val="bottom"/>
            <w:gridSpan w:val="7"/>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820" w:type="dxa"/>
            <w:vAlign w:val="bottom"/>
            <w:gridSpan w:val="2"/>
          </w:tcPr>
          <w:p>
            <w:pPr>
              <w:spacing w:after="0"/>
              <w:rPr>
                <w:sz w:val="21"/>
                <w:szCs w:val="21"/>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1"/>
                <w:szCs w:val="2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15</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560" w:type="dxa"/>
            <w:vAlign w:val="bottom"/>
            <w:tcBorders>
              <w:right w:val="single" w:sz="8" w:color="0000FF"/>
            </w:tcBorders>
            <w:gridSpan w:val="4"/>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0" w:type="dxa"/>
            <w:vAlign w:val="bottom"/>
            <w:gridSpan w:val="4"/>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460" w:type="dxa"/>
            <w:vAlign w:val="bottom"/>
            <w:gridSpan w:val="3"/>
          </w:tcPr>
          <w:p>
            <w:pPr>
              <w:spacing w:after="0"/>
              <w:rPr>
                <w:sz w:val="21"/>
                <w:szCs w:val="21"/>
                <w:color w:val="auto"/>
              </w:rPr>
            </w:pP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00" w:type="dxa"/>
            <w:vAlign w:val="bottom"/>
            <w:gridSpan w:val="5"/>
          </w:tcPr>
          <w:p>
            <w:pPr>
              <w:jc w:val="center"/>
              <w:ind w:left="6430"/>
              <w:spacing w:after="0"/>
              <w:rPr>
                <w:sz w:val="20"/>
                <w:szCs w:val="20"/>
                <w:color w:val="auto"/>
              </w:rPr>
            </w:pPr>
            <w:r>
              <w:rPr>
                <w:rFonts w:ascii="Times New Roman" w:cs="Times New Roman" w:eastAsia="Times New Roman" w:hAnsi="Times New Roman"/>
                <w:sz w:val="18"/>
                <w:szCs w:val="18"/>
                <w:color w:val="0000FF"/>
                <w:w w:val="99"/>
              </w:rPr>
              <w:t>28</w:t>
            </w:r>
          </w:p>
        </w:tc>
        <w:tc>
          <w:tcPr>
            <w:tcW w:w="10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10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[Reserved]</w:t>
            </w:r>
          </w:p>
        </w:tc>
        <w:tc>
          <w:tcPr>
            <w:tcW w:w="6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21"/>
                <w:szCs w:val="21"/>
                <w:color w:val="auto"/>
              </w:rPr>
            </w:pP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20" w:type="dxa"/>
            <w:vAlign w:val="bottom"/>
            <w:gridSpan w:val="5"/>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40" w:type="dxa"/>
            <w:vAlign w:val="bottom"/>
            <w:gridSpan w:val="2"/>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Pr>
          <w:p>
            <w:pPr>
              <w:spacing w:after="0"/>
              <w:rPr>
                <w:sz w:val="21"/>
                <w:szCs w:val="21"/>
                <w:color w:val="auto"/>
              </w:rPr>
            </w:pPr>
          </w:p>
        </w:tc>
        <w:tc>
          <w:tcPr>
            <w:tcW w:w="6920" w:type="dxa"/>
            <w:vAlign w:val="bottom"/>
            <w:gridSpan w:val="8"/>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0"/>
        </w:trPr>
        <w:tc>
          <w:tcPr>
            <w:tcW w:w="136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80" w:type="dxa"/>
            <w:vAlign w:val="bottom"/>
            <w:gridSpan w:val="3"/>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3"/>
          </w:tcPr>
          <w:p>
            <w:pPr>
              <w:spacing w:after="0"/>
              <w:rPr>
                <w:sz w:val="21"/>
                <w:szCs w:val="21"/>
                <w:color w:val="auto"/>
              </w:rPr>
            </w:pPr>
          </w:p>
        </w:tc>
        <w:tc>
          <w:tcPr>
            <w:tcW w:w="4220" w:type="dxa"/>
            <w:vAlign w:val="bottom"/>
            <w:gridSpan w:val="4"/>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13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4"/>
          </w:tcPr>
          <w:p>
            <w:pPr>
              <w:spacing w:after="0"/>
              <w:rPr>
                <w:sz w:val="21"/>
                <w:szCs w:val="21"/>
                <w:color w:val="auto"/>
              </w:rPr>
            </w:pPr>
          </w:p>
        </w:tc>
        <w:tc>
          <w:tcPr>
            <w:tcW w:w="2860" w:type="dxa"/>
            <w:vAlign w:val="bottom"/>
            <w:gridSpan w:val="2"/>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0"/>
        </w:trPr>
        <w:tc>
          <w:tcPr>
            <w:tcW w:w="13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80" w:type="dxa"/>
            <w:vAlign w:val="bottom"/>
            <w:gridSpan w:val="4"/>
          </w:tcPr>
          <w:p>
            <w:pPr>
              <w:jc w:val="center"/>
              <w:ind w:right="52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720" w:type="dxa"/>
            <w:vAlign w:val="bottom"/>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360" w:type="dxa"/>
            <w:vAlign w:val="bottom"/>
          </w:tcPr>
          <w:p>
            <w:pPr>
              <w:spacing w:after="0"/>
              <w:rPr>
                <w:sz w:val="21"/>
                <w:szCs w:val="21"/>
                <w:color w:val="auto"/>
              </w:rPr>
            </w:pPr>
          </w:p>
        </w:tc>
      </w:tr>
      <w:tr>
        <w:trPr>
          <w:trHeight w:val="952"/>
        </w:trPr>
        <w:tc>
          <w:tcPr>
            <w:tcW w:w="138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4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 our industry and our ability to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changes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grow our business and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sell to existing and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customers' needs and expectations regarding lead time, breadth of manufacturing processes, price and specifications for quality;</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rate of e-commerce and 3D CAD software by product developers and engineers;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process a large volume of designs and identify significant opportunities in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complete and integrate acquisitions or other strategic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successfully launch updates to our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failure to attract and retain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interruptions at our operating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unauthorized access to customers’ confidential information stored in our systems;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not infringe on others’ intellectual property.</w:t>
      </w:r>
    </w:p>
    <w:p>
      <w:pPr>
        <w:spacing w:after="0" w:line="225"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Certain of these factors and others are described in the discussion on risk factors that appears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Proto Labs, Inc. was incorporated in Minnesota in 1999. The terms “Proto Labs,” "Protolabs," the “Company,” “we,” “us,” and “our” as used herein refer to the business and operations of Proto Labs, Inc. and its subsidiaries.</w:t>
      </w:r>
    </w:p>
    <w:p>
      <w:pPr>
        <w:spacing w:after="0" w:line="162" w:lineRule="exact"/>
        <w:rPr>
          <w:sz w:val="20"/>
          <w:szCs w:val="20"/>
          <w:color w:val="auto"/>
        </w:rPr>
      </w:pPr>
    </w:p>
    <w:p>
      <w:pPr>
        <w:ind w:right="80" w:firstLine="486"/>
        <w:spacing w:after="0" w:line="274" w:lineRule="auto"/>
        <w:rPr>
          <w:sz w:val="20"/>
          <w:szCs w:val="20"/>
          <w:color w:val="auto"/>
        </w:rPr>
      </w:pPr>
      <w:r>
        <w:rPr>
          <w:rFonts w:ascii="Times New Roman" w:cs="Times New Roman" w:eastAsia="Times New Roman" w:hAnsi="Times New Roman"/>
          <w:sz w:val="17"/>
          <w:szCs w:val="17"/>
          <w:color w:val="auto"/>
        </w:rPr>
        <w:t>We are the world’s fastest manufacturing service enabling companies across every industry to streamline production of quality parts throughout the entire product life cycle. From custom prototyping to end-use production, we support product developers, engineers, and supply chain teams along every phase of their manufacturing journey. Founded in 1999, we radically reduced the time needed to produce injection molding prototypes through complex software that automated the manufacturing process. Over the next two decades, we added computer numerical control ("CNC") machining, 3D printing, and sheet metal fabrication, and later acquired 3D Hubs, Inc ("Hubs") and launched the Protolabs Network, our global network of manufacturing partners (“MPs”). Our 25+ years of growth while expanding capabilities provide customers with the best digital manufacturing experience in the industry.</w:t>
      </w:r>
    </w:p>
    <w:p>
      <w:pPr>
        <w:spacing w:after="0" w:line="17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vision is accelerating innovation by revolutionizing manufacturing. Our mission is to shape the future by bringing customer ideas to life across every stage of the product life cycle. We accomplish this by offering a variety of manufacturing capabilities fulfilled through a combination of owned manufacturing factories ("Factory") and a worldwide network of premium manufacturing partners ("Network").</w:t>
      </w:r>
    </w:p>
    <w:p>
      <w:pPr>
        <w:spacing w:after="0" w:line="17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automated quoting and manufacturing systems are highly integrated with our manufacturing and fulfillment systems, which allow us to offer a vast array of manufacturing technologies in a variety of materials across a continuum of lead times and prices. Protolabs uses artificial intelligence (“AI”) in a number of different ways to improve our efficiency and the value we offer to customers, including: intelligent pricing and sourcing algorithms, automated quality inspection in injection molding, toolpath verification in CNC machining, software development, and various other AI end use cases. In the age of AI, we are well-positioned with our long history of leveraging technology to solve legacy manufacturing challenges and are deploying AI to power how we drive innovation to better serve our customers. AI is enabling us to move faster than ever before and continue to scale our business efficiently. Our highly differentiated manufacturing offerings are backed by an intellectual property portfolio of 60 patents, and over 60 additional trade secrets. Our patents are in the areas of methods of manufacturing (both subtractive and additive), software supporting methods of manufacturing, and pricing of parts.</w:t>
      </w:r>
    </w:p>
    <w:p>
      <w:pPr>
        <w:spacing w:after="0" w:line="188"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Our technology-enabled digital engineering and manufacturing applications enable us to produce commercial-grade prototype and production plastic, metal, and liquid silicone rubber parts in as fast as one day. Since our inception, we have manufactured over 700 million parts, and served over 300,000 customers, including 95% of Fortune 100 companies in key industries.</w:t>
      </w:r>
    </w:p>
    <w:p>
      <w:pPr>
        <w:spacing w:after="0" w:line="17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customers engage with us throughout the lifecycle of their product, from early-stage prototyping through end-use production to end-of-life replacement and other parts needs that we fulfill through a combination of factories and MPs. Through our Factory operations, we manufacture prototype and low volume production parts for companies worldwide, who are under increasing pressure to bring their finished products to market faster than their competition. We utilize injection molding, CNC machining, 3D printing and sheet metal fabrication to manufacture custom parts for our customers. For most of our offerings, our proprietary technology eliminates most of the time-consuming and expensive skilled labor conventionally required to quote and manufacture parts. Using our technology, we have analyzed over 18 million unique part designs since inception.</w:t>
      </w:r>
    </w:p>
    <w:p>
      <w:pPr>
        <w:spacing w:after="0" w:line="187" w:lineRule="exact"/>
        <w:rPr>
          <w:sz w:val="20"/>
          <w:szCs w:val="20"/>
          <w:color w:val="auto"/>
        </w:rPr>
      </w:pPr>
    </w:p>
    <w:p>
      <w:pPr>
        <w:ind w:right="20" w:firstLine="486"/>
        <w:spacing w:after="0" w:line="219" w:lineRule="exact"/>
        <w:rPr>
          <w:sz w:val="20"/>
          <w:szCs w:val="20"/>
          <w:color w:val="auto"/>
        </w:rPr>
      </w:pPr>
      <w:r>
        <w:rPr>
          <w:rFonts w:ascii="Times New Roman" w:cs="Times New Roman" w:eastAsia="Times New Roman" w:hAnsi="Times New Roman"/>
          <w:sz w:val="18"/>
          <w:szCs w:val="18"/>
          <w:color w:val="auto"/>
        </w:rPr>
        <w:t>Through the acquisition of Hubs (formerly 3D Hubs, Inc., recently rebranded to Protolabs Network) in 2021, we provide customers access to a global network of premium manufacturing partners who reside across North America, Europe and Asia. The manufacturing partner network, complements our in-house manufacturing, enabling us to significantly increase the size, complexity, breadth of manufacturing processes, lead times and prices of the parts we produce. Our hybrid manufacturing model (Factory and Network) integrates the speed, quality, and reliability of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manufacturing capabilities with the expanded capacity, specialized processes, and broader price and lead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flexibility offered by our MP network. This combined model enhances the value we deliver to customers and serves as a meaningful competitive differentiator in the digital manufacturing market.</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customers conduct nearly all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serve over 48,000 customers annually, ranging from the largest and most innovative organizations in the world, to entrepreneurs and small business owners. We believe our use of advanced technology enables us to offer significant advantages at competitive prices to many customers and is the primary reason we have become a leading supplier of custom parts.</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On October 21, 2024, the Company's board of directors approved a plan related to the Company's manufacturing facilities in Germany. The plan included the closure of the Company's prototype injection molding manufacturing facility in Eschenlohe, Germany, and the discontinuation of Direct Metal Laser Sintering 3D printing services through its 3D printing facility in Putzbrunn, Germany. The Company substantially completed the plan in the fourth quarter of 2025. The Company continues to offer all of its manufacturing services to customers across Europe, including injection molding and metal 3D printing through internal manufacturing facilities and a network of manufacturing partners.</w:t>
      </w:r>
    </w:p>
    <w:p>
      <w:pPr>
        <w:spacing w:after="0" w:line="187"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help customers accelerate product development and innovation by providing an efficient way for them to procure high-quality custom parts at competitive prices. We believe low-volume custom parts manufacturing has historically been an underserved market due to the inefficiencies inherent in the quotation, equipment set-up and non-recurring engineering processes required to produce custom parts. We also believe that there are a multitude of factors that are valuable to our customers that our offer uniquely provides, including speed to market, supply chain flexibility, access to a broad range of manufacturing capabilities and price &amp; lead time options, reduced supply chain waste, and efficient sourcing of custom parts. Our customers typically partner with us for a variety of reasons, including:</w:t>
      </w:r>
    </w:p>
    <w:p>
      <w:pPr>
        <w:spacing w:after="0" w:line="187"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 prototype to confirm the form, fit and function of one or more components of a product under development;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pilot production for testing of a product;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an initial supply of parts to support production while their tools for a high-volume production mold are prepared;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meet their customers' variable demand for parts in a competitive timeframe;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production parts for a product that will only be produced in a limited quantity and/or is highly customized;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to support end-of-life production in a cost-effective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want to avoid minimum order quantities or costs related to storing excess inventory;</w:t>
      </w:r>
    </w:p>
    <w:p>
      <w:pPr>
        <w:spacing w:after="0" w:line="225"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access to diverse, cost competitive manufacturing capabilities and value the convenience of working with a single supplier to match parts to the best producer;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need low- to mid-volumes of parts on an irregular schedule and prefer to order on-demand;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want to consolidate vendors (even to one single-source supplier) of custom parts across their engineering and procurement functions.</w:t>
      </w:r>
    </w:p>
    <w:p>
      <w:pPr>
        <w:spacing w:after="0" w:line="23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each of these instances, we believe our solution provides product developers, engineers, production buyers and other customers with an exceptional combination of speed, quality, competitive pricing, ease of use and reliability that they typically cannot find among conventional custom parts manufacturers, small and mid-sized regional/local manufacturers, or other competitors in our industry. Our technology enables us to ship parts not only with industry-leading speed as soon as the same day after receipt of a customer’s design submission, but also provides the flexibility to produce for our customers custom parts in the manufacturing processes and materials they want, with the flexible lead time they choose, at competitive prices.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primary manufacturing service lines are Injection Molding, CNC Machining, 3D Printing, and Sheet Metal. We continually seek to expand the range of size and geometric complexity of the parts we can make or source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MPs significantly expands the breadth and depth of our manufacturing capabilities, enabling us to offer customers a wider variety of lead times and pricing options, and an expanded envelope of parts (manufacturing process, complexity, size, material, finishing options, etc.).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We pioneered the digital manufacturing industry when we were founded in 1999 and have been recognized as a catalyst for the next generation wave of Industry 4.0. Traditional manufacturing exists as a fragmented collage of niche producers operating in disparate capacities along the supply chain. We strive to be the partner of choice for our customers, with a vast array of manufacturing solutions. We do this by providing our customers an eCommerce experience where they can upload their part design and receive a rapid (or instantaneous) quote coupled with design for manufacturability feedback, evaluate the costs and lead times for a variety of manufacturing processes, and easily order parts at quantities 1 to 1 million-plus. From the time they upload their design, we maintain a continuous digital thread of the part, which enables us to be nimble and adapt to the changing needs of our customer.</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there are trends disrupting the manufacturing industry today, including:</w:t>
      </w:r>
    </w:p>
    <w:p>
      <w:pPr>
        <w:spacing w:after="0" w:line="223" w:lineRule="exact"/>
        <w:rPr>
          <w:sz w:val="20"/>
          <w:szCs w:val="20"/>
          <w:color w:val="auto"/>
        </w:rPr>
      </w:pPr>
    </w:p>
    <w:p>
      <w:pPr>
        <w:ind w:left="500" w:right="440" w:hanging="330"/>
        <w:spacing w:after="0" w:line="26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Shortages </w:t>
      </w:r>
      <w:r>
        <w:rPr>
          <w:rFonts w:ascii="Times New Roman" w:cs="Times New Roman" w:eastAsia="Times New Roman" w:hAnsi="Times New Roman"/>
          <w:sz w:val="18"/>
          <w:szCs w:val="18"/>
          <w:color w:val="auto"/>
        </w:rPr>
        <w:t>– Ongoing workforce shortages in manufacturing are accelerating investment in automation and smart-factory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Protolabs is well ahead of this shift, leveraging automated digital manufacturing processes since 1999 to reduce labor dependency and increase efficiency.</w:t>
      </w:r>
    </w:p>
    <w:p>
      <w:pPr>
        <w:spacing w:after="0" w:line="173" w:lineRule="exact"/>
        <w:rPr>
          <w:rFonts w:ascii="Times New Roman" w:cs="Times New Roman" w:eastAsia="Times New Roman" w:hAnsi="Times New Roman"/>
          <w:sz w:val="18"/>
          <w:szCs w:val="18"/>
          <w:color w:val="auto"/>
        </w:rPr>
      </w:pPr>
    </w:p>
    <w:p>
      <w:pPr>
        <w:jc w:val="both"/>
        <w:ind w:left="500" w:right="460" w:hanging="330"/>
        <w:spacing w:after="0" w:line="26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Vendor Consolidation </w:t>
      </w:r>
      <w:r>
        <w:rPr>
          <w:rFonts w:ascii="Times New Roman" w:cs="Times New Roman" w:eastAsia="Times New Roman" w:hAnsi="Times New Roman"/>
          <w:sz w:val="18"/>
          <w:szCs w:val="18"/>
          <w:color w:val="auto"/>
        </w:rPr>
        <w:t>– Businesses are increasingly consolidating vendors to streamline operations, maintain quality control, and reduce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Protolabs offers a wide range of manufacturing services so customers can source most of their custom parts needs, delivering to our customers improved speed, agility, cost-efficiency, and quality.</w:t>
      </w:r>
    </w:p>
    <w:p>
      <w:pPr>
        <w:spacing w:after="0" w:line="173" w:lineRule="exact"/>
        <w:rPr>
          <w:rFonts w:ascii="Times New Roman" w:cs="Times New Roman" w:eastAsia="Times New Roman" w:hAnsi="Times New Roman"/>
          <w:sz w:val="18"/>
          <w:szCs w:val="18"/>
          <w:color w:val="auto"/>
        </w:rPr>
      </w:pPr>
    </w:p>
    <w:p>
      <w:pPr>
        <w:ind w:left="500" w:right="100" w:hanging="330"/>
        <w:spacing w:after="0" w:line="26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Dynamic and Unpredictable Trade Policy Environment </w:t>
      </w:r>
      <w:r>
        <w:rPr>
          <w:rFonts w:ascii="Times New Roman" w:cs="Times New Roman" w:eastAsia="Times New Roman" w:hAnsi="Times New Roman"/>
          <w:sz w:val="18"/>
          <w:szCs w:val="18"/>
          <w:color w:val="auto"/>
        </w:rPr>
        <w:t>– Rapidly evolving trade policies and geopolitical uncertainty are driving companies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diversify and localize supply chains. Protolabs' manufacturing presence in the U.S. and Europe provides customers with resilient domestic sourcing options.</w:t>
      </w:r>
    </w:p>
    <w:p>
      <w:pPr>
        <w:spacing w:after="0" w:line="173" w:lineRule="exact"/>
        <w:rPr>
          <w:rFonts w:ascii="Times New Roman" w:cs="Times New Roman" w:eastAsia="Times New Roman" w:hAnsi="Times New Roman"/>
          <w:sz w:val="18"/>
          <w:szCs w:val="18"/>
          <w:color w:val="auto"/>
        </w:rPr>
      </w:pPr>
    </w:p>
    <w:p>
      <w:pPr>
        <w:ind w:left="500" w:right="280" w:hanging="330"/>
        <w:spacing w:after="0" w:line="240" w:lineRule="exact"/>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SKU Proliferation </w:t>
      </w:r>
      <w:r>
        <w:rPr>
          <w:rFonts w:ascii="Times New Roman" w:cs="Times New Roman" w:eastAsia="Times New Roman" w:hAnsi="Times New Roman"/>
          <w:sz w:val="18"/>
          <w:szCs w:val="18"/>
          <w:color w:val="auto"/>
        </w:rPr>
        <w:t>– Increasing customization and variety in products is expanding SKU counts across industries, increasing demand for flexible,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batch, and rapid-turn manufacturing—capabilities core to Protolabs’ model.</w:t>
      </w:r>
    </w:p>
    <w:p>
      <w:pPr>
        <w:spacing w:after="0" w:line="129" w:lineRule="exact"/>
        <w:rPr>
          <w:rFonts w:ascii="Times New Roman" w:cs="Times New Roman" w:eastAsia="Times New Roman" w:hAnsi="Times New Roman"/>
          <w:sz w:val="18"/>
          <w:szCs w:val="18"/>
          <w:color w:val="auto"/>
        </w:rPr>
      </w:pPr>
    </w:p>
    <w:p>
      <w:pPr>
        <w:ind w:left="500" w:right="40" w:hanging="330"/>
        <w:spacing w:after="0" w:line="245" w:lineRule="exact"/>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Shorter Product Life Cycles </w:t>
      </w:r>
      <w:r>
        <w:rPr>
          <w:rFonts w:ascii="Times New Roman" w:cs="Times New Roman" w:eastAsia="Times New Roman" w:hAnsi="Times New Roman"/>
          <w:sz w:val="18"/>
          <w:szCs w:val="18"/>
          <w:color w:val="auto"/>
        </w:rPr>
        <w:t>– As product life cycles compress, companies require faster prototyping, quicker design iteration, and agile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Protolabs’ digital manufacturing platform is purpose-built for these accelerated timelines.</w:t>
      </w:r>
    </w:p>
    <w:p>
      <w:pPr>
        <w:spacing w:after="0" w:line="199" w:lineRule="exact"/>
        <w:rPr>
          <w:sz w:val="20"/>
          <w:szCs w:val="20"/>
          <w:color w:val="auto"/>
        </w:rPr>
      </w:pPr>
    </w:p>
    <w:p>
      <w:pPr>
        <w:ind w:right="200" w:firstLine="486"/>
        <w:spacing w:after="0" w:line="219" w:lineRule="exact"/>
        <w:rPr>
          <w:sz w:val="20"/>
          <w:szCs w:val="20"/>
          <w:color w:val="auto"/>
        </w:rPr>
      </w:pPr>
      <w:r>
        <w:rPr>
          <w:rFonts w:ascii="Times New Roman" w:cs="Times New Roman" w:eastAsia="Times New Roman" w:hAnsi="Times New Roman"/>
          <w:sz w:val="18"/>
          <w:szCs w:val="18"/>
          <w:color w:val="auto"/>
        </w:rPr>
        <w:t>The impacts of these trends include increased pressure on manufacturers to operate with greater agility, resilience, and efficiency as they navigate workforce constraints, supplier rationalization, shifting global trade dynamics, expanding product complexity, and faster innovation cycles. These forces are driving demand for partners who can provide rapid turnaround, flexible production capacity, digital solutions, and broad capabilities without the long lead times, capital commitments, or volume requirements of traditional manufacturing. Protolabs’ digital thread makes us ideally suited to solve these challenges for many manufacturing companies by offering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speed, no minimum order quantities, broad manufacturing capabilities, and flexibility to adapt to demand volatility.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Process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digital thread, which is the virtual representation of the part created by our proprietary software and mirrors the physical manufacturing process, has enabled us to reinvent manufacturing. Within our factories, our digital thread ties together each aspect of the online ordering and manufacturing processes, including 3D CAD modeling and visualization tools, proprietary design for manufacturability analysis (DFM), computer aided manufacturing, the manufacturing equipment, and the shop floor data collection systems. Digital manufacturing, and the addition of the digital thread, results in automation that reduces manufacturing and labor costs and increases throughput, enabling us to differentiate ourselves as one of the world’s fastest and most effective solutions for prototype and low volume production use cases.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Our technology allows us to manufacture a broad range of parts and products, across multiple industries and processes and enables us to serve a diverse set of customers. We currently serve all manufacturing industry verticals, with our top industries being medical and healthcare, computer electronics, industrial machinery and equipment, aerospace and automotive.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Order</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customer order process begins when the customer uploads one or more 3D CAD models representing the desired part geometry through our web-based customer interfaces. Our websites provide a straightforward means for our customers to submit 3D CAD part designs, including managing projects with multi-part orders, across multiple services and capabilities. Our proprietary software uses complex algorithms to analyze the 3D CAD geometry, analyze its DFM and support the creation of an interactive, web-based quotation containing pricing and manufacturability information. The artificial intelligence and machine learning provided by each analysis allows us to continually improve our DFM technology. When the analysis is complete, a link to the quotation is then e-mailed to the customer, who can access the quotation, change a variety of order parameters, and instantly see the effect on price before finalizing the order.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Manufacturing Process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internal manufacturing operations produce parts in-house, while our outsourced manufacturing operations automatically route the parts for production by a global network of premium manufacturing partners. Our proprietary software and business process automates the non-recurring manufacturing engineering in many of our services, removing time and cost from the manufacture of the custom part. With the integrated digital thread, data is shared through the continuum of the manufacturing process, from product conception and design upload to manufacturing, inspection and delivery. This ensures consistency, quality, and a high degree of automation. As a result of this automation, we are able to ship parts to customers with industry leading speed at scale. For parts produced by the manufacturing network, our proprietary software automatically routes the parts to the right manufacturing partner within minutes using an AI-infused smart order routing system built on machine learning data of millions of parts produced.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as well as adding production to our offer. We have added additional manufacturing services and expanded those services to meet the needs of our customers, which has ultimately driven our growth.</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Initially, we focused on speed, reliability and quality as key components of our differentiation, and customers used us for production where there was a good fit. We have evolved from serving primarily fast response prototypes to broader customer use cases including higher requirements, such as a tighter tolerance, broader ranges of lead times and price points, and quality and process documentation to support production needs. We have further expanded our offering through Protolabs Network to be able to serve our customers more holistically, augmenting our Factory manufacturing capabilities with a network of premium manufacturing partners to serve customer needs outside of our internal manufacturing capabilities. Our goal is to be the fastest, most reliable, and most comprehensive provider of custom parts in our four manufacturing services. Combining our unprecedented in-house manufacturing with the broad capabilities and wide variety of price and lead time options through our manufacturing network expands our ability to provide value to our customers and differentiates us from competitors.</w:t>
      </w:r>
    </w:p>
    <w:p>
      <w:pPr>
        <w:spacing w:after="0" w:line="19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Protolabs’ long-term strategy is to serve customers across the entire lifecycle of a part—from prototype through production. To support this long-term strategy, we have aligned the organization around four strategic pillars:</w:t>
      </w:r>
    </w:p>
    <w:p>
      <w:pPr>
        <w:spacing w:after="0" w:line="160" w:lineRule="exact"/>
        <w:rPr>
          <w:sz w:val="20"/>
          <w:szCs w:val="20"/>
          <w:color w:val="auto"/>
        </w:rPr>
      </w:pPr>
    </w:p>
    <w:p>
      <w:pPr>
        <w:ind w:left="500" w:right="60" w:hanging="330"/>
        <w:spacing w:after="0" w:line="284"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Elevate Customer Experience </w:t>
      </w:r>
      <w:r>
        <w:rPr>
          <w:rFonts w:ascii="Times New Roman" w:cs="Times New Roman" w:eastAsia="Times New Roman" w:hAnsi="Times New Roman"/>
          <w:sz w:val="18"/>
          <w:szCs w:val="18"/>
          <w:color w:val="auto"/>
        </w:rPr>
        <w:t>– remove friction across the customer journey to deliver a best-in-class experience and increase revenue per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employees to serve customers more efficiently, driving faster growth.</w:t>
      </w:r>
    </w:p>
    <w:p>
      <w:pPr>
        <w:spacing w:after="0" w:line="158" w:lineRule="exact"/>
        <w:rPr>
          <w:rFonts w:ascii="Times New Roman" w:cs="Times New Roman" w:eastAsia="Times New Roman" w:hAnsi="Times New Roman"/>
          <w:sz w:val="18"/>
          <w:szCs w:val="18"/>
          <w:color w:val="auto"/>
        </w:rPr>
      </w:pPr>
    </w:p>
    <w:p>
      <w:pPr>
        <w:ind w:left="500" w:right="640" w:hanging="330"/>
        <w:spacing w:after="0" w:line="284"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Innovation </w:t>
      </w:r>
      <w:r>
        <w:rPr>
          <w:rFonts w:ascii="Times New Roman" w:cs="Times New Roman" w:eastAsia="Times New Roman" w:hAnsi="Times New Roman"/>
          <w:sz w:val="18"/>
          <w:szCs w:val="18"/>
          <w:color w:val="auto"/>
        </w:rPr>
        <w:t>– reaccelerate innovation across core manufacturing services to drive outsized growth and an accelerated pace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Leverage differentiated IP and deep manufacturing &amp; engineering talent.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right="380" w:hanging="330"/>
        <w:spacing w:after="0" w:line="284"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Production </w:t>
      </w:r>
      <w:r>
        <w:rPr>
          <w:rFonts w:ascii="Times New Roman" w:cs="Times New Roman" w:eastAsia="Times New Roman" w:hAnsi="Times New Roman"/>
          <w:sz w:val="18"/>
          <w:szCs w:val="18"/>
          <w:color w:val="auto"/>
        </w:rPr>
        <w:t>– take a deliberate, customer-led approach—prioritizing the right customers, applications, and capabilities. Begin with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customers and scale over time.</w:t>
      </w:r>
    </w:p>
    <w:p>
      <w:pPr>
        <w:spacing w:after="0" w:line="158" w:lineRule="exact"/>
        <w:rPr>
          <w:rFonts w:ascii="Times New Roman" w:cs="Times New Roman" w:eastAsia="Times New Roman" w:hAnsi="Times New Roman"/>
          <w:sz w:val="18"/>
          <w:szCs w:val="18"/>
          <w:color w:val="auto"/>
        </w:rPr>
      </w:pPr>
    </w:p>
    <w:p>
      <w:pPr>
        <w:ind w:left="500" w:right="40" w:hanging="330"/>
        <w:spacing w:after="0" w:line="284"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Operational Efficiency </w:t>
      </w:r>
      <w:r>
        <w:rPr>
          <w:rFonts w:ascii="Times New Roman" w:cs="Times New Roman" w:eastAsia="Times New Roman" w:hAnsi="Times New Roman"/>
          <w:sz w:val="18"/>
          <w:szCs w:val="18"/>
          <w:color w:val="auto"/>
        </w:rPr>
        <w:t>– expand Factory and Network gross margins and capture operating expense leverage via efficiencies and productivity.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Reallocate resources and funds to invest in the highest-priority growth initiatives.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domestic and global markets for custom parts manufacturing are highly fragmented and subject to rapid and significant technological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potential competitors include:</w:t>
      </w:r>
    </w:p>
    <w:p>
      <w:pPr>
        <w:spacing w:after="0" w:line="207" w:lineRule="exact"/>
        <w:rPr>
          <w:sz w:val="20"/>
          <w:szCs w:val="20"/>
          <w:color w:val="auto"/>
        </w:rPr>
      </w:pPr>
    </w:p>
    <w:p>
      <w:pPr>
        <w:ind w:left="820" w:right="18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 parts manufacturers. There are thousands of alternative manufacturing machine shops, injection molding suppliers, sheet metal fabricators, and 3D printing service bureaus and vendors worldwide. While most of these manufacturers are local and regional small and mid-sized businesses, they range from very small specialty shops to large, high-volume production manufacturers.</w:t>
      </w:r>
    </w:p>
    <w:p>
      <w:pPr>
        <w:spacing w:after="0" w:line="175" w:lineRule="exact"/>
        <w:rPr>
          <w:rFonts w:ascii="Times New Roman" w:cs="Times New Roman" w:eastAsia="Times New Roman" w:hAnsi="Times New Roman"/>
          <w:sz w:val="18"/>
          <w:szCs w:val="18"/>
          <w:color w:val="auto"/>
        </w:rPr>
      </w:pPr>
    </w:p>
    <w:p>
      <w:pPr>
        <w:ind w:left="820" w:right="24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There are an increasing number of digital brokers that offer a network of manufacturers, generally a subset of the other custom parts manufacturers described above, that can offer a diverse range of capabilities, capacity, competitive pricing and desired lead times to meet customer demand.</w:t>
      </w:r>
    </w:p>
    <w:p>
      <w:pPr>
        <w:spacing w:after="0" w:line="175" w:lineRule="exact"/>
        <w:rPr>
          <w:rFonts w:ascii="Times New Roman" w:cs="Times New Roman" w:eastAsia="Times New Roman" w:hAnsi="Times New Roman"/>
          <w:sz w:val="18"/>
          <w:szCs w:val="18"/>
          <w:color w:val="auto"/>
        </w:rPr>
      </w:pPr>
    </w:p>
    <w:p>
      <w:pPr>
        <w:ind w:left="820" w:right="20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Captive in-house manufacturing. Many larger companies undertaking product development have established 3D printing, CNC machining, injection molding, or sheet metal capabilities internally to support prototyping or manufacturing requirements of their product developers and engineers.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the key competitive factors in our industry include:</w:t>
      </w:r>
    </w:p>
    <w:p>
      <w:pPr>
        <w:spacing w:after="0" w:line="225"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turnaround time for quotations and parts;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reliable delivery and predictable lead times;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dimensional accuracy, surface finish, color and cleanliness;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overall customer experience, from web interface to post-sales support;</w:t>
      </w:r>
    </w:p>
    <w:p>
      <w:pPr>
        <w:spacing w:after="0" w:line="225" w:lineRule="exact"/>
        <w:rPr>
          <w:rFonts w:ascii="Times New Roman" w:cs="Times New Roman" w:eastAsia="Times New Roman" w:hAnsi="Times New Roman"/>
          <w:sz w:val="18"/>
          <w:szCs w:val="18"/>
          <w:color w:val="auto"/>
        </w:rPr>
      </w:pPr>
    </w:p>
    <w:p>
      <w:pPr>
        <w:ind w:left="820" w:right="60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range of part sizes and dimensional complexities/tolerances supported, variety of manufacturing processes offered, materials supported and post-processing provided;</w:t>
      </w:r>
    </w:p>
    <w:p>
      <w:pPr>
        <w:spacing w:after="0" w:line="161"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ability to support thousands of part designs in parallel and increase production volumes while maintaining efficiency, quality, and cost-effectiveness;</w:t>
      </w:r>
    </w:p>
    <w:p>
      <w:pPr>
        <w:spacing w:after="0" w:line="161" w:lineRule="exact"/>
        <w:rPr>
          <w:rFonts w:ascii="Times New Roman" w:cs="Times New Roman" w:eastAsia="Times New Roman" w:hAnsi="Times New Roman"/>
          <w:sz w:val="18"/>
          <w:szCs w:val="18"/>
          <w:color w:val="auto"/>
        </w:rPr>
      </w:pPr>
    </w:p>
    <w:p>
      <w:pPr>
        <w:ind w:left="820" w:right="1000" w:hanging="326"/>
        <w:spacing w:after="0" w:line="282"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ability to manage peaks in demand with no or very little disruption to lead times and quality, no minimum order quantity requirements;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competitive part pricing, considering total cost of ownership.</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our digital end-to-end manufacturing capabilities position us favorably and has enabled us to become a leader in our markets.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corporate responsibility and sustainability practices are built on a foundation of shared fundamental values. Our value statements are: We are one Team, We are Kind, We are Makers, We Win or We Learn and We Take Ownership. These values help us to deliver strong financial results that create value for our Company and our shareholders in a way that respects our communities and the environments in which we operate.</w:t>
      </w:r>
    </w:p>
    <w:p>
      <w:pPr>
        <w:spacing w:after="0" w:line="172" w:lineRule="exact"/>
        <w:rPr>
          <w:sz w:val="20"/>
          <w:szCs w:val="20"/>
          <w:color w:val="auto"/>
        </w:rPr>
      </w:pPr>
    </w:p>
    <w:p>
      <w:pPr>
        <w:ind w:left="820" w:hanging="326"/>
        <w:spacing w:after="0" w:line="286"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one Team </w:t>
      </w:r>
      <w:r>
        <w:rPr>
          <w:rFonts w:ascii="Times New Roman" w:cs="Times New Roman" w:eastAsia="Times New Roman" w:hAnsi="Times New Roman"/>
          <w:sz w:val="18"/>
          <w:szCs w:val="18"/>
          <w:color w:val="auto"/>
        </w:rPr>
        <w:t>– We are one global team. We're successful when we work together, challenge one and other, and make decisions that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common goals. We are authentic in our interactions.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0" w:right="120" w:hanging="326"/>
        <w:spacing w:after="0" w:line="28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Kind </w:t>
      </w:r>
      <w:r>
        <w:rPr>
          <w:rFonts w:ascii="Times New Roman" w:cs="Times New Roman" w:eastAsia="Times New Roman" w:hAnsi="Times New Roman"/>
          <w:sz w:val="18"/>
          <w:szCs w:val="18"/>
          <w:color w:val="auto"/>
        </w:rPr>
        <w:t>– We are clear with our words and actions. We seek and give thoughtful and constructive feedback delivered with respect.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to other's opinions and support decisions made.</w:t>
      </w:r>
    </w:p>
    <w:p>
      <w:pPr>
        <w:spacing w:after="0" w:line="154" w:lineRule="exact"/>
        <w:rPr>
          <w:rFonts w:ascii="Times New Roman" w:cs="Times New Roman" w:eastAsia="Times New Roman" w:hAnsi="Times New Roman"/>
          <w:sz w:val="18"/>
          <w:szCs w:val="18"/>
          <w:color w:val="auto"/>
        </w:rPr>
      </w:pPr>
    </w:p>
    <w:p>
      <w:pPr>
        <w:ind w:left="820" w:right="380" w:hanging="326"/>
        <w:spacing w:after="0" w:line="28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are Makers </w:t>
      </w:r>
      <w:r>
        <w:rPr>
          <w:rFonts w:ascii="Times New Roman" w:cs="Times New Roman" w:eastAsia="Times New Roman" w:hAnsi="Times New Roman"/>
          <w:sz w:val="18"/>
          <w:szCs w:val="18"/>
          <w:color w:val="auto"/>
        </w:rPr>
        <w:t>– Whether we manufacture a part or provide a customer experience, we demonstrate excitement in our work. We embrace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and create space for experimentation and calculated risks.</w:t>
      </w:r>
    </w:p>
    <w:p>
      <w:pPr>
        <w:spacing w:after="0" w:line="154" w:lineRule="exact"/>
        <w:rPr>
          <w:rFonts w:ascii="Times New Roman" w:cs="Times New Roman" w:eastAsia="Times New Roman" w:hAnsi="Times New Roman"/>
          <w:sz w:val="18"/>
          <w:szCs w:val="18"/>
          <w:color w:val="auto"/>
        </w:rPr>
      </w:pPr>
    </w:p>
    <w:p>
      <w:pPr>
        <w:ind w:left="820" w:right="20" w:hanging="326"/>
        <w:spacing w:after="0" w:line="28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Win or We Learn </w:t>
      </w:r>
      <w:r>
        <w:rPr>
          <w:rFonts w:ascii="Times New Roman" w:cs="Times New Roman" w:eastAsia="Times New Roman" w:hAnsi="Times New Roman"/>
          <w:sz w:val="18"/>
          <w:szCs w:val="18"/>
          <w:color w:val="auto"/>
        </w:rPr>
        <w:t>- We're dedicated to achieving our goals. When we fail, we learn and respond with resiliency. When we win, we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celebration.</w:t>
      </w:r>
    </w:p>
    <w:p>
      <w:pPr>
        <w:spacing w:after="0" w:line="154" w:lineRule="exact"/>
        <w:rPr>
          <w:rFonts w:ascii="Times New Roman" w:cs="Times New Roman" w:eastAsia="Times New Roman" w:hAnsi="Times New Roman"/>
          <w:sz w:val="18"/>
          <w:szCs w:val="18"/>
          <w:color w:val="auto"/>
        </w:rPr>
      </w:pPr>
    </w:p>
    <w:p>
      <w:pPr>
        <w:ind w:left="820" w:right="320" w:hanging="326"/>
        <w:spacing w:after="0" w:line="28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Take Ownership </w:t>
      </w:r>
      <w:r>
        <w:rPr>
          <w:rFonts w:ascii="Times New Roman" w:cs="Times New Roman" w:eastAsia="Times New Roman" w:hAnsi="Times New Roman"/>
          <w:sz w:val="18"/>
          <w:szCs w:val="18"/>
          <w:color w:val="auto"/>
        </w:rPr>
        <w:t>- We take pride in our work. We are enthusiastic about the impact we make on our employees, our customers,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communities we serve.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Digital Manufacturing Drives Sustainability</w:t>
      </w:r>
    </w:p>
    <w:p>
      <w:pPr>
        <w:spacing w:after="0" w:line="229" w:lineRule="exact"/>
        <w:rPr>
          <w:sz w:val="20"/>
          <w:szCs w:val="20"/>
          <w:color w:val="auto"/>
        </w:rPr>
      </w:pPr>
    </w:p>
    <w:p>
      <w:pPr>
        <w:ind w:left="660" w:right="140" w:firstLine="648"/>
        <w:spacing w:after="0" w:line="258" w:lineRule="auto"/>
        <w:rPr>
          <w:sz w:val="20"/>
          <w:szCs w:val="20"/>
          <w:color w:val="auto"/>
        </w:rPr>
      </w:pPr>
      <w:r>
        <w:rPr>
          <w:rFonts w:ascii="Times New Roman" w:cs="Times New Roman" w:eastAsia="Times New Roman" w:hAnsi="Times New Roman"/>
          <w:sz w:val="18"/>
          <w:szCs w:val="18"/>
          <w:color w:val="auto"/>
        </w:rPr>
        <w:t>As a digital manufacturer, we are able to assist our customers as they focus on materials management, operational productivity and on-demand solutions. Digital manufacturing is a solution our customers can deploy to reduce product waste by iterating part designs virtually, on a digital twin model before any actual production begins. With on-demand production of parts, there is also reduced reliance on storage facilities since inventory is virtual – the parts you need, when you need them. Our on-demand manufacturing model also helps customers with end-of-life planning for products, reducing the need for ordering excess parts with shifting market demand.</w:t>
      </w:r>
    </w:p>
    <w:p>
      <w:pPr>
        <w:spacing w:after="0" w:line="183"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When paired with a robust e-commerce platform, digital manufacturing can also increase efficiencies in material selection and usage, the procurement process, and accelerate innovation. Furthermore, reducing scrap rate requires monitoring systems that enable automated process cycle sheet generation, ensuring run-to-run repeatability and reducing operator error. This kind of monitoring system can improve consistency in part production and reduce scrap costs, especially in injection molding and parts nonconformance. We believe sustainability in product development, and in manufacturing, is the future and we will continue to support our customers in their own sustainability journeys.</w:t>
      </w:r>
    </w:p>
    <w:p>
      <w:pPr>
        <w:spacing w:after="0" w:line="17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Environmental Priorities</w:t>
      </w:r>
    </w:p>
    <w:p>
      <w:pPr>
        <w:spacing w:after="0" w:line="229" w:lineRule="exact"/>
        <w:rPr>
          <w:sz w:val="20"/>
          <w:szCs w:val="20"/>
          <w:color w:val="auto"/>
        </w:rPr>
      </w:pPr>
    </w:p>
    <w:p>
      <w:pPr>
        <w:ind w:left="660" w:right="18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having a positive impact on the environment. Our environmental key priorities include: nonrenewable energy use reduction and environmental compliance. We have devoted resources to manage increasing costs of energy, particularly in the European region, and sought opportunities to reduce our consumption of energy resources. We also embraced opportunities to shift our energy consumption to renewable resources.</w:t>
      </w:r>
    </w:p>
    <w:p>
      <w:pPr>
        <w:spacing w:after="0" w:line="180"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In 2025, we again hosted InspirON in Europe, an online knowledge sharing event to focus on what design engineers need to consider when developing sustainable products for manufacturing. The event was designed to provide insight into designing more sustainable products and to explore how design can help make the manufacturing process greener and more efficient. The event covered topics ranging from: manufacturing innovation in the face of adversity, using rapid manufacturing to solve complex development challenges, and practical innovation for production methods.</w:t>
      </w:r>
    </w:p>
    <w:p>
      <w:pPr>
        <w:spacing w:after="0" w:line="183" w:lineRule="exact"/>
        <w:rPr>
          <w:sz w:val="20"/>
          <w:szCs w:val="20"/>
          <w:color w:val="auto"/>
        </w:rPr>
      </w:pPr>
    </w:p>
    <w:p>
      <w:pPr>
        <w:ind w:left="660" w:firstLine="648"/>
        <w:spacing w:after="0" w:line="243" w:lineRule="auto"/>
        <w:rPr>
          <w:sz w:val="20"/>
          <w:szCs w:val="20"/>
          <w:color w:val="auto"/>
        </w:rPr>
      </w:pPr>
      <w:r>
        <w:rPr>
          <w:rFonts w:ascii="Times New Roman" w:cs="Times New Roman" w:eastAsia="Times New Roman" w:hAnsi="Times New Roman"/>
          <w:sz w:val="18"/>
          <w:szCs w:val="18"/>
          <w:color w:val="auto"/>
        </w:rPr>
        <w:t>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covers nearly 20 percent of our energy use in Plymouth, MN and offsets the equivalent of 1.3 million pounds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preserves 775 acres of forest annually.</w:t>
      </w:r>
    </w:p>
    <w:p>
      <w:pPr>
        <w:spacing w:after="0" w:line="190" w:lineRule="exact"/>
        <w:rPr>
          <w:sz w:val="20"/>
          <w:szCs w:val="20"/>
          <w:color w:val="auto"/>
        </w:rPr>
      </w:pPr>
    </w:p>
    <w:p>
      <w:pPr>
        <w:jc w:val="both"/>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both at work and at home. The Green Team also provides opportunities for employees to positively impact the environment, including activities like roadside cleanup and tree planting.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Leadership</w:t>
      </w:r>
    </w:p>
    <w:p>
      <w:pPr>
        <w:spacing w:after="0" w:line="20" w:lineRule="exact"/>
        <w:rPr>
          <w:sz w:val="20"/>
          <w:szCs w:val="20"/>
          <w:color w:val="auto"/>
        </w:rPr>
      </w:pPr>
    </w:p>
    <w:p>
      <w:pPr>
        <w:ind w:left="660" w:right="20" w:firstLine="648"/>
        <w:spacing w:after="0" w:line="237" w:lineRule="auto"/>
        <w:rPr>
          <w:sz w:val="20"/>
          <w:szCs w:val="20"/>
          <w:color w:val="auto"/>
        </w:rPr>
      </w:pPr>
      <w:r>
        <w:rPr>
          <w:rFonts w:ascii="Times New Roman" w:cs="Times New Roman" w:eastAsia="Times New Roman" w:hAnsi="Times New Roman"/>
          <w:sz w:val="18"/>
          <w:szCs w:val="18"/>
          <w:color w:val="auto"/>
        </w:rPr>
        <w:t>In 2025, our global human resources leadership advanced our initiatives to identify untapped talent as we continue to integrate operations of the factory and network. This work includes engaging employees throughout the global organization and rewarding those who are living our values through quarterly recognition of individuals and teams. We periodically conduct employee engagement surveys to identify and drive improvements in the Protolabs workplace where employee feedback is used to drive action plans to create an environment where our employees can do their best work. We strive to create a culture of accountability, ethical conduct, and operational excellence. Our leadership team is evaluated against performance goals tied to our strategic priorities and shareholder interest.</w:t>
      </w:r>
    </w:p>
    <w:p>
      <w:pPr>
        <w:spacing w:after="0" w:line="194"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Workforce Demographics</w:t>
      </w:r>
    </w:p>
    <w:p>
      <w:pPr>
        <w:spacing w:after="0" w:line="229"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2,280 full-time employees, including 1,627 full-time employees in the United States and 653 full-time employees in Europe. We also use independent contractors and other temporary employees across the organization to augment our regular staff. We believe that our future success will depend in part on our continued ability to attract, hire and retain qualified personnel.</w:t>
      </w:r>
    </w:p>
    <w:p>
      <w:pPr>
        <w:spacing w:after="0" w:line="176"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We believe our employees are critical to our success and continually seek employee feedback to enhance employee engagement. In 2025 our attrition rates were 13.6% in both the United States and Europe. Our 2025 attrition rates include actions we took during the year to reduce our workforce in areas of the business that we are in the process of restructuring and transforming to improve operational efficiency and streamline the organization. Cost savings generated from these restructuring and transformation initiatives are being redeployed into technology investments, including enhancements to core systems, automation, and digital capabilities, to support growth in the Company's core business and further drive scale and efficiency.</w:t>
      </w:r>
    </w:p>
    <w:p>
      <w:pPr>
        <w:spacing w:after="0" w:line="183"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left="660"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our success depends on our ability to attract, retain and motivate a broad range of employees in a competitive and evolving environment. To support this objective, we maintain a competitive compensation program designed to align employee performance with company results. In determining employee compensation, our executive leadership team considers a number of factors, including individual and company performance, manager input, competitive market data from third party compensation surveys, our compensation philosophy and leadership experience. Annually, our executive leadership team reviews recommendations form managers regarding compensation levels based on an employee’s job performance, skills, experience, qualifications, and role within the organization. We also award long-term equity-based compensation to certain high performing employees and managers whose roles have significant impact on the creation of shareholder value.</w:t>
      </w:r>
    </w:p>
    <w:p>
      <w:pPr>
        <w:spacing w:after="0" w:line="18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provide employee benefits that meet or exceed legal requirements. Our benefits programs include, but are not limited to, paid leave, retirement savings plans, health and dental coverage, and family related benefits including maternity , parental, family care, and childcare benefits. Overtime is performed and compensated in accordance with applicable law and the terms of the individual’s employment contract or other applicable contract or agreement.</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Education</w:t>
      </w:r>
    </w:p>
    <w:p>
      <w:pPr>
        <w:spacing w:after="0" w:line="229" w:lineRule="exact"/>
        <w:rPr>
          <w:sz w:val="20"/>
          <w:szCs w:val="20"/>
          <w:color w:val="auto"/>
        </w:rPr>
      </w:pPr>
    </w:p>
    <w:p>
      <w:pPr>
        <w:ind w:left="660" w:right="120" w:firstLine="648"/>
        <w:spacing w:after="0" w:line="255" w:lineRule="auto"/>
        <w:rPr>
          <w:sz w:val="20"/>
          <w:szCs w:val="20"/>
          <w:color w:val="auto"/>
        </w:rPr>
      </w:pPr>
      <w:r>
        <w:rPr>
          <w:rFonts w:ascii="Times New Roman" w:cs="Times New Roman" w:eastAsia="Times New Roman" w:hAnsi="Times New Roman"/>
          <w:sz w:val="18"/>
          <w:szCs w:val="18"/>
          <w:color w:val="auto"/>
        </w:rPr>
        <w:t>We believe that investing in the education of our employees is critical to our success. We provide our employees with access to a robust learning management system that offers hundreds of courses on various topics ranging from compliance to leadership to job-specific skills. In 2025 , employees spent an average of 35 hours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 In 2025, we completed the third year of our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mentorship program to provide opportunities for mentors and mentees to accelerate their personal and professional development through a one-on-one guided relationship.</w:t>
      </w:r>
    </w:p>
    <w:p>
      <w:pPr>
        <w:spacing w:after="0" w:line="162"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pacing w:after="0" w:line="17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providing a safe and healthy working environment that minimizes health and safety risks. Our processes support accident prevention and prioritizes the health and safety of all our employees and all others affected by their activities. We provide and require our employees to use personal protective equipment at all times. To ensure our employees understand the importance of safety, we provide regular, mandatory training.</w:t>
      </w:r>
    </w:p>
    <w:p>
      <w:pPr>
        <w:spacing w:after="0" w:line="180"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176" w:lineRule="exact"/>
        <w:rPr>
          <w:sz w:val="20"/>
          <w:szCs w:val="20"/>
          <w:color w:val="auto"/>
        </w:rPr>
      </w:pPr>
    </w:p>
    <w:p>
      <w:pPr>
        <w:jc w:val="both"/>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concentrating on employee safety in the workplace, we also focus on the overall wellbeing of our employees. We continue to invest in a variety of employee health and wellness programs, including gym membership discounts, on-site fitness classes at certain facilities, wellness newsletters and learning sessions, and by providing various Employee Assistance Programs.</w:t>
      </w:r>
    </w:p>
    <w:p>
      <w:pPr>
        <w:spacing w:after="0" w:line="17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Charitable Giving</w:t>
      </w:r>
    </w:p>
    <w:p>
      <w:pPr>
        <w:spacing w:after="0" w:line="229" w:lineRule="exact"/>
        <w:rPr>
          <w:sz w:val="20"/>
          <w:szCs w:val="20"/>
          <w:color w:val="auto"/>
        </w:rPr>
      </w:pPr>
    </w:p>
    <w:p>
      <w:pPr>
        <w:ind w:left="660" w:right="20" w:firstLine="648"/>
        <w:spacing w:after="0" w:line="273" w:lineRule="auto"/>
        <w:rPr>
          <w:sz w:val="20"/>
          <w:szCs w:val="20"/>
          <w:color w:val="auto"/>
        </w:rPr>
      </w:pPr>
      <w:r>
        <w:rPr>
          <w:rFonts w:ascii="Times New Roman" w:cs="Times New Roman" w:eastAsia="Times New Roman" w:hAnsi="Times New Roman"/>
          <w:sz w:val="17"/>
          <w:szCs w:val="17"/>
          <w:color w:val="auto"/>
        </w:rPr>
        <w:t>We pride ourselves in being a responsible corporate citizen through our Protolabs Foundation. We support several charitable causes with our Employee Matching, Community Grants, and Major Gifts Programs. The Foundation’s efforts serve as a sustaining investment in the future of the communities where our employees live and work, and a commitment to build talent to support the future employment needs of the manufacturing industry. Through our Foundation and employee led community involvement team, a wide variety of charitable activities are organized, including supporting Girls Who Code, packing meal boxes for Matter Box, and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16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Human Rights</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responsibility to protect human rights and we are committed to fostering an organizational culture which promotes support for internationally recognized human rights and labor standards. We strive to respect and promote human rights in accordance with the UN Guiding Principles on Business and Human Rights in our relationship with our employees, customers, and suppliers. We have established a Human Rights Policy which is available on the Investor Relations section of our website.</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Supply Chain</w:t>
      </w:r>
    </w:p>
    <w:p>
      <w:pPr>
        <w:spacing w:after="0" w:line="229"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conducting our business in accordance with the highest ethical standards and in compliance with all applicable laws, rules, and regulations. We expect our suppliers to share our principles and uphold our standards and for each to develop policies and programs as appropriate to ensure that all workers understand and adhere to these standards. We have established a Vendor Code of Conduct Policy, including guidance on anti-bribery, privacy, and data protection; responsible sourcing of materials; environmental standards; labor and human rights and anti-tax evasion. Our full policy is available on the Investor Relations section of our website.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 appropriate. As of December 31, 2025,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Applications Pending</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Our patents have expiration dates ranging from 2026 to 2045. We also owned approximately 17 registered United States trademarks or service marks as of December 31, 2025, with corresponding registered protection in Europe for the most important of these marks such as PROTO LABS, HUBS, PROTOLABS NETWORK, FIRSTCUT, PROTOMOLD, PROTOQUOTE, MANUFACTURING ACCELERATED, PROTOFLOW, MICROFINE and MICROFINE GREEN,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8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information electronically with the SEC. The SEC’s website is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Set forth below are the names of our current executive officers, their ages, titles, the year first appointed as an executive officer, and employment for the past five years. Unless otherwise noted, the positions described are positions held within the Company or its subsidiaries.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4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Suresh Krishna</w:t>
            </w:r>
          </w:p>
        </w:tc>
        <w:tc>
          <w:tcPr>
            <w:tcW w:w="90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51</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Kermisch</w:t>
            </w:r>
          </w:p>
        </w:tc>
        <w:tc>
          <w:tcPr>
            <w:tcW w:w="900" w:type="dxa"/>
            <w:vAlign w:val="bottom"/>
            <w:tcBorders>
              <w:bottom w:val="single" w:sz="8" w:color="CCEEFF"/>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52</w:t>
            </w:r>
          </w:p>
        </w:tc>
        <w:tc>
          <w:tcPr>
            <w:tcW w:w="8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Technology &amp; AI Officer</w:t>
            </w: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Kenison</w:t>
            </w:r>
          </w:p>
        </w:tc>
        <w:tc>
          <w:tcPr>
            <w:tcW w:w="9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54</w:t>
            </w:r>
          </w:p>
        </w:tc>
        <w:tc>
          <w:tcPr>
            <w:tcW w:w="8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Operations Officer</w:t>
            </w:r>
          </w:p>
        </w:tc>
      </w:tr>
    </w:tbl>
    <w:p>
      <w:pPr>
        <w:spacing w:after="0" w:line="3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Executive officers of the Company are elected at the discretion of the board of directors. There are no family relationships between or among any of the executive officers or directors of the Company. There are no arrangements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understandings between any of the executive officers and any other persons pursuant to which they were selected as an officer.</w:t>
      </w:r>
    </w:p>
    <w:p>
      <w:pPr>
        <w:spacing w:after="0" w:line="221"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Suresh Krishna</w:t>
      </w:r>
      <w:r>
        <w:rPr>
          <w:rFonts w:ascii="Times New Roman" w:cs="Times New Roman" w:eastAsia="Times New Roman" w:hAnsi="Times New Roman"/>
          <w:sz w:val="18"/>
          <w:szCs w:val="18"/>
          <w:color w:val="auto"/>
        </w:rPr>
        <w:t>. Mr. Krishna has served as our President and Chief Executive Officer since May 2025. Prior to joining Protolabs, Mr. Krishna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recently served as President and Chief Executive Officer of Northern Tool + Equipment, a manufacturer and retailer of tools and commercial equipment from April 2020 through November 2024. Prior to that, Mr. Krishna held operations and leadership roles at companies such as Sleep Number Corporation, Polaris Industries and UTC Fire &amp; Security.</w:t>
      </w:r>
    </w:p>
    <w:p>
      <w:pPr>
        <w:spacing w:after="0" w:line="176"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Daniel Schumacher</w:t>
      </w:r>
      <w:r>
        <w:rPr>
          <w:rFonts w:ascii="Times New Roman" w:cs="Times New Roman" w:eastAsia="Times New Roman" w:hAnsi="Times New Roman"/>
          <w:sz w:val="17"/>
          <w:szCs w:val="17"/>
          <w:color w:val="auto"/>
        </w:rPr>
        <w:t>. Mr. Schumacher has served as our Chief Financial Officer and principal financial and accounting officer since June 2022.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his current role, Mr. Schumacher served as our Interim Chief Financial Officer since December 2021. Mr. Schumacher also led investor communication, forecasting and planning, and business intelligence for the Company as Vice President of Investor Relations and FP&amp;A from April 2017 to December 2021. From 2015 to 2017, Mr. Schumacher served as finance director in the Americas Finance &amp; Operations organization of Stratasys, Inc, a 3D Printing OEM.</w:t>
      </w:r>
    </w:p>
    <w:p>
      <w:pPr>
        <w:ind w:right="560"/>
        <w:spacing w:after="0" w:line="260" w:lineRule="auto"/>
        <w:rPr>
          <w:sz w:val="20"/>
          <w:szCs w:val="20"/>
          <w:color w:val="auto"/>
        </w:rPr>
      </w:pPr>
      <w:r>
        <w:rPr>
          <w:rFonts w:ascii="Times New Roman" w:cs="Times New Roman" w:eastAsia="Times New Roman" w:hAnsi="Times New Roman"/>
          <w:sz w:val="18"/>
          <w:szCs w:val="18"/>
          <w:color w:val="auto"/>
        </w:rPr>
        <w:t>From 2001 to 2015, Mr. Schumacher was in finance leadership roles of increasing responsibility for Rockwell Automation, an industrial automation company.</w:t>
      </w:r>
    </w:p>
    <w:p>
      <w:pPr>
        <w:spacing w:after="0" w:line="191"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b w:val="1"/>
          <w:bCs w:val="1"/>
          <w:i w:val="1"/>
          <w:iCs w:val="1"/>
          <w:color w:val="auto"/>
        </w:rPr>
        <w:t>Marc Kermisch</w:t>
      </w:r>
      <w:r>
        <w:rPr>
          <w:rFonts w:ascii="Times New Roman" w:cs="Times New Roman" w:eastAsia="Times New Roman" w:hAnsi="Times New Roman"/>
          <w:sz w:val="18"/>
          <w:szCs w:val="18"/>
          <w:color w:val="auto"/>
        </w:rPr>
        <w:t>. Mr. Kermisch has served as our Chief Technology &amp; AI Officer since October 2025. Prior to joining Proto Labs, Mr. Kermisch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recently served as Chief Technology Officer for Emergent Software, a full-stack technology company specializing in software development, cloud transformation, artificial intelligence (AI), and data engineering solutions from October 2024 through October 2025. Prior to that, Mr. Kermisch served as Global Chief Digital and Information Officer at Case New Holland, a manufacturer of agriculture and construction equipment where he focused on developing autonomous vehicles, precision farming applications, and electric powertrains from April 2021 through August 2024. Prior to Case New Holland, Mr. Kermisch served as Chief Technology Officer at Optum Rx, a pharmacy benefits manager from March 2020 through April 2021. Earlier in his career, he held executive leadership roles at Bluestem Brands and Redwing Shoe company, among others.</w:t>
      </w:r>
    </w:p>
    <w:p>
      <w:pPr>
        <w:spacing w:after="0" w:line="212" w:lineRule="exact"/>
        <w:rPr>
          <w:sz w:val="20"/>
          <w:szCs w:val="20"/>
          <w:color w:val="auto"/>
        </w:rPr>
      </w:pPr>
    </w:p>
    <w:p>
      <w:pPr>
        <w:ind w:right="300" w:firstLine="48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Michael Kenison</w:t>
      </w:r>
      <w:r>
        <w:rPr>
          <w:rFonts w:ascii="Times New Roman" w:cs="Times New Roman" w:eastAsia="Times New Roman" w:hAnsi="Times New Roman"/>
          <w:sz w:val="18"/>
          <w:szCs w:val="18"/>
          <w:color w:val="auto"/>
        </w:rPr>
        <w:t>. Mr. Kenison has served as our Chief Operations Officer since July 2024. Prior to his current position, Mr. Kenison led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at the Company, including as Vice President/General Manager - Americas, between June 2021 through June 2024, and Vice President of Manufacturing, between 2013 through June 2021. Before his tenure at Protolabs, Mr. Kenison served in several leadership roles within the industry, including as Vice President of Manufacturing at Cardiac Science, Inc. - a medical device provider of defibrillator technology.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5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87"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to develop new products manufactured internally is finding product lines for which our automated quotation and manufacturing processes offer an attractive value proposition, and we may not be able to find any new product lines with potential economies of scale similar to our existing product lines. With the acquisition of Hubs in 2021, we are able to expand our products offered through the Protolabs Network, our manufacturing partner network. If we do not keep pace with technological change and introduce new technologies, processes and product lines, the demand for our products and product lines may decline and our operating results may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effectively scale and adapt our existing technology, processes and infrastructure to meet the needs of our business.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cause us not to maintain the revenue growth that we have historically experienced.</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continued revenue growth will depend on many factors, a number of which are out of our control, including among others, our ability to:</w:t>
      </w:r>
    </w:p>
    <w:p>
      <w:pPr>
        <w:spacing w:after="0" w:line="162"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expand share of wallet in existing customer companies, as well as attract new customer companies;</w:t>
      </w:r>
    </w:p>
    <w:p>
      <w:pPr>
        <w:spacing w:after="0" w:line="225" w:lineRule="exact"/>
        <w:rPr>
          <w:rFonts w:ascii="Times New Roman" w:cs="Times New Roman" w:eastAsia="Times New Roman" w:hAnsi="Times New Roman"/>
          <w:sz w:val="18"/>
          <w:szCs w:val="18"/>
          <w:color w:val="auto"/>
        </w:rPr>
      </w:pPr>
    </w:p>
    <w:p>
      <w:pPr>
        <w:ind w:left="820" w:right="600" w:hanging="32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consistently execute on custom part orders in a consistent and timely manner that satisfies product developers’ and engineers’ needs and provides them with a superior experience;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technologies or manufacturing processes and broaden the range of parts we offer;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on our international strategy and expand into new geographic markets;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customer expectations for access to comprehensive, user-friendly e-commerce capabilities 24 hours per day, 7 days per week;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strength and awareness of our brand across geographic regions;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customer needs, technology and our industry;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operations and offerings of acquisitions;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and retain R&amp;D professionals who will continue to expand our technologies; and</w:t>
      </w:r>
    </w:p>
    <w:p>
      <w:pPr>
        <w:spacing w:after="0" w:line="225" w:lineRule="exact"/>
        <w:rPr>
          <w:rFonts w:ascii="Times New Roman" w:cs="Times New Roman" w:eastAsia="Times New Roman" w:hAnsi="Times New Roman"/>
          <w:sz w:val="18"/>
          <w:szCs w:val="18"/>
          <w:color w:val="auto"/>
        </w:rPr>
      </w:pPr>
    </w:p>
    <w:p>
      <w:pPr>
        <w:ind w:left="500" w:right="260" w:hanging="6"/>
        <w:spacing w:after="0" w:line="498" w:lineRule="auto"/>
        <w:tabs>
          <w:tab w:leader="none" w:pos="8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economic conditions which may negatively impact manufacturers' ability to innovate and bring new products to market. We cannot assure you that we will be successful in addressing the factors above and continuing to grow our business and revenue.</w:t>
      </w:r>
    </w:p>
    <w:p>
      <w:pPr>
        <w:spacing w:after="0" w:line="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serve our customers.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8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are dependent upon our manufacturing facilities, as well as managerial, customer service, sales, marketing and other similar functions, and we have not identified alternatives to these facilities or established fully redundant systems in multiple locations. However, we have redundant computing systems for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8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The rapid evolution and increased adoption of Artificial Intelligence (AI) technologies may intensify our cybersecurity risks. We may not have adequately assessed the internal and external risks posed to the security of our company’s systems and information and may not have implemented adequate preventive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our business are subject to privacy, data use and data security regulations, which may impact the way we use data to target customers.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harm our ability to do business, increase our costs and negatively affect our stock price.</w:t>
      </w:r>
    </w:p>
    <w:p>
      <w:pPr>
        <w:spacing w:after="0" w:line="229"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prospects for economic growth in regions where we operate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 global business that exposes us to additional risks.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and are seeking to further expand our international operations. Our international revenue accounted for approximately 19%, 21% and 21% of our total revenue in each of the years ended December 31, 2025, 2024 and 2023, respectively.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80"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in new geographic locations;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political or civil unrest or instability, terrorism or epidemics, and other similar outbreaks or events;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right="180" w:hanging="326"/>
        <w:spacing w:after="0" w:line="282"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foreign laws and regulations, as well as U.S. laws affecting the activities of U.S. companies abroad, including those associated with export controls, tariffs and embargoes, other trade restrictions and antitrust and data privacy concerns;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complex and changing laws governing intellectual property rights, sometimes affording companies lesser protection in certain areas;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holiday season;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producers and service providers;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local labor practices and laws on our business and operations;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payment risk and higher levels of payment fraud.</w:t>
      </w:r>
    </w:p>
    <w:p>
      <w:pPr>
        <w:spacing w:after="0" w:line="225" w:lineRule="exact"/>
        <w:rPr>
          <w:sz w:val="20"/>
          <w:szCs w:val="20"/>
          <w:color w:val="auto"/>
        </w:rPr>
      </w:pPr>
    </w:p>
    <w:p>
      <w:pPr>
        <w:ind w:right="80" w:firstLine="486"/>
        <w:spacing w:after="0" w:line="272" w:lineRule="auto"/>
        <w:rPr>
          <w:sz w:val="20"/>
          <w:szCs w:val="20"/>
          <w:color w:val="auto"/>
        </w:rPr>
      </w:pPr>
      <w:r>
        <w:rPr>
          <w:rFonts w:ascii="Times New Roman" w:cs="Times New Roman" w:eastAsia="Times New Roman" w:hAnsi="Times New Roman"/>
          <w:sz w:val="17"/>
          <w:szCs w:val="17"/>
          <w:color w:val="auto"/>
        </w:rPr>
        <w:t>Our business depends on customer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our financial condition and business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Such extreme weather conditions could pose physical risks to our facilities and disrupt operation of our supply chain and may increase operational costs. Concern over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raw material sourcing, manufacturing operations and the distribution of our products may be affected.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5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All of our in-house manufacturing products are produced in 9 manufacturing facilities, located in Rosemount, Minnesota; Plymouth, Minnesota; Brooklyn Park, Minnesota; Cary, North Carolina (2 facilities); Nashua, New Hampshire (2 facilities); Telford, United Kingdom; and Putzbrunn, Germany. These facilities and the manufacturing equipment we use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would be costly to replace and could require substantial lead time to repair or replace. Our facilities may be harmed by natural or man-made disasters, including, without limitation, earthquakes, floods, tornadoes, fires, hurricanes and nuclear disasters.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event any of our facilities are affected by a disaster, we may:</w:t>
      </w:r>
    </w:p>
    <w:p>
      <w:pPr>
        <w:spacing w:after="0" w:line="225"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customers;</w:t>
      </w:r>
    </w:p>
    <w:p>
      <w:pPr>
        <w:spacing w:after="0" w:line="225"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customers and be unable to regain those customers.</w:t>
      </w:r>
    </w:p>
    <w:p>
      <w:pPr>
        <w:spacing w:after="0" w:line="22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 strategic relationship, joint venture or investment could disrupt our business and harm our operating results and financial condition.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 expand our 3D printing capabilities in Europe; in November 2017, we acquired RAPID to enable us to offer our customers Sheet Metal and expand our CNC Machining processes; and in 2021 we acquired Hubs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Such transactions may be complex, time consuming and expensive, and may present numerous challenges and risks including:</w:t>
      </w:r>
    </w:p>
    <w:p>
      <w:pPr>
        <w:spacing w:after="0" w:line="188"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acquired company, asset or technology not furthering our business strategy as anticipated;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and competing in new product or geographic markets and increased competition, including price competition;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challenges;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talent;</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working with strategic partners and resolving any related disagreements or disputes;</w:t>
      </w:r>
    </w:p>
    <w:p>
      <w:pPr>
        <w:spacing w:after="0" w:line="225"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valuation for a company, asset or technology, or changes in the economic or market conditions or assumptions underlying our decision to acquire;</w:t>
      </w:r>
    </w:p>
    <w:p>
      <w:pPr>
        <w:spacing w:after="0" w:line="161"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or liabilities associated with acquired businesses, assets or technologies, including increased intellectual property and employment related litigation exposure;</w:t>
      </w:r>
    </w:p>
    <w:p>
      <w:pPr>
        <w:spacing w:after="0" w:line="161" w:lineRule="exact"/>
        <w:rPr>
          <w:rFonts w:ascii="Times New Roman" w:cs="Times New Roman" w:eastAsia="Times New Roman" w:hAnsi="Times New Roman"/>
          <w:sz w:val="18"/>
          <w:szCs w:val="18"/>
          <w:color w:val="auto"/>
        </w:rPr>
      </w:pPr>
    </w:p>
    <w:p>
      <w:pPr>
        <w:ind w:left="820" w:right="38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that results in a significant amount of goodwill being recognized, which could result in future impairment charges that would reduce our earnings;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right="20" w:hanging="32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record substantial charges and amortization expenses related to certain purchased intangible assets, deferred stock compensation and other items, as well as other charges or expenses.</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8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product lines that meet the needs of customers and to effectively respond to changes in our industry.</w:t>
      </w:r>
    </w:p>
    <w:p>
      <w:pPr>
        <w:spacing w:after="0" w:line="15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business has been, and, we believe, will continue to be, affected by changes in customer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enhance and improve our technology, product offerings and product lines.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particular, we plan to increase our research and development efforts and to continue to focus a significant portion of those efforts to further develop our technology in areas such as our interactive user interface and manufacturing processes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$42.8 million, $41.3 million and $40.1 million for the years ended December 31, 2025, 2024 and 2023, respectively, and there is no guarantee that these costs will enable us to maintain or grow our revenue profitability. Refer to Item 7. “Management’s Discussion and Analysis of Financial Condition and Results of Operations” in this Annual Report on Form 10-K for additional discussion related to research and development costs.</w:t>
      </w:r>
    </w:p>
    <w:p>
      <w:pPr>
        <w:spacing w:after="0" w:line="18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business is also subject to risks from emerging technologies such as AI and Machine Learning (ML) to enhance our internal processes and customer applications. While AI and ML offer significant opportunities, potential risks include unintended release of proprietary information and proprietary data, compliance with emerging AI regulations, and unintended outcomes from AI/ML applications. There is no guarantee that AI/ML will benefit our business operations or produce products and services that are preferred by our customers. Our competitors may be more successful in their use of AI/ML and our failure to properly anticipate and timely respond to AI-related developments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expectations regarding quick turnaround time would adversely affect our business and results of operations.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believe many customers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If we fail to meet our customers’ expectations regarding turnaround time in any given period, our business and results of operations will likely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price expectations would adversely affect our business and results of operations.</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given period, demand for our products and product lines could be negatively impacted and our business and results of operations could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customers' quality specifications would adversely affect our business and results of operations.</w:t>
      </w:r>
    </w:p>
    <w:p>
      <w:pPr>
        <w:spacing w:after="0" w:line="229"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believe many customers have a need for specific quality of their parts. We believe our ability to create parts within customer specifications is an important factor in our results to date. If we fail to meet our customers’ specifications in any given period, demand for our products and product lines could be negatively impacted and our business and results of operations could suffer.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customers and successfully identify significant opportunities for our business based on those submissions.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5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We acquire substantially all of the manufacturing equipment and certain of our materials that are critical to the ongoing operation and future growth of our business from several third parties. We do not have long-term supply contracts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Global supply chain disruptions may make scarce materials or supplies critical to our product offers and adversely impact our ability to manufacture and deliver products to our customers on time. In addition, if we were unable to find a suitable supplier for a particular type of manufacturing equipment or material, we could be required to 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which could impair our competitive position.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expand our intellectual property portfolio could adversely affect the growth of our business and results of operations.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result in material expense, diversion of management time and attention and damage to our business, reputation, and brand.</w:t>
      </w:r>
    </w:p>
    <w:p>
      <w:pPr>
        <w:spacing w:after="0" w:line="15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parts we manufacture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attempt to include provisions in our agreements with customers that are designed to limit our exposure to potential liability for damages arising from defects or errors in our products. However, it is possible that these limitations may not be effective as a result of unfavorable judicial decisions or laws enacted in the future.</w:t>
      </w:r>
    </w:p>
    <w:p>
      <w:pPr>
        <w:spacing w:after="0" w:line="17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sale and support of our products entails the risk of product liability claims. Any product liability claim brought against us, regardless of its merit, could result in material expense, diversion of management time and attention, damage to our business, reputation, and brand, and cause us to fail to retain existing customers or to fail to attract new customers.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 of, tax rules and regulations may impact our effective tax rate and future profitability.</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including those set forth in the One Big Beautiful Bill Act enacted in 2025, and regulations in jurisdictions in which we do business, changes in the amount of revenue or earnings in the countries with varying statutory tax rates, or by changes in the valuation of deferred tax assets and liabilities.</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financial condition may fluctuate on a quarterly and annual basis.</w:t>
      </w:r>
    </w:p>
    <w:p>
      <w:pPr>
        <w:spacing w:after="0" w:line="229"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18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Due to this and the other risks discussed in this “Risk Factors” section, you should not rely on quarter-to-quarter or year-to-year comparisons of our operating results as an indicator of future performance.</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59"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As a manufacturer of CNC-machined, injection-molded, 3D printed and sheet metal fabricated custom parts, we conform to certain international standards, including International Organization for Standardization, or ISO, for our facilities. The ISO standards to which we comply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9001:2015</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AS9100D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13485:2016</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14001:2015</w:t>
            </w: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45001:2018</w:t>
            </w:r>
          </w:p>
        </w:tc>
      </w:tr>
      <w:tr>
        <w:trPr>
          <w:trHeight w:val="27"/>
        </w:trPr>
        <w:tc>
          <w:tcPr>
            <w:tcW w:w="3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Minnesota,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Injection Molding, Minnesota,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CNC Machining, Minnesota,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3D Printing, North Carolina,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Yes</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Sheet Metal, New Hampshire, USA</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CNC Machining, New Hampshire, USA</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Putzbrunn, DE</w:t>
            </w:r>
          </w:p>
        </w:tc>
        <w:tc>
          <w:tcPr>
            <w:tcW w:w="16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Yes</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Telford, UK</w:t>
            </w:r>
          </w:p>
        </w:tc>
        <w:tc>
          <w:tcPr>
            <w:tcW w:w="1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Yes</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Yes</w:t>
            </w: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52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Protolabs Network, Chicago, USA and Amsterdam, NL Yes</w:t>
            </w:r>
          </w:p>
        </w:tc>
        <w:tc>
          <w:tcPr>
            <w:tcW w:w="1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w:t>
            </w:r>
          </w:p>
        </w:tc>
        <w:tc>
          <w:tcPr>
            <w:tcW w:w="1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35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If any system inspection reveals that we are not in compliance with applicable standards, registrars may take action against us, including issuing a corrective action request or discontinuing our certifications. If discontinuation of our certifications were to occur, it could harm our reputation as well as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debit cards or electronic checks, and it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our common stock traded as high as $55.90 and as low as $29.59.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76" w:lineRule="exact"/>
        <w:rPr>
          <w:sz w:val="20"/>
          <w:szCs w:val="20"/>
          <w:color w:val="auto"/>
        </w:rPr>
      </w:pPr>
    </w:p>
    <w:p>
      <w:pPr>
        <w:ind w:left="820" w:right="620" w:hanging="326"/>
        <w:spacing w:after="0" w:line="282"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Securities and Exchange Commission and announcements relating to litigation;</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shareholders, including sales by our officers, directors and significant shareholders;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22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Due to the factors above and the other risks discussed in this “Risk Factors” section, our stock is subject to volatility. 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our business, our stock price and trading volume could decline.</w:t>
      </w:r>
    </w:p>
    <w:p>
      <w:pPr>
        <w:spacing w:after="0" w:line="15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5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accounting firm to report on the effectiveness of our internal control over financial reporting, as required by Section 404 of the Sarbanes-Oxley Act. If we are not able to 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Minnesota law might discourage or delay acquisition attempts for us that you might consider favorable.</w:t>
      </w:r>
    </w:p>
    <w:p>
      <w:pPr>
        <w:spacing w:after="0" w:line="15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Third Amended and Restated Articles of Incorporation, as amended, and Third Amended and Restated By-Laws contain provisions that may make the acquisition of our company more difficult without the approval of our board of directors. These provisions:</w:t>
      </w:r>
    </w:p>
    <w:p>
      <w:pPr>
        <w:spacing w:after="0" w:line="162" w:lineRule="exact"/>
        <w:rPr>
          <w:sz w:val="20"/>
          <w:szCs w:val="20"/>
          <w:color w:val="auto"/>
        </w:rPr>
      </w:pPr>
    </w:p>
    <w:p>
      <w:pPr>
        <w:ind w:left="820" w:right="24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225"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820" w:right="60" w:hanging="32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shareholders seeking to present proposals before a meeting of shareholders or to nominate candidates for election as directors at a meeting of shareholders must provide notice in writing in a timely manner, comply with Rule 14a-9 under the Securities Exchange Act of 1934, as amended, and also specify requirements as to the form and content of a shareholder’s notice; and</w:t>
      </w:r>
    </w:p>
    <w:p>
      <w:pPr>
        <w:spacing w:after="0" w:line="17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83"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229"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identify, escalate, investigate, resolve and recover from identified vulnerabilities and security incidents in a timely manner. These include, but are not limited to, internal reporting,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monitoring and detection tools to allow our information security team members to assist us in identifying vulnerabilities in our systems before they are exploited by malicious threat actors. Our information security activities are overseen by our Chief Technology &amp; AI Officer, who has over 25 years of experience in information technology, including security, encryption, system design, programming and compliance, and leaders from Information Technology, Legal and Finance teams, who have an average of 20 years of experience in information technology, security, compliance and auditing.</w:t>
      </w:r>
    </w:p>
    <w:p>
      <w:pPr>
        <w:spacing w:after="0" w:line="180"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We also maintain a third party security program to identify, prioritize, assess, mitigate and remediate third party risks; however, we rely on the third parties we use to implement security programs commensurate with their risk, and we cannot ensure in all circumstances that their efforts will be successful.</w:t>
      </w:r>
    </w:p>
    <w:p>
      <w:pPr>
        <w:spacing w:after="0" w:line="14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part of our cybersecurity risk management system, our information security team tracks and logs privacy and security incidents across our Company, our vendors, and other third-party service providers to remediate and resolve any such incidents. Significant incidents are reviewed regularly by a cross-functional working group including legal, SEC regulation and information security professionals to determine whether further escalation is appropriate. Any incident assessed as potentially being or potentially becoming material is immediately escalated for further assessment, and then reported to designated members of our senior management. We consult with outside counsel as appropriate, including on materiality analysis and disclosure matters, and our senior management makes the final materiality determinations and disclosure and other compliance decisions.</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board oversees our annual enterprise risk assessment, where we assess key risks within the Company, including security and technology risks and cyber security threats.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Our executive leadership team regularly discusses cyber risks and trends and, should they arise, any material incidents with the audit committee.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and are not reasonably likely to be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well maintained and of sufficient capacity to support our current operations. We have facilities in the following regions: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Maple Plain, Minnesota in a facility we own encompassing approximately 95,000 square feet of office space. We own a facility in Rosemount, Minnesota that encompasses approximately 130,000 square feet of manufacturing and office space. We own a facility in Plymouth, Minnesota that encompasses approximately 170,000 square feet of manufacturing and office space. We own a facility in Brooklyn Park, Minnesota that encompasses approximately 215,000 square feet of manufacturing and office space.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two facilities in Cary, North Carolina that encompasses approximately 197,000 square feet of manufacturing and office space.</w:t>
      </w:r>
    </w:p>
    <w:p>
      <w:pPr>
        <w:spacing w:after="0" w:line="22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own a facility in Nashua, New Hampshire and lease a second facility. The lease expires in 2026. The New Hampshire facilities provide a total of approximately 128,000 square feet of manufacturing and office space.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European operations are headquartered in Telford, United Kingdom in a facility we own encompassing approximately 163,000 square feet of office and manufacturing space.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own a facility in Putzbrunn, Germany which encompasses approximately 70,000 square feet of office and manufacturing space.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also leased office space in Mosbach, Germany; Le Bourget du Lac, France; Novara, Italy and Nacka, Sweden for sales, customer service and technical support staff. The leases expired at various times from 2024 to 2025.</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lease a facility in Amsterdam, Netherlands that encompasses approximately 12,000 square feet of office space utilized to support our outsourced manufacturing operations. In 2025, we exercised an option to extend the lease for 36 months. The lease expires in 2028.</w:t>
      </w:r>
    </w:p>
    <w:p>
      <w:pPr>
        <w:spacing w:after="0" w:line="162"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In December 2025, the Company substantially completed the planned closure of the Eschenlohe, Germany location, where we leased a manufacturing and office facility encompassing approximately 21,000 square feet. The lease expires in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4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 Market Information</w:t>
      </w: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“PRLB” since February 24, 2012. Prior to that date, there was no public market for our common stock.</w:t>
      </w:r>
    </w:p>
    <w:p>
      <w:pPr>
        <w:spacing w:after="0" w:line="16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February 17, 2026 we had 24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2020 through December 31, 2025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not intended to suggest future performance. Data for the S&amp;P 500 Index and the Russell 2000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154305</wp:posOffset>
            </wp:positionV>
            <wp:extent cx="5314950" cy="360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12/31/2020</w:t>
            </w:r>
          </w:p>
        </w:tc>
        <w:tc>
          <w:tcPr>
            <w:tcW w:w="1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6/30/2021</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12/31/2021</w:t>
            </w:r>
          </w:p>
        </w:tc>
        <w:tc>
          <w:tcPr>
            <w:tcW w:w="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6/30/2022</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12/31/2022</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6/30/2023</w:t>
            </w:r>
          </w:p>
        </w:tc>
        <w:tc>
          <w:tcPr>
            <w:tcW w:w="8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12/31/2023</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6/30/2024</w:t>
            </w:r>
          </w:p>
        </w:tc>
        <w:tc>
          <w:tcPr>
            <w:tcW w:w="10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12/31/2024</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6/30/2025</w:t>
            </w:r>
          </w:p>
        </w:tc>
        <w:tc>
          <w:tcPr>
            <w:tcW w:w="8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12/31/2025</w:t>
            </w:r>
          </w:p>
        </w:tc>
      </w:tr>
      <w:tr>
        <w:trPr>
          <w:trHeight w:val="30"/>
        </w:trPr>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Proto Labs, Inc.</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59.84</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w:t>
            </w:r>
          </w:p>
        </w:tc>
      </w:tr>
      <w:tr>
        <w:trPr>
          <w:trHeight w:val="17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114.41</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126.89</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118.49</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145.38</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165.20</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182.25</w:t>
            </w: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3"/>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Russell 2000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110.14</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125.68</w:t>
            </w:r>
          </w:p>
        </w:tc>
      </w:tr>
      <w:tr>
        <w:trPr>
          <w:trHeight w:val="30"/>
        </w:trPr>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Issuer Purchases of Equity Securities</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On February 4, 2025, our board of directors authorized a share repurchase program (February 2025 Program). The February 2025 Program is open-ended and authorizes repurchases of shares of our common stock from time to time on the open market or in privately negotiated purchases, with a total stock repurchase authorized of up to $100 million. We have $57.1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repurchased 974,025 shares at an average price of $44.08 per share for an aggregate purchase price of $42.9 million under the February 2025 Program.</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19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Programs (in thousands)</w:t>
            </w:r>
          </w:p>
        </w:tc>
      </w:tr>
      <w:tr>
        <w:trPr>
          <w:trHeight w:val="37"/>
        </w:trPr>
        <w:tc>
          <w:tcPr>
            <w:tcW w:w="3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03"/>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through October 31, 2025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63,307</w:t>
            </w:r>
          </w:p>
        </w:tc>
      </w:tr>
      <w:tr>
        <w:trPr>
          <w:trHeight w:val="19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2025 through November 30, 2025</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58,723</w:t>
            </w:r>
          </w:p>
        </w:tc>
      </w:tr>
      <w:tr>
        <w:trPr>
          <w:trHeight w:val="37"/>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29"/>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through December 31, 2025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57,066</w:t>
            </w:r>
          </w:p>
        </w:tc>
      </w:tr>
      <w:tr>
        <w:trPr>
          <w:trHeight w:val="218"/>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57,066</w:t>
            </w:r>
          </w:p>
        </w:tc>
      </w:tr>
      <w:tr>
        <w:trPr>
          <w:trHeight w:val="25"/>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 This Management's Discussion and Analysis (MD&amp;A) generally discusses fiscal years 2025 and 2024 items and year-to-year comparisons between 2025 and 2024. Discussions of fiscal year 2023 items and year-to-year comparisons between 2024 and 2023 are generally not included in this MD&amp;A, and can be found in "Management's Discussion and Analysis of Financial Condition and Results of Operations" in Part II, Item 7. of the Company's Annual Report on Form 10-K for the fiscal year ended December 31, 2024, filed with the SEC on February 21,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the world’s fastest manufacturing service enabling companies across every industry to streamline production of quality parts throughout the entire product life cycle.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Through the acquisition of Hubs (formerly 3D Hubs, Inc., recently rebranded to Protolabs Network) in 2021, we provide our customers access to a global network of premium manufacturing partners who reside across North America, Europe and Asia. The manufacturing partner network, complements our in-house manufacturing, enabling us to significantly increase the size, complexity, breadth of manufacturing processes, lead times and prices of the parts we produce. Our customers conduct nearly all their business with us over the Internet. We target our products at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and we positioned ourselves to avoid routine, low margin, high-volume commoditized manufacturing. Our initial focus was on prototypes and simple parts and have added complexity over time, as well as adding production to our offer. We have added additional manufacturing services and expanded those services to meet the needs of our customers, which has ultimately driven our growth. We continually seek to expand the range of size and geometric complexity of the parts we can make or source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As a result of the factors described above, many of our customers tend to return to Proto Labs to meet their ongoing needs,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with approximately 96%, 95% and 95% of our revenue in the years ended December 31, 2025, 2024 and 2023, respectively, derived from existing customers.</w:t>
      </w:r>
    </w:p>
    <w:p>
      <w:pPr>
        <w:spacing w:after="0" w:line="16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substantially completed the plan during the fourth quarter of 2025.The Company continues to offer all its manufacturing services to customers across Europe, including injection molding and metal 3D printing through internal manufacturing facilities and a network of manufacturing partners. Previously we had established operations in Japan. Our revenue outside of the United States accounted for approximately 19% and 21% of our consolidated revenue in the years ended December 31, 2025 and 2024, respectively. We intend to continue to expand our international sales efforts and believe opportunities exist to serve the needs of customers in select new geographic regions.</w:t>
      </w:r>
    </w:p>
    <w:p>
      <w:pPr>
        <w:spacing w:after="0" w:line="192" w:lineRule="exact"/>
        <w:rPr>
          <w:sz w:val="20"/>
          <w:szCs w:val="20"/>
          <w:color w:val="auto"/>
        </w:rPr>
      </w:pPr>
    </w:p>
    <w:p>
      <w:pPr>
        <w:ind w:right="340" w:firstLine="486"/>
        <w:spacing w:after="0" w:line="276" w:lineRule="auto"/>
        <w:rPr>
          <w:sz w:val="20"/>
          <w:szCs w:val="20"/>
          <w:color w:val="auto"/>
        </w:rPr>
      </w:pPr>
      <w:r>
        <w:rPr>
          <w:rFonts w:ascii="Times New Roman" w:cs="Times New Roman" w:eastAsia="Times New Roman" w:hAnsi="Times New Roman"/>
          <w:sz w:val="17"/>
          <w:szCs w:val="17"/>
          <w:color w:val="auto"/>
        </w:rPr>
        <w:t>Total revenue increased to $533.1 million in the year December 31, 2025 from $500.9 million in the year ended December 31, 2024. During this period, our operating expenses increased to $212.0 million in the year ended December 31, 2025 from $203.3 million in the year ended December 31,</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2024. Historically, our growth in revenue has been accompanied by increased cost of revenues and operating expenses. We expect to increase investment in our operations to support anticipated future growth as discussed more fully below.</w:t>
      </w:r>
    </w:p>
    <w:p>
      <w:pPr>
        <w:spacing w:after="0" w:line="18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we believe that a number of trends affecting our industry have impacted our results of operations, which have increased our revenue and our operating expenses, and may continue to do so. For example, we believe that many of our target customers are facing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As a result, the adoption of e-commerce manufacturing has accelerated, which allows opportunity for us to provide valuable solutions to customers looking to build resiliency in their supply chains through fast, on-demand manufacturers. While our business may be positively affected by these trends, our results may also be favorably or unfavorably impacted by other trends that affect customer orders for custom parts, including, among others, economic conditions, changes in customer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operations are comprised of two geographic operating segments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substantially completed the plan in the fourth quarter of 2025. These services will be fulfilled through internal manufacturing facilities and a network of manufacturing partners.</w:t>
      </w:r>
    </w:p>
    <w:p>
      <w:pPr>
        <w:spacing w:after="0" w:line="18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custom 3D-printed parts. Sheet Metal revenue consists of sales of fabricated sheet metal custom parts and assemblies.</w:t>
      </w:r>
    </w:p>
    <w:p>
      <w:pPr>
        <w:spacing w:after="0" w:line="17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62"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October 2015;</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in 2017;</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25" w:lineRule="exact"/>
        <w:rPr>
          <w:rFonts w:ascii="Times New Roman" w:cs="Times New Roman" w:eastAsia="Times New Roman" w:hAnsi="Times New Roman"/>
          <w:sz w:val="18"/>
          <w:szCs w:val="18"/>
          <w:color w:val="auto"/>
        </w:rPr>
      </w:pPr>
    </w:p>
    <w:p>
      <w:pPr>
        <w:ind w:left="980" w:right="56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January 2021.</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171450</wp:posOffset>
            </wp:positionV>
            <wp:extent cx="6866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3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contacts</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53,464</w:t>
            </w:r>
          </w:p>
        </w:tc>
      </w:tr>
      <w:tr>
        <w:trPr>
          <w:trHeight w:val="27"/>
        </w:trPr>
        <w:tc>
          <w:tcPr>
            <w:tcW w:w="4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customer contact</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r>
      <w:tr>
        <w:trPr>
          <w:trHeight w:val="270"/>
        </w:trPr>
        <w:tc>
          <w:tcPr>
            <w:tcW w:w="4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r>
    </w:tbl>
    <w:p>
      <w:pPr>
        <w:spacing w:after="0" w:line="292" w:lineRule="exact"/>
        <w:rPr>
          <w:sz w:val="20"/>
          <w:szCs w:val="20"/>
          <w:color w:val="auto"/>
        </w:rPr>
      </w:pPr>
    </w:p>
    <w:p>
      <w:pPr>
        <w:ind w:left="580" w:right="80" w:hanging="5"/>
        <w:spacing w:after="0" w:line="239" w:lineRule="auto"/>
        <w:tabs>
          <w:tab w:leader="none" w:pos="66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2025, we served 48,415 unique customer contacts who purchased our products through our web-based customer interface, a decrease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over the same period in 2024. Our customer contacts served decreased while our revenue increased. This was primarily due to our mix of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in 2025 as compared to 2024 and our strategic focus to earn larger orders from our customers as we strive to be their supplier of choice by serving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custom parts needs through the comprehensive offer of our factory and the Protolabs Network. Our revenue per customer contact grew 13.3%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2024.</w:t>
      </w:r>
    </w:p>
    <w:p>
      <w:pPr>
        <w:spacing w:after="0" w:line="207"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During 2024, we served 51,552 unique customer contacts who purchased our products through our web-based customer interface, a decrease of 3.6% over the same period in 2023.</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0"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quick-turn factory business model requires that we invest in our capacity well in advance of demand to ensure we can fulfill the expectations for quick delivery of products manufactured in house to our customers. Therefore, over the last several years, we have made significant investments in additional factory space, equipment and infrastructure across our geographic segments.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 Our addition of Hubs in 2021 provides a complementary opportunity to add revenue growth through the use of premium manufacturing partners, without the significant investments required by our internal manufacturing business model.</w:t>
      </w:r>
    </w:p>
    <w:p>
      <w:pPr>
        <w:spacing w:after="0" w:line="18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ectPr>
          <w:pgSz w:w="11900" w:h="16838" w:orient="portrait"/>
          <w:cols w:equalWidth="0" w:num="1">
            <w:col w:w="11300"/>
          </w:cols>
          <w:pgMar w:left="320" w:top="337" w:right="2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general and administrative expenses, restructuring and transformation costs and costs related to disposal and exit activities. Personnel-related costs are the most significant component in each of these categories.</w:t>
      </w:r>
    </w:p>
    <w:p>
      <w:pPr>
        <w:spacing w:after="0" w:line="16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Our business strategy is to serve customers across the entire lifecycle of a part—from prototype through production. In order to achieve our goals, we anticipate continued substantial investments in technology and personnel, resulting in increased operating expenses in the future.</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processes and product lines, 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Times New Roman" w:cs="Times New Roman" w:eastAsia="Times New Roman" w:hAnsi="Times New Roman"/>
          <w:sz w:val="18"/>
          <w:szCs w:val="18"/>
          <w:i w:val="1"/>
          <w:iCs w:val="1"/>
          <w:color w:val="auto"/>
        </w:rPr>
        <w:t>, 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82"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transformation costs. </w:t>
      </w:r>
      <w:r>
        <w:rPr>
          <w:rFonts w:ascii="Times New Roman" w:cs="Times New Roman" w:eastAsia="Times New Roman" w:hAnsi="Times New Roman"/>
          <w:sz w:val="18"/>
          <w:szCs w:val="18"/>
          <w:color w:val="auto"/>
        </w:rPr>
        <w:t>Costs related to actions taken to improve operational efficiency and streamline the organization. Such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employee severance and related benefits, professional fees, and other charges in connection with organizational realignments. Cost savings generated from these restructuring and transformation initiatives are being redeployed primarily into technology investments, including enhancements to core systems, automation, and digital capabilities, to support growth in the Company's core business and further drive scale and efficiency.</w:t>
      </w:r>
    </w:p>
    <w:p>
      <w:pPr>
        <w:spacing w:after="0" w:line="180"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related to disposal and exit activities. </w:t>
      </w:r>
      <w:r>
        <w:rPr>
          <w:rFonts w:ascii="Times New Roman" w:cs="Times New Roman" w:eastAsia="Times New Roman" w:hAnsi="Times New Roman"/>
          <w:sz w:val="18"/>
          <w:szCs w:val="18"/>
          <w:color w:val="auto"/>
        </w:rPr>
        <w:t>Costs related to disposal and exit activities is driven by our decision to close certain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 Germany and Japan and further to exit the Japan market. The expenses consist primarily of operating expenses, including employee severance, write-down of fixed assets, facility-related charges and goodwill impairment charges.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2025 and beyond may differ from historical effective tax rates due to changes in losses in foreign operations that are not eligible for tax benefits on account of valuation allowances, as well as any future tax law changes that may impact the effective tax rate.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66"/>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6"/>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00" w:type="dxa"/>
            <w:vAlign w:val="bottom"/>
          </w:tcPr>
          <w:p>
            <w:pPr>
              <w:spacing w:after="0"/>
              <w:rPr>
                <w:sz w:val="14"/>
                <w:szCs w:val="14"/>
                <w:color w:val="auto"/>
              </w:rPr>
            </w:pPr>
          </w:p>
        </w:tc>
      </w:tr>
      <w:tr>
        <w:trPr>
          <w:trHeight w:val="29"/>
        </w:trPr>
        <w:tc>
          <w:tcPr>
            <w:tcW w:w="1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67"/>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1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3"/>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533,127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(0.6)</w:t>
            </w:r>
          </w:p>
        </w:tc>
      </w:tr>
      <w:tr>
        <w:trPr>
          <w:trHeight w:val="173"/>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r>
      <w:tr>
        <w:trPr>
          <w:trHeight w:val="29"/>
        </w:trPr>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6"/>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0.5</w:t>
            </w:r>
          </w:p>
        </w:tc>
      </w:tr>
      <w:tr>
        <w:trPr>
          <w:trHeight w:val="173"/>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9"/>
        </w:trPr>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83"/>
        </w:trPr>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Marketing and sales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5.0</w:t>
            </w:r>
          </w:p>
        </w:tc>
      </w:tr>
      <w:tr>
        <w:trPr>
          <w:trHeight w:val="157"/>
        </w:trPr>
        <w:tc>
          <w:tcPr>
            <w:tcW w:w="1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Research and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4"/>
        </w:trPr>
        <w:tc>
          <w:tcPr>
            <w:tcW w:w="1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development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2.9</w:t>
            </w:r>
          </w:p>
        </w:tc>
      </w:tr>
      <w:tr>
        <w:trPr>
          <w:trHeight w:val="29"/>
        </w:trPr>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7"/>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74"/>
        </w:trPr>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1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Restructuring and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4"/>
        </w:trPr>
        <w:tc>
          <w:tcPr>
            <w:tcW w:w="1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transformation costs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7"/>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Costs related to disposal</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94"/>
        </w:trPr>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exit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7"/>
        </w:trPr>
        <w:tc>
          <w:tcPr>
            <w:tcW w:w="152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auto"/>
              </w:rPr>
              <w:t>Total operating</w:t>
            </w: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r>
      <w:tr>
        <w:trPr>
          <w:trHeight w:val="164"/>
        </w:trPr>
        <w:tc>
          <w:tcPr>
            <w:tcW w:w="1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r>
      <w:tr>
        <w:trPr>
          <w:trHeight w:val="29"/>
        </w:trPr>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6"/>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29.3</w:t>
            </w:r>
          </w:p>
        </w:tc>
      </w:tr>
      <w:tr>
        <w:trPr>
          <w:trHeight w:val="173"/>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6"/>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(11.7)</w:t>
            </w:r>
          </w:p>
        </w:tc>
      </w:tr>
      <w:tr>
        <w:trPr>
          <w:trHeight w:val="173"/>
        </w:trPr>
        <w:tc>
          <w:tcPr>
            <w:tcW w:w="1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(24.7)</w:t>
            </w:r>
          </w:p>
        </w:tc>
      </w:tr>
      <w:tr>
        <w:trPr>
          <w:trHeight w:val="30"/>
        </w:trPr>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1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2025 and 2024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8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38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36,134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32,237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revenue increased $32.2 million, or 6.4%, for 2025 compared with 2024. By reportable segment, revenue in the United States increased $36.1 million, or 9.1%, for 2025 compared with 2024. Revenue in Europe decreased $3.9 million, or 3.7%, for 2025 compared with 2024. International revenue was positively impacted by $3.5 million during 2025 compared to the same period in 2024 as a result of foreign currency movements, primarily the strengthening of the British Pound and Euro relative to the United States Dollar.</w:t>
      </w:r>
    </w:p>
    <w:p>
      <w:pPr>
        <w:spacing w:after="0" w:line="180"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2025, we served 48,415 unique customer contacts, a decrease of 6.1% over 2024. Our customer contacts served decreased while our revenue grew. This was primarily due to our mix of customers served in 2025 as compared to 2024 and our strategic focus to earn larger orders from our customers as we strive to be their supplier of choice by serving their custom parts needs through the comprehensive offer of our factory and the Protolabs Network. Our revenue per customer contact grew 13.3% as compared to 2024.</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and the related changes for 2025 and 2024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6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32,237</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17.6% increase in CNC Machining revenue, a 12.4% increase in Sheet Metal revenue, and a 8.6% increase in Other Revenue, which was partially offset by a 4.1% decrease in 3D Printing revenue, and 1.4% decrease in Injection Molding revenue, in each case for 2025 compared with 2024.</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$18.3 million, or 6.6%, for 2025 compared to 2024, which was more than the rate of revenue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 for 2025 compared to 2024. The increase in the cost of revenue of $18.3 million was driven by higher revenue volumes resulting in an increase of $12.3 million in raw material and production and fulfillment related costs and $7.6 million in personnel related costs, primarily due to incentive compensation related to our annual short-term incentive compensation plan, overtime and medical related costs in 2025 compared with 2024, partially offset by decreases in equipment and facility-related and other costs of $1.6 million.</w:t>
      </w:r>
    </w:p>
    <w:p>
      <w:pPr>
        <w:spacing w:after="0" w:line="183"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to $237.1 million in 2025 from $223.2 million in 2024. Gross margin decreased to 44.5%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 2025 from 44.6% in 2024.</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right="6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increased $6.2 million, or 6.8%, for 2025 compared to 2024, primarily due to increases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related costs of $5.0 million, primarily due to incentive compensation related to commissions and our annual short-term incentive compensation plan and merit increases, and marketing program cost increases of $1.2 million.</w:t>
      </w:r>
    </w:p>
    <w:p>
      <w:pPr>
        <w:spacing w:after="0" w:line="173" w:lineRule="exact"/>
        <w:rPr>
          <w:sz w:val="20"/>
          <w:szCs w:val="20"/>
          <w:color w:val="auto"/>
        </w:rPr>
      </w:pPr>
    </w:p>
    <w:p>
      <w:pPr>
        <w:jc w:val="both"/>
        <w:ind w:right="2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 increased $1.5 million, or 3.7%, for 2025 compared to 2024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related cost increases of $2.2 million, primarily related to incentive compensation related to our annual short-term incentive compensation plan and merit increases, partially offset by decreases of $0.4 million in operating costs and $0.3 million in professional services.</w:t>
      </w:r>
    </w:p>
    <w:p>
      <w:pPr>
        <w:spacing w:after="0" w:line="173"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 increased $5.5 million, or 8.5%, for 2025 compared to 2024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of $3.6 million in personnel and related costs, primarily related to the previously disclosed CEO transition that occurred in 2025, and incentive compensation related to our annual short-term incentive compensation plan, $2.3 million of administrative costs, $1.0 million of professional services, which were partially offset by a decrease $1.4 million in stock-based compensation.</w:t>
      </w:r>
    </w:p>
    <w:p>
      <w:pPr>
        <w:spacing w:after="0" w:line="180" w:lineRule="exact"/>
        <w:rPr>
          <w:sz w:val="20"/>
          <w:szCs w:val="20"/>
          <w:color w:val="auto"/>
        </w:rPr>
      </w:pPr>
    </w:p>
    <w:p>
      <w:pPr>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and transformation costs</w:t>
      </w:r>
      <w:r>
        <w:rPr>
          <w:rFonts w:ascii="Times New Roman" w:cs="Times New Roman" w:eastAsia="Times New Roman" w:hAnsi="Times New Roman"/>
          <w:sz w:val="18"/>
          <w:szCs w:val="18"/>
          <w:color w:val="auto"/>
        </w:rPr>
        <w:t>. Restructuring and transformation costs include expenses related to actions taken to improve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and streamline the organization and result in $0.7 million in operating expenses during 2025 primarily related to severance and related benefit costs. We had no restructuring and transformation costs in 2024.</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Costs related to disposal and exit activities. </w:t>
      </w:r>
      <w:r>
        <w:rPr>
          <w:rFonts w:ascii="Times New Roman" w:cs="Times New Roman" w:eastAsia="Times New Roman" w:hAnsi="Times New Roman"/>
          <w:sz w:val="18"/>
          <w:szCs w:val="18"/>
          <w:color w:val="auto"/>
        </w:rPr>
        <w:t>Our decision to exit and close certain operations in Germany resulted in $0.3 million 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during 2025 primarily related to the write down of fixed assets and other related costs. These items are the result of changes from the estimated amounts accrued in 2024 and the timing of employee separation payments. Costs related to disposal and exit activities for 2024 primarily consisted of $3.3 million of severance and $2.3 million related to the write-down of fixed assets.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Income from operations increased $5.2 million, or 26.1%, for 2025 compared with 2024. By reportable segment, income from operations for the United States increased $12.4 million for 2025 compared with 2024. Loss from operations for Europe increased $1.6 million for 2025 compared with 2024, which was primarily driven by lower revenue volumes, negative operating leverage and $0.3 million in operating expenses associated with our decision to exit and close certain operations in Germany. Loss from operations included in Corporate Unallocated increased $5.6 million for 2025 compared with 2024.</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(Expense), Net and Provision for Income Taxes</w:t>
      </w:r>
    </w:p>
    <w:p>
      <w:pPr>
        <w:spacing w:after="0" w:line="22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We recognized other income, net of $6.0 million in 2025, an increase of $1.2 million compared to other income,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 million for 2024. Other expense, net for 2025 primarily consisted of $5.4 million of interest income on investments and other income and $0.6 million of foreign currency and other gains. Other income, net for 2024 primarily consisted of $5.4 million of interest income on investments and other income, partially offset by $0.4 million of foreign currency losses and $0.2 million of interest expense and other expenses.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income tax provision increased by $1.7 million for 2025 when compared to 2024. The increase in the provision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operating income, as well as 2024 including a one-time reduction in deferred tax liabilities from being revalued at a lower state tax rate, that did not repeat in 2025. Our effective tax rate of 31.6% for 2025 decreased 1.1% compared to 32.7% for the same period in 2024, primarily due to a decrease in losses in foreign operations that are not eligible for tax benefits on account of valuation allowances, as well as a decrease in tax expense from the vesting of restricted stock and the exercise of stock options, partially offset by 2024 including a one-time reduction in deferred tax liabilities from being revalued at a lower state tax rate, that did not repeat in 2025.</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fiscal years ended December 31, 2024 and December 31, 2023, see Part II, Item 7. "Management's Discussion and Analysis of Financial Condition and Results of Operations" of our Annual Report on Form 10-K for the fiscal year ended December 31, 2024, filed with the SEC on February 21, 2025.</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 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finance our operations and capital expenditures through cash flow from operations. We had cash and cash equivalents of $110.8 million as of December 31, 2025, an increase of $21.8 million from December 31, 2024. The increase in our cash was primarily due to cash generated through operations of $74.5 million, which was partially offset by cash used in financing activities of $40.4 million, primarily for repurchases of common stock of $43.0 million and purchases of shares withheld for tax obligations of $3.4 million, which was partially offset by cash proceeds from the issuance of common stock from equity plans of $6.3 million and cash used in investing activities of $13.4 million, consisting primarily of net purchases of property, equipment and other capital assets of $14.0 million, partially offset by net proceeds from marketable securities of $0.6 million. We had cash and cash equivalents of $89.1 million as of December 31, 2024, an increase of $5.3 million from December 31, 2023. The increase in our cash was primarily due to cash generated through operations of $77.8 million, which was partially offset by cash used in investing activities of $13.6 million, consisting primarily of net purchases of property, equipment and other capital assets of $9.1 million and net purchases of marketable securities of $4.4 million, and cash used in financing activities of $58.6 million, primarily for repurchases of common stock of $60.3 million and purchases of shares withheld for tax obligations of $2.0 million, which was partially offset by cash proceeds from the issuance of common stock from equity plans of $4.0 million.</w:t>
      </w:r>
    </w:p>
    <w:p>
      <w:pPr>
        <w:spacing w:after="0" w:line="1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the amount of cash and cash equivalents held by foreign subsidiaries was $9.3 million. Our intent is to continue to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Cash flow from operating activities of $74.5 million during 2025 primarily consisted of net income of $21.2 million, adjusted for certain non-cash items, including depreciation and amortization of $33.8 million, stock-based compensation expense of $15.7 million, deferred taxes of $2.9 million, non-cash fixed asset impairment charges primarily related to the exit of certain operations in Germany $0.4 million, and changes in operating assets and liabilities and other items totaling $0.3 million. The cash flow from operating activities during 2025 compared to 2024 decreased $3.3 million primarily due to changes in operating assets and liabilities and other of $10.6 million, a decrease in non-cash fixed impairment charges primarily related to certain operations in Germany during 2024 of $2.1 million, a decrease in depreciation and amortization of $2.0 million, decreases in stock-based compensation of $1.3 million, which were partially offset by increases in deferred taxes of $8.1 million and net income of $4.6 million.</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Cash flow from operating activities of $77.8 million during 2024 primarily consisted of net income of $16.6 million, adjusted for certain non-cash items, including depreciation and amortization of $35.8 million, stock-based compensation expense of $17.0 million, changes in operating asset and liabilities and other items totaling $11.0 million and non-cash fixed asset impairment charges related to the exit of certain operations in Germany of $2.6 million, which were partially offset by changes in deferred taxes of $5.2 million. The cash flow from operating activities during 2024 compared to 2023 increased $4.6 million primarily due to changes in operating assets and liabilities of $5.4 million, non-cash fixed asset impairment charges primarily related to certain operations in Germany of $2.6 million, increases in deferred taxes of $2.5 million, increases in stock-based compensation of $1.0 million and other items of $0.3 million, which were partially offset by decreases in foreign currency translation losses of $3.9 million, depreciation and amortization of $1.7 million, interest on finance lease obligations of $1.0 million and net income $0.6 million.</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$13.4 million for the year ended December 31, 2025, consisting of $14.0 million for the net purchases of property, equipment and other capital assets, partially offset by $0.6 million in net proceeds from maturities of marketable securities.</w:t>
      </w:r>
    </w:p>
    <w:p>
      <w:pPr>
        <w:spacing w:after="0" w:line="162"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$13.6 million for the year ended December 31, 2024, consisting of $9.1 million for the net purchases of property, equipment and other capital assets and $4.4 million of net purchases of marketable securities.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$40.4 million for the year ended December 31, 2025, consisting of $43.0 million in repurchases of common stock, $3.4 million in shares withheld for tax obligations associated with equity transactions, and $0.3 million for repayments of finance lease obligations, which were partially offset by $6.3 million in proceeds from issuance of common stock from equity plans.</w:t>
      </w:r>
    </w:p>
    <w:p>
      <w:pPr>
        <w:spacing w:after="0" w:line="17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$58.6 million for the year ended December 31, 2024, consisting of $60.3 million in repurchases of common stock, $2.0 million in shares withheld for tax obligations associated with equity transactions, and $0.3 million for repayments of finance lease obligations, which were partially offset by $4.0 million in proceeds from issuance of common stock from equity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Capital Expenditure Requirements</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following:</w:t>
      </w:r>
    </w:p>
    <w:p>
      <w:pPr>
        <w:spacing w:after="0" w:line="225"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growth in Injection Molding, CNC Machining, 3D Printing and Sheet Metal product lines;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operations, including costs relating to expansion and growth;</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225"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product rights, or participating in litigation-related activities; and</w:t>
      </w:r>
    </w:p>
    <w:p>
      <w:pPr>
        <w:spacing w:after="0" w:line="161"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 although we currently have no commitments or agreements relating to any of these types of transactions.</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recent annual capital expenditures have varied between 2% and 7% of annual revenue. We believe future growth capital expenditures, excluding any expenditures for buildings and maintenance capital we might purchase for our operations, are likely to vary between approximately 2% and 7% of annual revenue.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our contractual obligations are $3.0 million related to current and long-term operating and finance lease liabilities and $9.6 million related to unsatisfied performance obligations for revenue generating contracts with an original expected length of one year or less.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no financing arrangements as of December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Critical accounting estimates are those estimates made in accordance with GAAP which involve a significant level of estimation uncertainty and have had or are reasonably likely to have a material impact on our financial condition and results of operations. On an ongoing basis, we evaluate our estimates, including those related to revenue recognition, goodwill,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19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believe the following critical accounting policies and estimates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and estimates, as well as a description of our other accounting policies and estimates.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60" w:firstLine="486"/>
        <w:spacing w:after="0" w:line="257" w:lineRule="auto"/>
        <w:rPr>
          <w:sz w:val="20"/>
          <w:szCs w:val="20"/>
          <w:color w:val="auto"/>
        </w:rPr>
      </w:pPr>
      <w:r>
        <w:rPr>
          <w:rFonts w:ascii="Times New Roman" w:cs="Times New Roman" w:eastAsia="Times New Roman" w:hAnsi="Times New Roman"/>
          <w:sz w:val="18"/>
          <w:szCs w:val="18"/>
          <w:color w:val="auto"/>
        </w:rPr>
        <w:t xml:space="preserve">We recognize revenue for our internal and outsourced manufacturing operations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manufacture custom parts to specific customer orders that have no alternative use to us, and we believe there is a legally enforceable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payment for performance completed to date on internally and outsourced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recognize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our reporting units, which are determined by the discrete financial information available for the component and whether it is regularly reviewed by segment management. Our reporting units are the United States and Europe. Goodwill is not amortized.</w:t>
      </w:r>
    </w:p>
    <w:p>
      <w:pPr>
        <w:spacing w:after="0" w:line="18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performing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 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w:t>
      </w:r>
    </w:p>
    <w:p>
      <w:pPr>
        <w:spacing w:after="0" w:line="18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If performing the impairment test, we would determine the fair value of our reporting units through the income approach by using discounted cash flow (DCF) analyses. Determining fair value requires us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our valuations.</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the fiscal year 2025 annual impairment assessment, the Company performed a qualitative assessment for the United States reporting unit, since it is the only reporting unit with goodwill, and determined there were no indicators of impairment and it was more likely than not that the fair value of the United States reporting unit exceeded its carrying value.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recognize other intangibles assets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Other intangible assets include software technology, customer relationships and other intangible assets acquired from independent parties. We used a multi-period excess earnings method under the income approach to measure the software platform when acquired through an acquisition. The significant assumptions used to estimate the value of the software platform included forecasted annual revenue growth, gross margin rates, operating expenses as a percentage of sales and the weighted-average cost of capital, which are affected by our business plans and expectations about future market or economic conditions.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2025, no impairment charges for intangible assets have been recognized.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determine our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75"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18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pacing w:after="0" w:line="187"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59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3.80 - 4.17%</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4.28 - 4.30%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3.55 - 4.55%</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6.25</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2.00 - 6.25</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52.05 -52.99%</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50.62 -53.17%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49.23 -55.92%</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c>
          <w:tcPr>
            <w:tcW w:w="19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$22.01</w:t>
            </w:r>
          </w:p>
        </w:tc>
        <w:tc>
          <w:tcPr>
            <w:tcW w:w="198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5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6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6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- 4.29%</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4.29 - 5.16%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- 5.16%</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6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- 65.60%</w:t>
            </w:r>
          </w:p>
        </w:tc>
        <w:tc>
          <w:tcPr>
            <w:tcW w:w="18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30.97 - 65.60%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- 67.84%</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tcPr>
          <w:p>
            <w:pPr>
              <w:spacing w:after="0"/>
              <w:rPr>
                <w:sz w:val="21"/>
                <w:szCs w:val="21"/>
                <w:color w:val="auto"/>
              </w:rPr>
            </w:pPr>
          </w:p>
        </w:tc>
        <w:tc>
          <w:tcPr>
            <w:tcW w:w="9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6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9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80"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We recognize stock-based compensation expense on a straight-line basis over the requisite service period. We recorded stock-based compensation expense relating to stock options, restricted stock awards, performance stock units and our ESPP of $15.7 million, $17.0 million and $16.0 million during the years ended December 31, 2025, 2024 and 2023, respectively. As of December 31, 2025, we had $2.7 million of unrecognized stock-based compensation costs related to unvested stock options that are expected to be recognized over a weighted average period of 2.8 years. We issued options to purchase 147,664, 140,405 and 186,804 shares of our common stock during the years ended December 31, 2025, 2024 and 2023, respectively. As of December 31, 2025, we had $16.6 million of unrecognized stock-based compensation costs related to unvested restricted stock, which is expected to be recognized over a weighted average period of 2.7 years. We issued restricted stock awards of 312,953, 377,961 and 410,682 shares of our common stock during the years ended December 31, 2025, 2024 and 2023, respectively. As of December 31, 2025, we had $6.6 million of unrecognized stock-based compensation costs related to unvested performance stock, which is expected to be recognized over a weighted average period of 2.0 years. We issued performance stock awards of 160,939, 79,436 and 71,295 shares of our common stock during the years ended December 31, 2025, 2024 and 2023, respectively.</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pacing w:after="0" w:line="18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$4.3 million as of December 31, 2025.</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effective tax rate decreased by 1.1% for the year ended December 31, 2025 when compared to 2024 primarily due to a decrease in losses in foreign operations that are not eligible for tax benefits on account of valuation allowances, as well as a decrease in tax expense from the vesting of restricted stock and the exercise of stock options, partially offset by 2024 including a one-time reduction in deferred tax liabilities from being revalued at a lower state tax rate, that did not repeat in 2025.</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2 — Summary of Significant Accounting Policies - Recently adopted accounting pronouncements and Recently issued accounting pronouncements."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of Market Risks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generally holding our investments to maturity. In future periods, we will continue to evaluate our investment policy in order to continue our overall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 and Euro.</w:t>
      </w:r>
    </w:p>
    <w:p>
      <w:pPr>
        <w:spacing w:after="0" w:line="162" w:lineRule="exact"/>
        <w:rPr>
          <w:sz w:val="20"/>
          <w:szCs w:val="20"/>
          <w:color w:val="auto"/>
        </w:rPr>
      </w:pPr>
    </w:p>
    <w:p>
      <w:pPr>
        <w:jc w:val="both"/>
        <w:ind w:right="800" w:firstLine="486"/>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year ended December 31, 2023, we recognized a foreign currency translation loss of $3.9 million in connection with completing the closure of our Japan business. We recognized net foreign currency gains of $0.6 million and losses of $0.4 million for the years ended December 31, 2025 and 2024,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047"/>
        </w:trPr>
        <w:tc>
          <w:tcPr>
            <w:tcW w:w="104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60" w:type="dxa"/>
            <w:vAlign w:val="bottom"/>
            <w:gridSpan w:val="6"/>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Proto Labs, Inc.</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4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3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46</w:t>
            </w:r>
          </w:p>
        </w:tc>
        <w:tc>
          <w:tcPr>
            <w:tcW w:w="3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00" w:type="dxa"/>
            <w:vAlign w:val="bottom"/>
            <w:gridSpan w:val="5"/>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2025 and 2024</w:t>
            </w:r>
          </w:p>
        </w:tc>
        <w:tc>
          <w:tcPr>
            <w:tcW w:w="5960" w:type="dxa"/>
            <w:vAlign w:val="bottom"/>
            <w:gridSpan w:val="6"/>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50</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2025, 2024 and 2023</w:t>
            </w:r>
          </w:p>
        </w:tc>
        <w:tc>
          <w:tcPr>
            <w:tcW w:w="2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640" w:type="dxa"/>
            <w:vAlign w:val="bottom"/>
            <w:tcBorders>
              <w:top w:val="single" w:sz="8" w:color="0000FF"/>
            </w:tcBorders>
            <w:gridSpan w:val="2"/>
          </w:tcPr>
          <w:p>
            <w:pPr>
              <w:spacing w:after="0"/>
              <w:rPr>
                <w:sz w:val="21"/>
                <w:szCs w:val="21"/>
                <w:color w:val="auto"/>
              </w:rPr>
            </w:pPr>
          </w:p>
        </w:tc>
        <w:tc>
          <w:tcPr>
            <w:tcW w:w="28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3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40" w:type="dxa"/>
            <w:vAlign w:val="bottom"/>
            <w:gridSpan w:val="7"/>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320" w:type="dxa"/>
            <w:vAlign w:val="bottom"/>
          </w:tcPr>
          <w:p>
            <w:pPr>
              <w:spacing w:after="0"/>
              <w:rPr>
                <w:sz w:val="21"/>
                <w:szCs w:val="21"/>
                <w:color w:val="auto"/>
              </w:rPr>
            </w:pPr>
          </w:p>
        </w:tc>
      </w:tr>
      <w:tr>
        <w:trPr>
          <w:trHeight w:val="952"/>
        </w:trPr>
        <w:tc>
          <w:tcPr>
            <w:tcW w:w="6940" w:type="dxa"/>
            <w:vAlign w:val="bottom"/>
            <w:gridSpan w:val="6"/>
          </w:tcPr>
          <w:p>
            <w:pPr>
              <w:jc w:val="center"/>
              <w:ind w:left="4230"/>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Proto Labs, Inc. (the Company) as of December 31, 2025 and 2024, the related consolidated statements of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Revenue Recognized Over Time</w:t>
      </w:r>
    </w:p>
    <w:p>
      <w:pPr>
        <w:spacing w:after="0" w:line="281" w:lineRule="exact"/>
        <w:rPr>
          <w:sz w:val="20"/>
          <w:szCs w:val="20"/>
          <w:color w:val="auto"/>
        </w:rPr>
      </w:pPr>
    </w:p>
    <w:p>
      <w:pPr>
        <w:ind w:left="2280" w:right="20" w:hanging="2253"/>
        <w:spacing w:after="0" w:line="254"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the notes to the consolidated financial statements, the Company provides quality, quick-turn prototyping and on-demand manufacturing services. The majority of revenue recognized in a reporting period is based on completed, invoiced contracts. The Company manufactures custom parts to specific customer orders that have no alternative use to the Company, and the Company believes that there is a legally enforceable right to payment for performance completed to date on the internally and outsourced manufacturing parts. Revenue is recognized over time for internal and outsourced manufactured parts which meet these two criteria. For revenue recognized over time, management uses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90" w:lineRule="exact"/>
        <w:rPr>
          <w:sz w:val="20"/>
          <w:szCs w:val="20"/>
          <w:color w:val="auto"/>
        </w:rPr>
      </w:pPr>
    </w:p>
    <w:p>
      <w:pPr>
        <w:ind w:left="2280" w:right="60"/>
        <w:spacing w:after="0" w:line="256" w:lineRule="auto"/>
        <w:rPr>
          <w:sz w:val="20"/>
          <w:szCs w:val="20"/>
          <w:color w:val="auto"/>
        </w:rPr>
      </w:pPr>
      <w:r>
        <w:rPr>
          <w:rFonts w:ascii="Times New Roman" w:cs="Times New Roman" w:eastAsia="Times New Roman" w:hAnsi="Times New Roman"/>
          <w:sz w:val="18"/>
          <w:szCs w:val="18"/>
          <w:color w:val="auto"/>
        </w:rPr>
        <w:t>Auditing revenue recognized over time was challenging because the relevant accounting standard requires the Company to estimate the progress towards satisfaction of performance obligations, applying a single appropriate method to measure progress. The input method requires an analysis of the incurred time in production and an estimate of the total time necessary to complete the total parts per the customer’s order. The Company also estimates inventory and production costs incurred to date. These estimates are based on management’s assessment of the current status of production as well as historical results.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ind w:left="2280" w:right="100" w:hanging="2253"/>
        <w:spacing w:after="0" w:line="255" w:lineRule="auto"/>
        <w:tabs>
          <w:tab w:leader="none" w:pos="2260" w:val="left"/>
        </w:tabs>
        <w:rPr>
          <w:sz w:val="20"/>
          <w:szCs w:val="20"/>
          <w:color w:val="auto"/>
        </w:rPr>
      </w:pPr>
      <w:r>
        <w:rPr>
          <w:rFonts w:ascii="Times New Roman" w:cs="Times New Roman" w:eastAsia="Times New Roman" w:hAnsi="Times New Roman"/>
          <w:sz w:val="18"/>
          <w:szCs w:val="18"/>
          <w:i w:val="1"/>
          <w:iCs w:val="1"/>
          <w:color w:val="auto"/>
        </w:rPr>
        <w:t>in Our Audit</w:t>
      </w:r>
      <w:r>
        <w:rPr>
          <w:sz w:val="20"/>
          <w:szCs w:val="20"/>
          <w:color w:val="auto"/>
        </w:rPr>
        <w:tab/>
      </w:r>
      <w:r>
        <w:rPr>
          <w:rFonts w:ascii="Times New Roman" w:cs="Times New Roman" w:eastAsia="Times New Roman" w:hAnsi="Times New Roman"/>
          <w:sz w:val="18"/>
          <w:szCs w:val="18"/>
          <w:color w:val="auto"/>
        </w:rPr>
        <w:t>process for recognizing revenue over time. This included testing controls over management’s evaluation of contract terms, the estimation of production time incurred to date and total production time used in the input method, estimation of a reasonable profit margin and the completeness and accuracy of the data used in the input method.</w:t>
      </w:r>
    </w:p>
    <w:p>
      <w:pPr>
        <w:spacing w:after="0" w:line="186" w:lineRule="exact"/>
        <w:rPr>
          <w:sz w:val="20"/>
          <w:szCs w:val="20"/>
          <w:color w:val="auto"/>
        </w:rPr>
      </w:pPr>
    </w:p>
    <w:p>
      <w:pPr>
        <w:ind w:left="2280"/>
        <w:spacing w:after="0" w:line="255" w:lineRule="auto"/>
        <w:rPr>
          <w:sz w:val="20"/>
          <w:szCs w:val="20"/>
          <w:color w:val="auto"/>
        </w:rPr>
      </w:pPr>
      <w:r>
        <w:rPr>
          <w:rFonts w:ascii="Times New Roman" w:cs="Times New Roman" w:eastAsia="Times New Roman" w:hAnsi="Times New Roman"/>
          <w:sz w:val="18"/>
          <w:szCs w:val="18"/>
          <w:color w:val="auto"/>
        </w:rPr>
        <w:t>To test the Company’s revenue recognition over time, we performed audit procedures that included, among others, inspecting a sample of contracts to evaluate the existence of an enforceable right to payment for performance completed to-date, evaluating the progress towards completion of orders in process through examination of a sample of product shipments subsequent to the end of the reporting period, evaluating the reasonableness of management’s estimate of profit margins based on a comparison to historical margins, testing the appropriateness of the timing and amount of revenue recognized over time based on the underlying inputs, and performing an independent sensitivity analysis to evaluate the impact on revenues of changes in significant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Proto Labs, Inc.'s internal control over financial reporting as of December 31, 2025, based on criteria established in Internal Control— Integrated Framework issued by the Committee of Sponsoring Organizations of the Treadway Commission (2013 framework) (the COSO criteria). In our opinion, Proto Labs, Inc. (the Company) maintained, in all material respects, effective internal control over financial reporting as of December 31, 2025, based on the COSO criteria.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shareholders' equity and cash flows for each of the three years in the period ended December 31, 2025, and the related notes and our report dated February 20,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$2,668 and $1,975 as of December 31, 2025 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227,263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763,415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23,627,422 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24,226,088 shares as of December 31, 2025 and December 31, 2024,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453,705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670,151</w:t>
            </w:r>
          </w:p>
        </w:tc>
      </w:tr>
      <w:tr>
        <w:trPr>
          <w:trHeight w:val="26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743,512</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56"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281,884</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transformation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related to disposal and exit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193,826</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26,223,498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 in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00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18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8"/>
                <w:szCs w:val="18"/>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180"/>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266,453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(1,432,921)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(44,303)</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23,562</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80" w:type="dxa"/>
            <w:vAlign w:val="bottom"/>
            <w:shd w:val="clear" w:color="auto" w:fill="CCEEFF"/>
          </w:tcPr>
          <w:p>
            <w:pPr>
              <w:ind w:left="180"/>
              <w:spacing w:after="0" w:line="15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278,189</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16,999</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(1,774,058)</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(60,785)</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 (loss)</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6"/>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16,622</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1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375,359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(974,025)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(43,125)</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21,241</w:t>
            </w: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0" w:type="dxa"/>
            <w:vAlign w:val="bottom"/>
          </w:tcPr>
          <w:p>
            <w:pPr>
              <w:spacing w:after="0"/>
              <w:rPr>
                <w:sz w:val="1"/>
                <w:szCs w:val="1"/>
                <w:color w:val="auto"/>
              </w:rPr>
            </w:pPr>
          </w:p>
        </w:tc>
      </w:tr>
      <w:tr>
        <w:trPr>
          <w:trHeight w:val="193"/>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28,249</w:t>
            </w:r>
          </w:p>
        </w:tc>
        <w:tc>
          <w:tcPr>
            <w:tcW w:w="0" w:type="dxa"/>
            <w:vAlign w:val="bottom"/>
          </w:tcPr>
          <w:p>
            <w:pPr>
              <w:spacing w:after="0"/>
              <w:rPr>
                <w:sz w:val="1"/>
                <w:szCs w:val="1"/>
                <w:color w:val="auto"/>
              </w:rPr>
            </w:pPr>
          </w:p>
        </w:tc>
      </w:tr>
      <w:tr>
        <w:trPr>
          <w:trHeight w:val="21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23,627,422</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454,120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240,764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673,932</w:t>
            </w: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on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impairment of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Impairments related to exit and closure of Germany business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37"/>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equipment and other capital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other assets and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23,865</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equity plans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56,558</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6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33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337" w:right="339" w:bottom="0" w:gutter="0" w:footer="0" w:header="0"/>
          <w:type w:val="continuous"/>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Proto Labs, Inc. and its subsidiaries (Proto Labs, the Company, we, us, or our) is a digital manufacturer of parts. The Company utilizes injection molding, computer numerical control (CNC) machining, 3D printing and sheet metal fabrication to manufacture custom parts for its customers. The Company's customers conduct nearly all their business over the internet. The Company targets its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low-volume custom parts. The Company has established operations in the United States and Europe. On October 21, 2024, the Company's board of directors approved a plan related to the Company's manufacturing facilities in Germany. The plan included the closure of the Company's injection molding manufacturing facility in Eschenlohe, Germany, and the discontinuation of Direct Metal Laser Sintering 3D printing services through its 3D printing facility in Putzbrunn, Germany. The Company substantially completed the plan in the fourth quarter of 2025. The Company will continue offering all its manufacturing services to customers across Europe, including injection molding and metal 3D printing. Through the acquisition of Hubs in 2021, the Company provides its customers access to a global network of premium manufacturing partners who reside across North America, Europe and Asia, complementing its in-house manufacturing.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Location</w:t>
            </w:r>
          </w:p>
        </w:tc>
      </w:tr>
      <w:tr>
        <w:trPr>
          <w:trHeight w:val="27"/>
        </w:trPr>
        <w:tc>
          <w:tcPr>
            <w:tcW w:w="59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International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Hubs Manufacturing Inc.</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Ltd.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 Euro Services Limited</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Proto Labs GmbH</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3"/>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Proto Labs Tooling GmbH</w:t>
            </w:r>
          </w:p>
        </w:tc>
        <w:tc>
          <w:tcPr>
            <w:tcW w:w="5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
        </w:trPr>
        <w:tc>
          <w:tcPr>
            <w:tcW w:w="598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3D Hubs B.V.</w:t>
            </w:r>
          </w:p>
        </w:tc>
        <w:tc>
          <w:tcPr>
            <w:tcW w:w="526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598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r>
      <w:tr>
        <w:trPr>
          <w:trHeight w:val="62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tc>
        <w:tc>
          <w:tcPr>
            <w:tcW w:w="526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tc>
        <w:tc>
          <w:tcPr>
            <w:tcW w:w="5260" w:type="dxa"/>
            <w:vAlign w:val="bottom"/>
          </w:tcPr>
          <w:p>
            <w:pPr>
              <w:spacing w:after="0"/>
              <w:rPr>
                <w:sz w:val="24"/>
                <w:szCs w:val="24"/>
                <w:color w:val="auto"/>
              </w:rPr>
            </w:pPr>
          </w:p>
        </w:tc>
      </w:tr>
    </w:tbl>
    <w:p>
      <w:pPr>
        <w:spacing w:after="0" w:line="19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Components of comprehensive income (loss) include net income, foreign currency translation adjustments and net unrealized gains and losses on investments in securities. Comprehensive income (loss) is disclosed in the accompanying Consolidated Statements of Comprehensive Income and Consolidated Statements of Shareholders’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related disclosures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Marketable securities are categorized as available-for-sale and are recorded at fair value. Management determines the appropriate classification of debt securities at the time of purchase and reevaluates such designation as of each balance sheet date. The classification of marketable securities as current or non-current is dependent upon the security’s maturity date. Securities with maturities of three months or less at the time of purchase are categorized as cash equivalents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at the invoiced amount less an allowance for credit losses. As of each balance sheet date, the Company evaluates its accounts receivable and establishes an allowance for credit losses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follows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in accounting for internally developed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Goodwill is the excess of cost of an acquired entity over the amounts assigned to assets acquired and liabilities assumed in a business combination. Goodwill is allocated to the Company's reporting units, which are determined by the discrete financial information available for the component and whether it is regularly reviewed by segment management. The Company's reporting units are the United States and Europe. Goodwill is not amortized.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performing the goodwill impairment assessment, the Company may assess qualitative factors to determine whether it is more likely than not that the fair value of the reporting unit is less than its carrying value. Qualitative factors may include, but are not limited to, economic, market and industry conditions, cost factors and overall financial performance of the reporting unit. If after assessing these qualitative factors, the Company determines it is "more-likely-than-not" that the fair value is less than the carrying value, a quantitative assessment of goodwill is required.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w:t>
      </w:r>
    </w:p>
    <w:p>
      <w:pPr>
        <w:spacing w:after="0" w:line="188"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If performing the quantitative impairment test, the Company would determine the fair value of its reporting units through the income approach by using discounted cash flow (DCF) analyses. Determining fair value requires the Company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the Company's valuations.</w:t>
      </w:r>
    </w:p>
    <w:p>
      <w:pPr>
        <w:spacing w:after="0" w:line="18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the fiscal year 2025 annual impairment assessment, the Company performed a qualitative assessment for the United States reporting unit, since it is the only reporting unit with goodwill, and determined there were no indicators of impairment and it was more likely than not that the fair value of the United States reporting unit exceeded its carrying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Other intangible assets include software technology, customer relationships and other intangible assets acquired from other independent parties.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long-lived assets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 During the years ended December 31, 2025 and 2024, the Company recognized $0.2 million and $2.3 million, respectively, related to write-down of fixed assets for certain manufacturing operations in Germany.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revenue for its internal and outsourced manufacturing operations in accordance with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The Company manufactures custom parts to specific customer orders that have no alternative use to the Company, and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there is a legally enforceable right to payment for performance completed to date on internally and outsourced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obligation based on its relative standalone selling price. The Company generally determines standalone selling price based on the price charged to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9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office space, manufacturing facilities and certain company vehicles and equipment and finance leases for certain company equipment and manufacturing facilities. The leases have remaining lease terms of less than one year to five years. Leases with an initial term of 12 months or less are not 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2025, the operating lease liability does not include any options to extend or terminate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are not at a level of "more-likely-than-not" to be recognized.</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"more-likely-than-not". The Company records penalties and interest related to unrecognized tax benefits in income taxes in the Company’s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options granted, the fair value of options granted has been estimated on the date of grant using the Black-Scholes option-pricing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7"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color w:val="auto"/>
        </w:rPr>
        <w:t>Advertising is expensed as incurred and was approximately $15.3 million, $14.3 million and $13.8 million for the years ended December 31,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2024 and 2023,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Internal-Use Software</w:t>
      </w:r>
      <w:r>
        <w:rPr>
          <w:rFonts w:ascii="Times New Roman" w:cs="Times New Roman" w:eastAsia="Times New Roman" w:hAnsi="Times New Roman"/>
          <w:sz w:val="18"/>
          <w:szCs w:val="18"/>
          <w:color w:val="auto"/>
        </w:rPr>
        <w:t>. Research and development costs were approximately $42.8 million, $41.3 million and $40.1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translation/transactions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("ASU 2023-09"), Income Taxes (Topic 740): Improvements to Income Tax Disclosures, that enhances the transparency of income tax disclosures by expanding annual disclosure requirements related to the rate reconciliation and income taxes paid. The Company adopted this guidance on a prospective basis for its annual year ending December 31, 2025 and all interim periods thereafter. Prior period disclosures have not been adjusted to reflect the new disclosure requirements. See Note 15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("ASU 2024-03"), Income Statement - Reporting Comprehensive Income - Expense Disaggregation Disclosures (Subtopic 220-40): Disaggregation of Income Statement Expenses, which is intended to improve disclosures about a public business entity's expenses, primarily through additional disaggregation of income statement expenses. ASU 2024-03 is effective for annual periods beginning after December 15, 2026, and interim periods beginning after December 15, 2027, with early adoption permitted. The Company is currently evaluating ASU 2024-03 to determine the impact on the Company's disclosures.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("ASU 2025-05"), Financial Instruments - Credit Losses (Topic 326): Measurement of Credit Losses for Accounts Receivables and Contract Assets, which introduces a practical expedient for the application of the current expected credit loss model to current accounts receivables and contract assets. ASU 2025-05 is effective for annual and interim periods beginning after December 15, 2025, with early adoption permitted. The Company is currently evaluating ASU 2025-05 to determine the impact on the Company's financial statements and disclosures.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2025, the FASB issued ASU No. 2025-06 ("ASU 2025-06"), Intangibles - Goodwill and Other - Internal-Use Software (Subtopic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350-40): Targeted Improvements to the Accounting for Internal-Use Software, which updates the cost capitalization threshold for internal-use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costs by removing all references to software project development stages and provides new guidance on how to evaluate whether the probable-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to-complete recognition threshold has been met. ASU 2025-06 is effective for annual and interim periods beginning after December 15, 2027, with early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permitted. The Company is currently evaluating ASU 2025-06 to determine the impact on the Company's financial statements and disclosures.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2025-12 ("ASU 2025-12"), Codification Improvements, to make other incremental improvements to U.S. GAAP. The update represents changes to the Codification that clarify, correct errors in or make other improvements to a variety of topics that are intended to make it easier to understand and apply. The guidance is effective for fiscal years beginning after December 15, 2026, including interim periods within those fiscal years. The Company is currently evaluating ASU 2025-12 to determine the impact on the Company's financial statements and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provides quality, quick-turn prototyping and on-demand manufacturing services. As a result, the majority of revenue recognized in a reporting period is based on completed, invoiced contracts.</w:t>
      </w:r>
    </w:p>
    <w:p>
      <w:pPr>
        <w:spacing w:after="0" w:line="17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value of unbilled receivables related to the performance on manufactured parts not yet completed as of December 31, 2025 and 2024 was $12.1 million and $10.1 million, respectively, recorded within accounts receivable, net of allowance for credit losses. The value of unsatisfied performance obligations for contracts with an original expected length of one year or less as of December 31, 2025 and 2024 was $9.6 million and $8.7 million, respectively, recorded within accrued liabilities.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geographic region for the years ended December 31, 2025, 2024 and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w:t>
            </w:r>
          </w:p>
        </w:tc>
      </w:tr>
      <w:tr>
        <w:trPr>
          <w:trHeight w:val="264"/>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line for the years ended December 31, 2025, 2024 and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Injection Molding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194,215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CNC Machining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198,222</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3D Printing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Sheet Metal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Company generally expenses sales commissions when incurred because the amortization period would have been one year or less. These costs are recorded within marketing and sales expenses.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Income Per Common Share</w:t>
      </w:r>
    </w:p>
    <w:p>
      <w:pPr>
        <w:spacing w:after="0" w:line="22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outstanding. Diluted net income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For the years ended December 31, 2025, 2024 and 2023 respectively, 285,731, 451,029 and 263,992 anti-dilutive options were excluded from the calculation of diluted weighted average shares outstanding.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net income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26,186,533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24,245,199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25,212,178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26,223,498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years ended December 31, 2025 and 2024.</w:t>
      </w:r>
    </w:p>
    <w:p>
      <w:pPr>
        <w:spacing w:after="0" w:line="225"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Euro denominated goodwill had been translated at the end of each period using the current exchange rates resulting in a foreign currency translation adjustment that was recorded as a component of Other Comprehensive Income.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other than goodwill for the years ended December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(in years)</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Non-compete agreement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2.0 - 5.0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2"/>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technology</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3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platform</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17,200</w:t>
            </w:r>
          </w:p>
        </w:tc>
        <w:tc>
          <w:tcPr>
            <w:tcW w:w="13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8"/>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2025, 2024 and 2023 was $3.7 million, $3.7 million and $5.9 million, respectively. The Euro denominated intangible assets are translated at the end of each period using the current exchange rates resulting in a foreign currency translation adjustment that is recorded as a component of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Comprehensive Income. For the years ended December 31, 2025, 2024 and 2023 the foreign currency translation adjustment was $0.5 million, $2.2 million and $1.3 million,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4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summarizes financial assets as of December 31, 2025 and 2024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excluding</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107,462</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86,366</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129,127</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106,332</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Marketable Securities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As of December 31, 2025 and 2024, the securities are categorized as available-for-sale and are recorded at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short-term and long-term marketable securities as of December 31,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318"/>
        </w:trPr>
        <w:tc>
          <w:tcPr>
            <w:tcW w:w="5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23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December 31, 2025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62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spacing w:after="0"/>
              <w:rPr>
                <w:sz w:val="21"/>
                <w:szCs w:val="21"/>
                <w:color w:val="auto"/>
              </w:rPr>
            </w:pPr>
          </w:p>
        </w:tc>
      </w:tr>
      <w:tr>
        <w:trPr>
          <w:trHeight w:val="43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(262,328)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$30.1 million, $32.1 million and $31.6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4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Financing Obligations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no financing obligations as of December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Employee Benefit Plans</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$4.5 million, $4.3 million and $4.6 million for the years ended December 31, 2025, 2024 and 2023, respectively.</w:t>
      </w:r>
    </w:p>
    <w:p>
      <w:pPr>
        <w:spacing w:after="0" w:line="18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also sponsors defined contribution retirement plans that covers the employees in the United Kingdom and the Netherlands. Total employer contributions in the United Kingdom were approximately $0.5 million in each of the years ended December 31, 2025, 2024 and 2023, respectively. Total employer contributions in the Netherlands were approximately $0.7 million for the year ended December 31, 2025 and $0.6 million in each of the years December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and subsequently further amended,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On May 20, 2025, the Company's shareholders approved an amendment to the 2022 Plan to increase the number of shares available for issuance pursuant to awards under the 2022 Plan by an additional 296,000 shares.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May 23, 2025, the Company granted one-time inducement awards (the Inducement Awards) within the meaning of the New York Stock Exchange Listed Company Manual Section 303A.08 to the Company's incoming Chief Executive Officer. The Inducement Awards were not granted under the 2022 Plan, but have the same terms and conditions as equity awards granted under the 2022 Plan, except as otherwise provided in the award agreements.</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 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8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Employees purchased 111,844 and 141,743 shares of common stock under the ESPP at an average exercise price of $33.30 and $27.91 during 2025 and 2024, respectively. As of December 31, 2025, 490,306 shares remained available for future issuance under the ESPP.</w:t>
      </w:r>
    </w:p>
    <w:p>
      <w:pPr>
        <w:spacing w:after="0" w:line="162"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80"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recognizes stock-based compensation expense on a straight-line basis over the requisite service period.</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70"/>
        </w:trPr>
        <w:tc>
          <w:tcPr>
            <w:tcW w:w="66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assumptions used in the Black-Scholes option pricing model for the years ended December 31,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3.80 - 4.17%</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4.28 - 4.30%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3.55 - 4.55%</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6.25</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2.00 - 6.25</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52.05 - 52.99%</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50.62 - 53.17%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49.23 - 55.92%</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5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$22.01</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5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the weighted average exercise price for the years ended December 31,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6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8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outstanding options have a term of 10 years. For employees, options that have been granted become exercisable ratably over the vesting period, which is generally a four-year period, beginning on the first anniversary of the grant date, subject to the employee’s continuing service to the Company. For directors, options generally become exercisable in full on the first anniversary of the grant date.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2025 and 2024, was $1.1 million and less than $0.1 million for each period respectively. There were no options exercised during the year ended December 31, 2023. The aggregate intrinsic value represents the cumulative difference between the fair market value of the underlying common stock and the option exercise prices.</w:t>
      </w:r>
    </w:p>
    <w:p>
      <w:pPr>
        <w:spacing w:after="0" w:line="17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For options outstanding at December 31, 2025, the weighted-average remaining contractual term was 6.4 years and the aggregate intrinsic value was $3.7 million. For options exercisable at December 31, 2025, the weighted-average remaining contractual term was 4.3 years and the aggregate intrinsic value was $1.3 million. Refer to the table below for additional information.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Outstanding, Vested and Expected to Vest</w:t>
            </w:r>
          </w:p>
        </w:tc>
        <w:tc>
          <w:tcPr>
            <w:tcW w:w="32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298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r>
      <w:tr>
        <w:trPr>
          <w:trHeight w:val="27"/>
        </w:trPr>
        <w:tc>
          <w:tcPr>
            <w:tcW w:w="2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9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$32.13 to $35.33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134,500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63,588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33.41</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$35.34 to $43.97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116,018</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39.11</w:t>
            </w:r>
          </w:p>
        </w:tc>
        <w:tc>
          <w:tcPr>
            <w:tcW w:w="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22,952</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39.37</w:t>
            </w:r>
          </w:p>
        </w:tc>
      </w:tr>
      <w:tr>
        <w:trPr>
          <w:trHeight w:val="27"/>
        </w:trPr>
        <w:tc>
          <w:tcPr>
            <w:tcW w:w="2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$43.98 to $180.46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109,696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91.62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99,658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95.83</w:t>
            </w:r>
          </w:p>
        </w:tc>
      </w:tr>
      <w:tr>
        <w:trPr>
          <w:trHeight w:val="216"/>
        </w:trPr>
        <w:tc>
          <w:tcPr>
            <w:tcW w:w="2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bl>
    <w:p>
      <w:pPr>
        <w:spacing w:after="0" w:line="2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share-based payment transactions is recognized in the Consolidated Statements of Comprehensive Income. As of December 31, 2025, there was $2.7 million of total unrecognized compensation cost related to unvested stock options, which is expected to be recognized over a weighted average period of 2.8 years. The total fair value of options vested was $2.3 million, $2.3 million and $1.8 million for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2012 Plan provides for the award of restricted stock or restricted stock units. Restricted stock awards are share settled and restrictions lapse ratably over the vesting period, which is generally a four-year period, beginning on the first anniversary of the grant date, subject to the employee’s continuing service to the Company. For directors, restrictions generally lapse in full on the first anniversary of the grant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January 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696,076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8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$16.6 million of unrecognized compensation expense related to unvested restricted stock, which is expected to be recognized over a weighted-average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outstanding PSUs at December 31, 2025 are based on market conditions and the related compensation cost is based on the fair value at grant date calculated using a Monte Carlo pricing model.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81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18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January 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2023</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7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change</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at December 31,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bl>
    <w:p>
      <w:pPr>
        <w:spacing w:after="0" w:line="288" w:lineRule="exact"/>
        <w:rPr>
          <w:sz w:val="20"/>
          <w:szCs w:val="20"/>
          <w:color w:val="auto"/>
        </w:rPr>
      </w:pPr>
    </w:p>
    <w:p>
      <w:pPr>
        <w:ind w:right="40" w:firstLine="170"/>
        <w:spacing w:after="0" w:line="225" w:lineRule="auto"/>
        <w:tabs>
          <w:tab w:leader="none" w:pos="25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a target number of 54,320 PSUs granted as part of the May 23, 2025, Inducement Awards, 27,160 of which have the same market condition as the PSUs granted under the 2022 Plan as described above, and 27,160 of which also include a performance condition with anywhere between 0 percent and 100 percent of the target number capable of being achieved during two six-month performance periods depending on revenue and then anywhere between 0 percent and 200 percent of such achieved PSUs capable of being earned and vesting during a three-year performance period depending on the Company's three-year cumulative total shareholder return performance relative to an index and the award recipient's continued employment.</w:t>
      </w:r>
    </w:p>
    <w:p>
      <w:pPr>
        <w:spacing w:after="0" w:line="20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$6.6 million of unrecognized compensation expense related to unvested performance stock, which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5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- 4.29%</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4.29 - 5.16%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- 5.16%</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(months)</w:t>
            </w:r>
          </w:p>
        </w:tc>
        <w:tc>
          <w:tcPr>
            <w:tcW w:w="1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6.00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5"/>
              </w:rPr>
              <w:t>6.00</w:t>
            </w:r>
          </w:p>
        </w:tc>
      </w:tr>
      <w:tr>
        <w:trPr>
          <w:trHeight w:val="27"/>
        </w:trPr>
        <w:tc>
          <w:tcPr>
            <w:tcW w:w="5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- 65.60%</w:t>
            </w:r>
          </w:p>
        </w:tc>
        <w:tc>
          <w:tcPr>
            <w:tcW w:w="1960" w:type="dxa"/>
            <w:vAlign w:val="bottom"/>
            <w:tcBorders>
              <w:bottom w:val="single" w:sz="8" w:color="CCEEFF"/>
            </w:tcBorders>
            <w:gridSpan w:val="3"/>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30.97 - 65.60%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- 67.84%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spacing w:after="0"/>
              <w:rPr>
                <w:sz w:val="21"/>
                <w:szCs w:val="21"/>
                <w:color w:val="auto"/>
              </w:rPr>
            </w:pPr>
          </w:p>
        </w:tc>
        <w:tc>
          <w:tcPr>
            <w:tcW w:w="8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0%</w:t>
            </w:r>
          </w:p>
        </w:tc>
        <w:tc>
          <w:tcPr>
            <w:tcW w:w="19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59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2"/>
        </w:trPr>
        <w:tc>
          <w:tcPr>
            <w:tcW w:w="8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2030</w:t>
            </w: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 of December 31, 2025, we have no operating or finance leases that have not yet commenced.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was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 finance leases (years)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4.4%</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816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1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assets obtained in exchange for new financing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auto"/>
            </w:tcBorders>
            <w:gridSpan w:val="3"/>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818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Loss</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Other comprehensive loss is comprised of foreign currency translation adjustments and net unrealized gains (losses) on investments in securities. During the year ended December 31, 2023 we recognized a $3.9 million foreign currency translation loss from the completion on the closure of our Japan business.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balances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on investments in securities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4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years ended December 31, 2025, 2024 and 2023, the Company recorded an income tax provision of $9.8 million, $8.1 million and $10.7 million, respectively. The effective income tax rate for the years ended December 31, 2025, 2024 and 2023 was 31.6 percent, 32.7 percent and 38.4 percent, respectively.</w:t>
      </w:r>
    </w:p>
    <w:p>
      <w:pPr>
        <w:spacing w:after="0" w:line="18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effective tax rate decreased by 1.1 percent for the year ended December 31, 2025 when compared to 2024, primarily due to a decrease in losses in foreign operations that are not eligible for tax benefits on account of valuation allowances, as well as a decrease in tax expense from the vesting of restricted stock and the exercise of stock options, partially offset by 2024 including a one-time reduction in deferred tax liabilities from being revalued at a lower state tax rate, that did not repeat in 2025.</w:t>
      </w:r>
    </w:p>
    <w:p>
      <w:pPr>
        <w:spacing w:after="0" w:line="180"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47,066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39,386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38,099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(16,004)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(10,147)</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31,062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24,672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27,952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following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pacing w:after="0" w:line="29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for fiscal year 2025, after the prospective adoption of ASU 2023-09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7"/>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3"/>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compensation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8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49" w:lineRule="exact"/>
        <w:rPr>
          <w:sz w:val="20"/>
          <w:szCs w:val="20"/>
          <w:color w:val="auto"/>
        </w:rPr>
      </w:pPr>
    </w:p>
    <w:p>
      <w:pPr>
        <w:ind w:left="580" w:hanging="86"/>
        <w:spacing w:after="0"/>
        <w:tabs>
          <w:tab w:leader="none" w:pos="5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December 31, 2025, the tax effect in this category was primarily driven by state taxes in California (greater than 50 percent).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for fiscal years 2024 and 2023 prior to the adoption of ASU 2023-09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against deferred tax assets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to return difference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losses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deferred tax liability</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of Japan branch net operating loss reversal</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520"/>
        </w:trPr>
        <w:tc>
          <w:tcPr>
            <w:tcW w:w="7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7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439"/>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4"/>
                <w:szCs w:val="24"/>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expenses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other equity</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r>
      <w:tr>
        <w:trPr>
          <w:trHeight w:val="24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(22,296)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w:t>
            </w: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43"/>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w:t>
            </w:r>
          </w:p>
        </w:tc>
      </w:tr>
      <w:tr>
        <w:trPr>
          <w:trHeight w:val="26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recorded no U.S. deferred taxes related to the undistributed earnings of its non-U.S. subsidiaries as of December 31, 2025. Such amounts are intended to be reinvested outside of the United States indefinitely, and it is not practicable to estimate the amount of additional tax that might be payable on the foreign earnings. As of December 31, 2025, the Company had no accumulated undistributed earnings in non-U.S. subsidiaries.</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estimated net operating loss carry forwards of $23.0 million for tax purposes. The net operating losses relate to operations in the United Kingdom, Germany and Netherlands. The United Kingdom net operating losses may be carried forward without any time limitations, but are limited to £5 million, plus 50 percent of taxable income exceeding £5 million. Germany net operating losses may be carried forward without any time limitations but are limited to €1 million, plus 60 percent of taxable income exceeding €1 million. Netherlands net operating losses may be carried forward without any time limitations, but are limited to €1 million, plus 50 percent of taxable income exceeding €1 million.</w:t>
      </w:r>
    </w:p>
    <w:p>
      <w:pPr>
        <w:spacing w:after="0" w:line="183"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an estimated Minnesota R&amp;D credit carry forward of $3.7 million available to reduce future income taxes. The Minnesota R&amp;D credit can be carried forward 15 years, with expiration beginning in 2029.</w:t>
      </w:r>
    </w:p>
    <w:p>
      <w:pPr>
        <w:spacing w:after="0" w:line="189" w:lineRule="exact"/>
        <w:rPr>
          <w:sz w:val="20"/>
          <w:szCs w:val="20"/>
          <w:color w:val="auto"/>
        </w:rPr>
      </w:pPr>
    </w:p>
    <w:p>
      <w:pPr>
        <w:ind w:right="60" w:firstLine="486"/>
        <w:spacing w:after="0" w:line="246" w:lineRule="auto"/>
        <w:rPr>
          <w:sz w:val="20"/>
          <w:szCs w:val="20"/>
          <w:color w:val="auto"/>
        </w:rPr>
      </w:pPr>
      <w:r>
        <w:rPr>
          <w:rFonts w:ascii="Times New Roman" w:cs="Times New Roman" w:eastAsia="Times New Roman" w:hAnsi="Times New Roman"/>
          <w:sz w:val="18"/>
          <w:szCs w:val="18"/>
          <w:color w:val="auto"/>
        </w:rPr>
        <w:t>The Company establishes valuation allowances for deferred tax assets when, after consideration of all positive and negative evidence, it is considered "more-likely-than-not" that a portion of the deferred tax assets will not be realized. The Company's valuation allowances of $22.3 million and $21.8 million at December 31, 2025 and 2024, respectively, reduce the carrying value of deferred tax assets associated with certain net operating loss carry forwards and other assets with insufficient positive evidence for recognition. The increase in the valuation allowance is primarily attributable to additional net operating losses generated in 2025</w:t>
      </w:r>
      <w:r>
        <w:rPr>
          <w:rFonts w:ascii="Times New Roman" w:cs="Times New Roman" w:eastAsia="Times New Roman" w:hAnsi="Times New Roman"/>
          <w:sz w:val="18"/>
          <w:szCs w:val="18"/>
          <w:i w:val="1"/>
          <w:iCs w:val="1"/>
          <w:color w:val="auto"/>
        </w:rPr>
        <w:t>.</w:t>
      </w:r>
    </w:p>
    <w:p>
      <w:pPr>
        <w:spacing w:after="0" w:line="195"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2021.</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liabilities related to unrecognized tax benefits totaling $3.1 million and $3.4 million at December 31, 2025 and 2024,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719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3,616</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the expiration of statutes of limitations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tax positions of prior years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6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period end</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3,370</w:t>
            </w:r>
          </w:p>
        </w:tc>
      </w:tr>
      <w:tr>
        <w:trPr>
          <w:trHeight w:val="20"/>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cash taxes paid (net of refunds received). All jurisdictions in which cash taxes paid (net of refunds received) were equal to or greater than five percent of total income taxes paid are included below, after the prospective adoption of ASU 2023-09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9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9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9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states representing less than five percent of total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50"/>
        </w:trPr>
        <w:tc>
          <w:tcPr>
            <w:tcW w:w="966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r>
    </w:tbl>
    <w:p>
      <w:pPr>
        <w:spacing w:after="0" w:line="29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U.S. enacted H.R. 1 "A bill to provide for reconciliation pursuant to Title II of H. Con. Res. 14", commonly referred to as the One Big Beautiful Bill Act. As a result of the enactment of H.R. 1, the impact to the deferred tax liability and the income tax payable related to the provisions for 100% bonus depreciation for assets placed in service after January 19, 2025 and full expensing of domestic research and experimental expenditures is reflected in our results for year ended December 31, 2025. We do not expect any material change to our ongoing tax rate as a result of this legislation. We continue to evaluate the impacts the new legislation may have on the Company's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Litigation</w:t>
      </w:r>
    </w:p>
    <w:p>
      <w:pPr>
        <w:spacing w:after="0" w:line="22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CEO, who is the chief operating decision maker (CODM), to assess operating performance and make decisions about the allocation of resources. The CODM's primary profit measure for purposes of resource allocation and performance assessment is income (loss) from operations at the segment level. This measure is used to evaluate current-period performance, develop forecasts and budgets, and make decisions about capital and other resource allocations between segments. The Company’s reportable segments are based upon geographic region, consisting of the United States and Europe. The Corporate Unallocated category includes non-reportable segments, as well as research and development and general and administrative costs that are global in nature and that the Company does not allocate directly to its operating segments.</w:t>
      </w:r>
    </w:p>
    <w:p>
      <w:pPr>
        <w:spacing w:after="0" w:line="18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Revenue in the United States and Europe is derived primarily from Injection Molding, CNC Machining, 3D Printing and Sheet Metal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80" w:lineRule="exact"/>
        <w:rPr>
          <w:sz w:val="20"/>
          <w:szCs w:val="20"/>
          <w:color w:val="auto"/>
        </w:rPr>
      </w:pPr>
    </w:p>
    <w:p>
      <w:pPr>
        <w:ind w:right="480" w:firstLine="486"/>
        <w:spacing w:after="0" w:line="26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income (loss) from operations and pre-tax income relates to foreign currency-related gains and losses and interest income on cash balances and investments, which are not allocated to business segments.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selected financial information by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171450</wp:posOffset>
            </wp:positionV>
            <wp:extent cx="67036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036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3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7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100,801</w:t>
            </w:r>
          </w:p>
        </w:tc>
        <w:tc>
          <w:tcPr>
            <w:tcW w:w="10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533,127</w:t>
            </w:r>
          </w:p>
        </w:tc>
        <w:tc>
          <w:tcPr>
            <w:tcW w:w="4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506,926</w:t>
            </w:r>
          </w:p>
        </w:tc>
        <w:tc>
          <w:tcPr>
            <w:tcW w:w="40" w:type="dxa"/>
            <w:vAlign w:val="bottom"/>
          </w:tcPr>
          <w:p>
            <w:pPr>
              <w:spacing w:after="0"/>
              <w:rPr>
                <w:sz w:val="23"/>
                <w:szCs w:val="23"/>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transformation costs</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disposal and exit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23"/>
                <w:szCs w:val="23"/>
                <w:color w:val="auto"/>
              </w:rPr>
            </w:pPr>
          </w:p>
        </w:tc>
      </w:tr>
      <w:tr>
        <w:trPr>
          <w:trHeight w:val="26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40" w:type="dxa"/>
            <w:vAlign w:val="bottom"/>
          </w:tcPr>
          <w:p>
            <w:pPr>
              <w:spacing w:after="0"/>
              <w:rPr>
                <w:sz w:val="22"/>
                <w:szCs w:val="22"/>
                <w:color w:val="auto"/>
              </w:rPr>
            </w:pPr>
          </w:p>
        </w:tc>
      </w:tr>
      <w:tr>
        <w:trPr>
          <w:trHeight w:val="21"/>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331"/>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37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3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104,698</w:t>
            </w:r>
          </w:p>
        </w:tc>
        <w:tc>
          <w:tcPr>
            <w:tcW w:w="80" w:type="dxa"/>
            <w:vAlign w:val="bottom"/>
          </w:tcPr>
          <w:p>
            <w:pPr>
              <w:spacing w:after="0"/>
              <w:rPr>
                <w:sz w:val="21"/>
                <w:szCs w:val="21"/>
                <w:color w:val="auto"/>
              </w:rPr>
            </w:pPr>
          </w:p>
        </w:tc>
        <w:tc>
          <w:tcPr>
            <w:tcW w:w="60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500,890</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114,654</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475,394</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disposal and exit activities</w:t>
            </w:r>
          </w:p>
        </w:tc>
        <w:tc>
          <w:tcPr>
            <w:tcW w:w="2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318"/>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36830</wp:posOffset>
            </wp:positionV>
            <wp:extent cx="67379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thousands)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2"/>
        </w:trPr>
        <w:tc>
          <w:tcPr>
            <w:tcW w:w="3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and Japan</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107,056</w:t>
            </w:r>
          </w:p>
        </w:tc>
        <w:tc>
          <w:tcPr>
            <w:tcW w:w="8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503,877</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475,495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disposal and exit activities</w:t>
            </w:r>
          </w:p>
        </w:tc>
        <w:tc>
          <w:tcPr>
            <w:tcW w:w="2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3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92" w:lineRule="exact"/>
        <w:rPr>
          <w:sz w:val="20"/>
          <w:szCs w:val="20"/>
          <w:color w:val="auto"/>
        </w:rPr>
      </w:pPr>
    </w:p>
    <w:p>
      <w:pPr>
        <w:ind w:left="660" w:hanging="166"/>
        <w:spacing w:after="0" w:line="244" w:lineRule="auto"/>
        <w:tabs>
          <w:tab w:leader="none" w:pos="586"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 service costs related to the development of new processes and product lines, enhancements of existing product lines, software developed for internal use, maintenance of internally developed software, quality assurance and testing and employee compensation including benefits, stock-based compensation, professional service fees related to accounting, tax and legal and other related overhead costs.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253,655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331"/>
        </w:trPr>
        <w:tc>
          <w:tcPr>
            <w:tcW w:w="6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expenditures for additions to long-lived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28,116</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317"/>
        </w:trPr>
        <w:tc>
          <w:tcPr>
            <w:tcW w:w="6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Unallocated Corporate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Based on the assessment, management concluded that, as of December 31, 2025,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Item 401 relating to executive officers is contained in Part I, Item 1 of this Annual Report on Form 10-K under the heading “Information about our Executive Officers” and with respect to other information relating to our directors will be set forth in our 2026 Proxy Statement under the caption “Proposal 1 — Election of Directors,” which we expect to file no later than 120 days after the end of the fiscal year covered by this Annual Report on Form 10-K, and is incorporated herein by reference.</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of our directors, officers and employees, including our principal executive officer and principal financial officer. A copy of our current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80"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is incorporated herein by reference to the section titled “Corporate Governance” of our 2026 Proxy Statement, which we expect to file no later than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“Compensation Discussion and Analysis,” "Executive Compensation Tables," "Director Compensation" “Compensation and Talent Committee Interlocks and Insider Participation,” and “Compensation and Talent Committee Report” of our 2026 Proxy Statement, which we expect to file no later than 120 days after the end of the fiscal year covered by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“Security Ownership of Certain Beneficial Owners and Management” and "Equity Compensation Plan Information" of our 2026 Proxy Statement, which we expect to file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titled “Corporate Governance — Certain Relationships and Related Party Transactions” and “Corporate Governance — Director Independence” of our 2026 Proxy Statement, which we expect to file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titled “Fees Paid to Independent Registered Public Accounting Firm” of our 2026 Proxy Statement, which we expect to file no later than 120 days after the end of the fiscal year covered by this Annual Report on Form 10-K.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Consolidated Financial Statement at Item 8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 or notes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7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Third Amended and Restated Articles of Incorporation of Proto Labs, Inc. (incorporated by reference to Exhibit 3.2 to the</w:t>
              </w:r>
            </w:hyperlink>
          </w:p>
        </w:tc>
        <w:tc>
          <w:tcPr>
            <w:tcW w:w="740" w:type="dxa"/>
            <w:vAlign w:val="bottom"/>
            <w:gridSpan w:val="11"/>
          </w:tcPr>
          <w:p>
            <w:pPr>
              <w:spacing w:after="0"/>
              <w:rPr>
                <w:sz w:val="19"/>
                <w:szCs w:val="19"/>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7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Articles of Amendment to Third Amended and Restated Articles of Incorporation of Proto Labs, Inc. dated May 20, 2015</w:t>
              </w:r>
            </w:hyperlink>
          </w:p>
        </w:tc>
        <w:tc>
          <w:tcPr>
            <w:tcW w:w="760" w:type="dxa"/>
            <w:vAlign w:val="bottom"/>
            <w:gridSpan w:val="1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3.1 to the Company’s Form 8-K, filed with the Commission on May 21, 2015).</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Third Amended and Restated By-Laws of Proto Labs, Inc, as amended through November 15, 2022 (incorporated by reference to</w:t>
              </w:r>
            </w:hyperlink>
          </w:p>
        </w:tc>
      </w:tr>
      <w:tr>
        <w:trPr>
          <w:trHeight w:val="196"/>
        </w:trPr>
        <w:tc>
          <w:tcPr>
            <w:tcW w:w="1720" w:type="dxa"/>
            <w:vAlign w:val="bottom"/>
          </w:tcPr>
          <w:p>
            <w:pPr>
              <w:spacing w:after="0"/>
              <w:rPr>
                <w:sz w:val="17"/>
                <w:szCs w:val="17"/>
                <w:color w:val="auto"/>
              </w:rPr>
            </w:pPr>
          </w:p>
        </w:tc>
        <w:tc>
          <w:tcPr>
            <w:tcW w:w="932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3.2 to the Company’s Form 8-K, filed on November 15, 2022).</w:t>
              </w:r>
            </w:hyperlink>
          </w:p>
        </w:tc>
        <w:tc>
          <w:tcPr>
            <w:tcW w:w="2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certificate representing common shares of Proto Labs, Inc. (incorporated by reference to Exhibit 4.1 to the Company’s</w:t>
              </w:r>
            </w:hyperlink>
          </w:p>
        </w:tc>
      </w:tr>
      <w:tr>
        <w:trPr>
          <w:trHeight w:val="196"/>
        </w:trPr>
        <w:tc>
          <w:tcPr>
            <w:tcW w:w="172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Registration Statement on Form S-1/A, filed on February 1, 2012).</w:t>
              </w:r>
            </w:hyperlink>
          </w:p>
        </w:tc>
        <w:tc>
          <w:tcPr>
            <w:tcW w:w="4320" w:type="dxa"/>
            <w:vAlign w:val="bottom"/>
            <w:tcBorders>
              <w:top w:val="single" w:sz="8" w:color="0000FF"/>
            </w:tcBorders>
            <w:gridSpan w:val="13"/>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Description of Securities of Registrant</w:t>
              </w:r>
            </w:hyperlink>
          </w:p>
        </w:tc>
        <w:tc>
          <w:tcPr>
            <w:tcW w:w="6740" w:type="dxa"/>
            <w:vAlign w:val="bottom"/>
            <w:gridSpan w:val="22"/>
          </w:tcPr>
          <w:p>
            <w:pPr>
              <w:spacing w:after="0"/>
              <w:rPr>
                <w:sz w:val="21"/>
                <w:szCs w:val="2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2012 Long-Term Incentive Plan, as amended as of August 5, 2015 (incorporated by reference to Exhibit 10.1 to the Company’s</w:t>
              </w:r>
            </w:hyperlink>
          </w:p>
        </w:tc>
      </w:tr>
      <w:tr>
        <w:trPr>
          <w:trHeight w:val="196"/>
        </w:trPr>
        <w:tc>
          <w:tcPr>
            <w:tcW w:w="172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10-Q, filed on November 3, 2015).</w:t>
              </w:r>
            </w:hyperlink>
          </w:p>
        </w:tc>
        <w:tc>
          <w:tcPr>
            <w:tcW w:w="6200" w:type="dxa"/>
            <w:vAlign w:val="bottom"/>
            <w:tcBorders>
              <w:top w:val="single" w:sz="8" w:color="0000FF"/>
            </w:tcBorders>
            <w:gridSpan w:val="15"/>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Incentive Stock Option Agreement under 2012 Long-Term Incentive Plan (incorporated by reference to Exhibit 10.14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the Company’s Registration Statement on Form S-1/A, filed on February 13, 2012).</w:t>
              </w:r>
            </w:hyperlink>
          </w:p>
        </w:tc>
        <w:tc>
          <w:tcPr>
            <w:tcW w:w="3480" w:type="dxa"/>
            <w:vAlign w:val="bottom"/>
            <w:gridSpan w:val="17"/>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Form of Non-Statutory Stock Option Agreement (Directors) under 2012 Long-Term Incentive Plan (incorporated by reference to</w:t>
              </w:r>
            </w:hyperlink>
          </w:p>
        </w:tc>
        <w:tc>
          <w:tcPr>
            <w:tcW w:w="220" w:type="dxa"/>
            <w:vAlign w:val="bottom"/>
            <w:gridSpan w:val="4"/>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10.15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Non-Statutory Stock Option Agreement (U.S. Employees) under 2012 Long-Term Incentive Plan (incorporated by</w:t>
              </w:r>
            </w:hyperlink>
          </w:p>
        </w:tc>
        <w:tc>
          <w:tcPr>
            <w:tcW w:w="640" w:type="dxa"/>
            <w:vAlign w:val="bottom"/>
            <w:gridSpan w:val="10"/>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10.16 to the Company’s Registration Statement on Form S-1/A, filed on February 13, 2012).</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Non-Statutory Stock Option Agreement (U.K. Employees) under 2012 Long-Term Incentive Plan (incorporated by</w:t>
              </w:r>
            </w:hyperlink>
          </w:p>
        </w:tc>
      </w:tr>
      <w:tr>
        <w:trPr>
          <w:trHeight w:val="196"/>
        </w:trPr>
        <w:tc>
          <w:tcPr>
            <w:tcW w:w="1720" w:type="dxa"/>
            <w:vAlign w:val="bottom"/>
          </w:tcPr>
          <w:p>
            <w:pPr>
              <w:spacing w:after="0"/>
              <w:rPr>
                <w:sz w:val="17"/>
                <w:szCs w:val="17"/>
                <w:color w:val="auto"/>
              </w:rPr>
            </w:pPr>
          </w:p>
        </w:tc>
        <w:tc>
          <w:tcPr>
            <w:tcW w:w="89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10.17 to the Company’s Registration Statement on Form S-1/A, filed on February 13, 2012).</w:t>
              </w:r>
            </w:hyperlink>
          </w:p>
        </w:tc>
        <w:tc>
          <w:tcPr>
            <w:tcW w:w="620" w:type="dxa"/>
            <w:vAlign w:val="bottom"/>
            <w:gridSpan w:val="9"/>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820" w:type="dxa"/>
            <w:vAlign w:val="bottom"/>
            <w:gridSpan w:val="7"/>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Employee Stock Purchase Plan (incorporated by reference to Exhibit 10.18 to the Company’s Registration Statement on Form S-</w:t>
              </w:r>
            </w:hyperlink>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1/A, filed on February 13, 2012).</w:t>
              </w:r>
            </w:hyperlink>
          </w:p>
        </w:tc>
        <w:tc>
          <w:tcPr>
            <w:tcW w:w="6880" w:type="dxa"/>
            <w:vAlign w:val="bottom"/>
            <w:tcBorders>
              <w:top w:val="single" w:sz="8" w:color="0000FF"/>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Amended and Restated Credit Agreement, dated as of September 30, 2011, between Proto Labs, Inc. and Wells Fargo Bank, N.A.</w:t>
              </w:r>
            </w:hyperlink>
          </w:p>
        </w:tc>
        <w:tc>
          <w:tcPr>
            <w:tcW w:w="180" w:type="dxa"/>
            <w:vAlign w:val="bottom"/>
            <w:gridSpan w:val="2"/>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2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(incorporated by reference to Exhibit 10.19 to the Company’s Registration Statement on Form S-1/A, filed on October 26, 2011).</w:t>
              </w:r>
            </w:hyperlink>
          </w:p>
        </w:tc>
      </w:tr>
      <w:tr>
        <w:trPr>
          <w:trHeight w:val="20"/>
        </w:trPr>
        <w:tc>
          <w:tcPr>
            <w:tcW w:w="17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Credit Agreement, dated November 27, 2017, by and among Proto Labs and Wells Fargo Bank, National Association (incorporated</w:t>
              </w:r>
            </w:hyperlink>
          </w:p>
        </w:tc>
        <w:tc>
          <w:tcPr>
            <w:tcW w:w="60" w:type="dxa"/>
            <w:vAlign w:val="bottom"/>
          </w:tcPr>
          <w:p>
            <w:pPr>
              <w:spacing w:after="0"/>
              <w:rPr>
                <w:sz w:val="21"/>
                <w:szCs w:val="21"/>
                <w:color w:val="auto"/>
              </w:rPr>
            </w:pPr>
          </w:p>
        </w:tc>
      </w:tr>
      <w:tr>
        <w:trPr>
          <w:trHeight w:val="196"/>
        </w:trPr>
        <w:tc>
          <w:tcPr>
            <w:tcW w:w="1720" w:type="dxa"/>
            <w:vAlign w:val="bottom"/>
          </w:tcPr>
          <w:p>
            <w:pPr>
              <w:spacing w:after="0"/>
              <w:rPr>
                <w:sz w:val="17"/>
                <w:szCs w:val="17"/>
                <w:color w:val="auto"/>
              </w:rPr>
            </w:pPr>
          </w:p>
        </w:tc>
        <w:tc>
          <w:tcPr>
            <w:tcW w:w="62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by reference to Exhibit 10.1 to the Company’s Form 8-K, filed on December 1, 2017).</w:t>
              </w:r>
            </w:hyperlink>
          </w:p>
        </w:tc>
        <w:tc>
          <w:tcPr>
            <w:tcW w:w="3300" w:type="dxa"/>
            <w:vAlign w:val="bottom"/>
            <w:gridSpan w:val="16"/>
          </w:tcPr>
          <w:p>
            <w:pPr>
              <w:spacing w:after="0"/>
              <w:rPr>
                <w:sz w:val="17"/>
                <w:szCs w:val="17"/>
                <w:color w:val="auto"/>
              </w:rPr>
            </w:pPr>
          </w:p>
        </w:tc>
      </w:tr>
      <w:tr>
        <w:trPr>
          <w:trHeight w:val="25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520" w:type="dxa"/>
            <w:vAlign w:val="bottom"/>
            <w:gridSpan w:val="2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U.S. Severance Agreement (incorporated by reference to Exhibit 99.1 to the Company’s Form 8-K, filed on March 1,</w:t>
              </w:r>
            </w:hyperlink>
          </w:p>
        </w:tc>
      </w:tr>
      <w:tr>
        <w:trPr>
          <w:trHeight w:val="196"/>
        </w:trPr>
        <w:tc>
          <w:tcPr>
            <w:tcW w:w="17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2013).</w:t>
              </w:r>
            </w:hyperlink>
          </w:p>
        </w:tc>
        <w:tc>
          <w:tcPr>
            <w:tcW w:w="19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1720" w:type="dxa"/>
            <w:vAlign w:val="bottom"/>
          </w:tcPr>
          <w:p>
            <w:pPr>
              <w:spacing w:after="0"/>
              <w:rPr>
                <w:sz w:val="24"/>
                <w:szCs w:val="24"/>
                <w:color w:val="auto"/>
              </w:rPr>
            </w:pPr>
          </w:p>
        </w:tc>
        <w:tc>
          <w:tcPr>
            <w:tcW w:w="4820" w:type="dxa"/>
            <w:vAlign w:val="bottom"/>
            <w:gridSpan w:val="5"/>
          </w:tcPr>
          <w:p>
            <w:pPr>
              <w:ind w:left="382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94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UK Severance Agreement (incorporated by reference to Exhibit 10.2 to the Company’s Form 10-Q, filed on May 8, 2013).</w:t>
              </w:r>
            </w:hyperlink>
          </w:p>
        </w:tc>
        <w:tc>
          <w:tcPr>
            <w:tcW w:w="40" w:type="dxa"/>
            <w:vAlign w:val="bottom"/>
            <w:gridSpan w:val="2"/>
          </w:tcPr>
          <w:p>
            <w:pPr>
              <w:spacing w:after="0"/>
              <w:rPr>
                <w:sz w:val="24"/>
                <w:szCs w:val="24"/>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1"/>
                <w:szCs w:val="21"/>
                <w:color w:val="auto"/>
              </w:rPr>
            </w:pPr>
          </w:p>
        </w:tc>
        <w:tc>
          <w:tcPr>
            <w:tcW w:w="95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Amended and Restated Executive Employment Agreement, dated August 1, 2019, by and between Proto Labs, Inc. and Victoria M.</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Holt (incorporated by reference to Exhibit 10.1 to the Company’s Form 8-K, filed on August 2, 2019).</w:t>
              </w:r>
            </w:hyperlink>
          </w:p>
        </w:tc>
        <w:tc>
          <w:tcPr>
            <w:tcW w:w="2140" w:type="dxa"/>
            <w:vAlign w:val="bottom"/>
            <w:gridSpan w:val="16"/>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1"/>
                <w:szCs w:val="21"/>
                <w:color w:val="auto"/>
              </w:rPr>
            </w:pPr>
          </w:p>
        </w:tc>
        <w:tc>
          <w:tcPr>
            <w:tcW w:w="93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Form of Restricted Stock Agreement under 2012 Long-Term Incentive Plan for the initial grant to Victoria M. Holt (incorporated</w:t>
              </w:r>
            </w:hyperlink>
          </w:p>
        </w:tc>
        <w:tc>
          <w:tcPr>
            <w:tcW w:w="200" w:type="dxa"/>
            <w:vAlign w:val="bottom"/>
            <w:gridSpan w:val="7"/>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by reference to Exhibit 10.2 to the Company’s Form 8-K, filed on February 6,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1"/>
                <w:szCs w:val="21"/>
                <w:color w:val="auto"/>
              </w:rPr>
            </w:pPr>
          </w:p>
        </w:tc>
        <w:tc>
          <w:tcPr>
            <w:tcW w:w="93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Form of Restricted Stock Unit Agreement under 2012 Long-Term Incentive Plan (U.S. Employees) (incorporated by reference to</w:t>
              </w:r>
            </w:hyperlink>
          </w:p>
        </w:tc>
        <w:tc>
          <w:tcPr>
            <w:tcW w:w="200" w:type="dxa"/>
            <w:vAlign w:val="bottom"/>
            <w:gridSpan w:val="7"/>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10.1 to the Company’s Form 8-K, filed on February 12,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Restricted Stock Unit Agreement under 2012 Long-Term Incentive Plan (U.K. Employees)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Exhibit 10.2 to the Company’s Form 8-K, filed on February 12, 2014).</w:t>
              </w:r>
            </w:hyperlink>
          </w:p>
        </w:tc>
        <w:tc>
          <w:tcPr>
            <w:tcW w:w="20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21"/>
                <w:szCs w:val="21"/>
                <w:color w:val="auto"/>
              </w:rPr>
            </w:pPr>
          </w:p>
        </w:tc>
        <w:tc>
          <w:tcPr>
            <w:tcW w:w="9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Restricted Stock Unit Agreement under 2012 Long-Term Incentive Plan (Directors) (incorporated by reference to Exhibit</w:t>
              </w:r>
            </w:hyperlink>
          </w:p>
        </w:tc>
        <w:tc>
          <w:tcPr>
            <w:tcW w:w="140" w:type="dxa"/>
            <w:vAlign w:val="bottom"/>
            <w:gridSpan w:val="4"/>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Company’s Registration Statement on Form S-8, filed on March 3, 2014).</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1"/>
                <w:szCs w:val="21"/>
                <w:color w:val="auto"/>
              </w:rPr>
            </w:pPr>
          </w:p>
        </w:tc>
        <w:tc>
          <w:tcPr>
            <w:tcW w:w="95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Consulting Agreement, dated February 4, 2021, by and between Proto Labs, Inc. and Victoria M. Holt (incorporated by reference to</w:t>
              </w:r>
            </w:hyperlink>
          </w:p>
        </w:tc>
        <w:tc>
          <w:tcPr>
            <w:tcW w:w="2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Exhibit 10.2 to the Company’s Form 8-K, filed on February 4, 2021).</w:t>
              </w:r>
            </w:hyperlink>
          </w:p>
        </w:tc>
        <w:tc>
          <w:tcPr>
            <w:tcW w:w="4520" w:type="dxa"/>
            <w:vAlign w:val="bottom"/>
            <w:gridSpan w:val="22"/>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1"/>
                <w:szCs w:val="21"/>
                <w:color w:val="auto"/>
              </w:rPr>
            </w:pPr>
          </w:p>
        </w:tc>
        <w:tc>
          <w:tcPr>
            <w:tcW w:w="9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of Performance Stock Unit Agreement under 2012 Long-Term Incentive Plan (incorporated by reference to Exhibit 10.1 to</w:t>
              </w:r>
            </w:hyperlink>
          </w:p>
        </w:tc>
        <w:tc>
          <w:tcPr>
            <w:tcW w:w="240" w:type="dxa"/>
            <w:vAlign w:val="bottom"/>
            <w:gridSpan w:val="9"/>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Company’s Form 8-K, filed on February 17, 2017).</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Deferred Stock Unit Agreement under 2012 Long-Term Incentive Plan (incorporated by reference to Exhibit 10.1 to the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Company’s Form 10-Q, filed on August 1, 2018).</w:t>
              </w:r>
            </w:hyperlink>
          </w:p>
        </w:tc>
        <w:tc>
          <w:tcPr>
            <w:tcW w:w="5680" w:type="dxa"/>
            <w:vAlign w:val="bottom"/>
            <w:tcBorders>
              <w:top w:val="single" w:sz="8" w:color="0000FF"/>
            </w:tcBorders>
            <w:gridSpan w:val="18"/>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Executive Severance Agreement (incorporated by reference to Exhibit 10.1 to the Company’s Form 8-K, filed on October</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31, 2025).</w:t>
              </w:r>
            </w:hyperlink>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40" w:type="dxa"/>
            <w:vAlign w:val="bottom"/>
          </w:tcPr>
          <w:p>
            <w:pPr>
              <w:spacing w:after="0"/>
              <w:rPr>
                <w:sz w:val="21"/>
                <w:szCs w:val="21"/>
                <w:color w:val="auto"/>
              </w:rPr>
            </w:pPr>
          </w:p>
        </w:tc>
        <w:tc>
          <w:tcPr>
            <w:tcW w:w="93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Executive Employment Agreement, dated January 29, 2021, by and between Proto Labs, Inc. and Robert Bodor (incorporated by</w:t>
              </w:r>
            </w:hyperlink>
          </w:p>
        </w:tc>
        <w:tc>
          <w:tcPr>
            <w:tcW w:w="220" w:type="dxa"/>
            <w:vAlign w:val="bottom"/>
            <w:gridSpan w:val="8"/>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reference to Exhibit 10.1 to the Company’s Form 8-K, filed on February 4, 2021).</w:t>
              </w:r>
            </w:hyperlink>
          </w:p>
        </w:tc>
        <w:tc>
          <w:tcPr>
            <w:tcW w:w="3620" w:type="dxa"/>
            <w:vAlign w:val="bottom"/>
            <w:gridSpan w:val="18"/>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1"/>
                <w:szCs w:val="21"/>
                <w:color w:val="auto"/>
              </w:rPr>
            </w:pPr>
          </w:p>
        </w:tc>
        <w:tc>
          <w:tcPr>
            <w:tcW w:w="93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Amended and Restated Proto Labs, Inc. 2022 Long-Term Incentive Plan, as amended May 20, 2025 (incorporated by reference to</w:t>
              </w:r>
            </w:hyperlink>
          </w:p>
        </w:tc>
        <w:tc>
          <w:tcPr>
            <w:tcW w:w="180" w:type="dxa"/>
            <w:vAlign w:val="bottom"/>
            <w:gridSpan w:val="6"/>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Exhibit 10.4 to the Company's Form 8-K filed on May 21, 2025).</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1"/>
                <w:szCs w:val="21"/>
                <w:color w:val="auto"/>
              </w:rPr>
            </w:pPr>
          </w:p>
        </w:tc>
        <w:tc>
          <w:tcPr>
            <w:tcW w:w="94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Incentive Stock Option Agreement under the 2022 Long-Term Incentive Plan (incorporated by reference to Exhibit 10.2 to</w:t>
              </w:r>
            </w:hyperlink>
          </w:p>
        </w:tc>
        <w:tc>
          <w:tcPr>
            <w:tcW w:w="40" w:type="dxa"/>
            <w:vAlign w:val="bottom"/>
            <w:gridSpan w:val="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 Company’s Form 8-K, filed on August 30, 2022).</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Non-Statutory Stock Option Agreement (Directors) under the 2022 Long-Term Incentive Plan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to Exhibit 10.3 to the Company’s Form 8-K, filed on August 30, 2022).</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Non-Statutory Stock Option Agreement (U.S. Employees) under the 2022 Long-Term Incentive Plan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reference to Exhibit 10.4 to the Company’s Form 8-K, filed on August 30, 2022).</w:t>
              </w:r>
            </w:hyperlink>
          </w:p>
        </w:tc>
        <w:tc>
          <w:tcPr>
            <w:tcW w:w="3280" w:type="dxa"/>
            <w:vAlign w:val="bottom"/>
            <w:tcBorders>
              <w:top w:val="single" w:sz="8" w:color="0000FF"/>
            </w:tcBorders>
            <w:gridSpan w:val="5"/>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tcPr>
          <w:p>
            <w:pPr>
              <w:spacing w:after="0"/>
              <w:rPr>
                <w:sz w:val="21"/>
                <w:szCs w:val="21"/>
                <w:color w:val="auto"/>
              </w:rPr>
            </w:pPr>
          </w:p>
        </w:tc>
        <w:tc>
          <w:tcPr>
            <w:tcW w:w="9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Form of Non-Statutory Stock Option Agreement (U.K. Employees) under the 2022 Long-Term Incentive Plan (incorporated by</w:t>
              </w:r>
            </w:hyperlink>
          </w:p>
        </w:tc>
        <w:tc>
          <w:tcPr>
            <w:tcW w:w="340" w:type="dxa"/>
            <w:vAlign w:val="bottom"/>
            <w:gridSpan w:val="1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reference to Exhibit 10.5 to the Company’s Form 8-K, filed on August 30, 2022).</w:t>
              </w:r>
            </w:hyperlink>
          </w:p>
        </w:tc>
        <w:tc>
          <w:tcPr>
            <w:tcW w:w="3660" w:type="dxa"/>
            <w:vAlign w:val="bottom"/>
            <w:gridSpan w:val="19"/>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Restricted Stock Unit Award Agreement under the 2022 Long-Term Incentive Plan (U.S. Employees) (incorporated by</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reference to Exhibit 10.6 to the Company’s Form 8-K, filed on August 30, 2022).</w:t>
              </w:r>
            </w:hyperlink>
          </w:p>
        </w:tc>
        <w:tc>
          <w:tcPr>
            <w:tcW w:w="3320" w:type="dxa"/>
            <w:vAlign w:val="bottom"/>
            <w:tcBorders>
              <w:top w:val="single" w:sz="8" w:color="0000FF"/>
            </w:tcBorders>
            <w:gridSpan w:val="6"/>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21"/>
                <w:szCs w:val="21"/>
                <w:color w:val="auto"/>
              </w:rPr>
            </w:pPr>
          </w:p>
        </w:tc>
        <w:tc>
          <w:tcPr>
            <w:tcW w:w="9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Form of Restricted Stock Unit Award Agreement under the 2022 Long-Term Incentive Plan (U.K. Employees) (incorporated by</w:t>
              </w:r>
            </w:hyperlink>
          </w:p>
        </w:tc>
        <w:tc>
          <w:tcPr>
            <w:tcW w:w="300" w:type="dxa"/>
            <w:vAlign w:val="bottom"/>
            <w:gridSpan w:val="12"/>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reference to Exhibit 10.7 to the Company’s Form 8-K, filed on August 30, 2022).</w:t>
              </w:r>
            </w:hyperlink>
          </w:p>
        </w:tc>
        <w:tc>
          <w:tcPr>
            <w:tcW w:w="3660" w:type="dxa"/>
            <w:vAlign w:val="bottom"/>
            <w:gridSpan w:val="19"/>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Restricted Stock Unit Award Agreement under the 2022 Long-Term Incentive Plan (Directors) (incorporated by reference</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Exhibit 10.8 to the Company’s Form 8-K, filed on August 30, 2022).</w:t>
              </w:r>
            </w:hyperlink>
          </w:p>
        </w:tc>
        <w:tc>
          <w:tcPr>
            <w:tcW w:w="12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440" w:type="dxa"/>
            <w:vAlign w:val="bottom"/>
          </w:tcPr>
          <w:p>
            <w:pPr>
              <w:spacing w:after="0"/>
              <w:rPr>
                <w:sz w:val="21"/>
                <w:szCs w:val="21"/>
                <w:color w:val="auto"/>
              </w:rPr>
            </w:pPr>
          </w:p>
        </w:tc>
        <w:tc>
          <w:tcPr>
            <w:tcW w:w="9520" w:type="dxa"/>
            <w:vAlign w:val="bottom"/>
            <w:gridSpan w:val="3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Performance Stock Unit Award Agreement under the 2022 Long-Term Incentive Plan (incorporated by reference to</w:t>
              </w:r>
            </w:hyperlink>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Exhibit 10.9 to the Company’s Form 8-K, filed on August 30, 2022).</w:t>
              </w:r>
            </w:hyperlink>
          </w:p>
        </w:tc>
        <w:tc>
          <w:tcPr>
            <w:tcW w:w="3980" w:type="dxa"/>
            <w:vAlign w:val="bottom"/>
            <w:tcBorders>
              <w:top w:val="single" w:sz="8" w:color="0000FF"/>
            </w:tcBorders>
            <w:gridSpan w:val="8"/>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tcPr>
          <w:p>
            <w:pPr>
              <w:spacing w:after="0"/>
              <w:rPr>
                <w:sz w:val="21"/>
                <w:szCs w:val="21"/>
                <w:color w:val="auto"/>
              </w:rPr>
            </w:pPr>
          </w:p>
        </w:tc>
        <w:tc>
          <w:tcPr>
            <w:tcW w:w="9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Deferred Stock Unit Award Agreement under the 2022 Long-Term Incentive Plan (incorporated by reference to Exhibit</w:t>
              </w:r>
            </w:hyperlink>
          </w:p>
        </w:tc>
        <w:tc>
          <w:tcPr>
            <w:tcW w:w="28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to the Company’s Form 8-K, filed on August 30, 2022).</w:t>
              </w:r>
            </w:hyperlink>
          </w:p>
        </w:tc>
      </w:tr>
      <w:tr>
        <w:trPr>
          <w:trHeight w:val="95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tcBorders>
              <w:top w:val="single" w:sz="8" w:color="0000FF"/>
            </w:tcBorders>
            <w:gridSpan w:val="5"/>
          </w:tcPr>
          <w:p>
            <w:pPr>
              <w:ind w:left="382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440" w:type="dxa"/>
            <w:vAlign w:val="bottom"/>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Restricted Stock Unit Agreement Grant Notice under the Amended and Restated 2022 Long-Term Incentive Plan (Non-</w:t>
              </w:r>
            </w:hyperlink>
          </w:p>
        </w:tc>
      </w:tr>
      <w:tr>
        <w:trPr>
          <w:trHeight w:val="196"/>
        </w:trPr>
        <w:tc>
          <w:tcPr>
            <w:tcW w:w="170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employee Director) (incorporated by reference to Exhibit 10.2 to the Company's Form 10-Q, filed on August 2, 2024).</w:t>
              </w:r>
            </w:hyperlink>
          </w:p>
        </w:tc>
        <w:tc>
          <w:tcPr>
            <w:tcW w:w="720" w:type="dxa"/>
            <w:vAlign w:val="bottom"/>
            <w:tcBorders>
              <w:top w:val="single" w:sz="8" w:color="0000FF"/>
            </w:tcBorders>
            <w:gridSpan w:val="4"/>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of Deferred Stock Unit Agreement Grant Notice under the Amended and Restated 2022 Long-Term Incentive Plan (Non-</w:t>
              </w:r>
            </w:hyperlink>
          </w:p>
        </w:tc>
        <w:tc>
          <w:tcPr>
            <w:tcW w:w="260" w:type="dxa"/>
            <w:vAlign w:val="bottom"/>
            <w:gridSpan w:val="4"/>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Employee Director) (incorporated by reference to Exhibit 10.3 to the Company's Form 10-Q, filed on August 2, 2024)</w:t>
              </w:r>
              <w:r>
                <w:rPr>
                  <w:rFonts w:ascii="Times New Roman" w:cs="Times New Roman" w:eastAsia="Times New Roman" w:hAnsi="Times New Roman"/>
                  <w:sz w:val="18"/>
                  <w:szCs w:val="18"/>
                  <w:color w:val="000000"/>
                </w:rPr>
                <w:t>.</w:t>
              </w:r>
            </w:hyperlink>
          </w:p>
        </w:tc>
      </w:tr>
      <w:tr>
        <w:trPr>
          <w:trHeight w:val="20"/>
        </w:trPr>
        <w:tc>
          <w:tcPr>
            <w:tcW w:w="1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440" w:type="dxa"/>
            <w:vAlign w:val="bottom"/>
            <w:gridSpan w:val="21"/>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Settlement Agreement, fully executed on October 1, 2024 between Proto Labs, Inc., Proto Labs Germany GmbH and Bjoern Klaas</w:t>
              </w:r>
            </w:hyperlink>
          </w:p>
        </w:tc>
      </w:tr>
      <w:tr>
        <w:trPr>
          <w:trHeight w:val="196"/>
        </w:trPr>
        <w:tc>
          <w:tcPr>
            <w:tcW w:w="1700" w:type="dxa"/>
            <w:vAlign w:val="bottom"/>
          </w:tcPr>
          <w:p>
            <w:pPr>
              <w:spacing w:after="0"/>
              <w:rPr>
                <w:sz w:val="17"/>
                <w:szCs w:val="17"/>
                <w:color w:val="auto"/>
              </w:rPr>
            </w:pPr>
          </w:p>
        </w:tc>
        <w:tc>
          <w:tcPr>
            <w:tcW w:w="942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10.1 to the Company's Form 8-K, filed on October 7,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440" w:type="dxa"/>
            <w:vAlign w:val="bottom"/>
            <w:gridSpan w:val="2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Executive Employment Agreement, dated May 20, 2025, by and between Proto Labs, Inc. and Suresh Krishna (incorporated by</w:t>
              </w:r>
            </w:hyperlink>
          </w:p>
        </w:tc>
      </w:tr>
      <w:tr>
        <w:trPr>
          <w:trHeight w:val="196"/>
        </w:trPr>
        <w:tc>
          <w:tcPr>
            <w:tcW w:w="1700" w:type="dxa"/>
            <w:vAlign w:val="bottom"/>
          </w:tcPr>
          <w:p>
            <w:pPr>
              <w:spacing w:after="0"/>
              <w:rPr>
                <w:sz w:val="17"/>
                <w:szCs w:val="17"/>
                <w:color w:val="auto"/>
              </w:rPr>
            </w:pPr>
          </w:p>
        </w:tc>
        <w:tc>
          <w:tcPr>
            <w:tcW w:w="91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reference to Exhibit 10.1 to the Company’s Form 8-K filed on May 21, 2025).</w:t>
              </w:r>
            </w:hyperlink>
          </w:p>
        </w:tc>
        <w:tc>
          <w:tcPr>
            <w:tcW w:w="260" w:type="dxa"/>
            <w:vAlign w:val="bottom"/>
            <w:gridSpan w:val="4"/>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Consulting Agreement, dated May 20, 2025, by and between Proto Labs, Inc. and Robert Bodor (incorporated by reference to</w:t>
              </w:r>
            </w:hyperlink>
          </w:p>
        </w:tc>
        <w:tc>
          <w:tcPr>
            <w:tcW w:w="380" w:type="dxa"/>
            <w:vAlign w:val="bottom"/>
            <w:gridSpan w:val="6"/>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47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Exhibit 10.3 to the Company’s Form 8-K filed on May 21, 2025).</w:t>
              </w:r>
            </w:hyperlink>
          </w:p>
        </w:tc>
        <w:tc>
          <w:tcPr>
            <w:tcW w:w="4700" w:type="dxa"/>
            <w:vAlign w:val="bottom"/>
            <w:gridSpan w:val="13"/>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Consulting Agreement, dated May 28, 2025, by and between Proto Labs, Inc. and Robert Bodor (incorporated by reference to</w:t>
              </w:r>
            </w:hyperlink>
          </w:p>
        </w:tc>
        <w:tc>
          <w:tcPr>
            <w:tcW w:w="380" w:type="dxa"/>
            <w:vAlign w:val="bottom"/>
            <w:gridSpan w:val="6"/>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9440" w:type="dxa"/>
            <w:vAlign w:val="bottom"/>
            <w:gridSpan w:val="21"/>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10.2 to the Company’s Form 8-K filed on May 30, 2025).</w:t>
              </w:r>
            </w:hyperlink>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4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Protolabs Annual Incentive Plan.</w:t>
            </w:r>
          </w:p>
        </w:tc>
        <w:tc>
          <w:tcPr>
            <w:tcW w:w="4720" w:type="dxa"/>
            <w:vAlign w:val="bottom"/>
            <w:gridSpan w:val="14"/>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4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Proto Labs, Inc. Insider Trading Policy (incorporated by reference to Exhibit 19.1 to the Company’s Form 10-K, filed February 21,</w:t>
              </w:r>
            </w:hyperlink>
          </w:p>
        </w:tc>
      </w:tr>
      <w:tr>
        <w:trPr>
          <w:trHeight w:val="196"/>
        </w:trPr>
        <w:tc>
          <w:tcPr>
            <w:tcW w:w="170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2025).</w:t>
              </w:r>
            </w:hyperlink>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9440" w:type="dxa"/>
            <w:vAlign w:val="bottom"/>
            <w:gridSpan w:val="2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Proto Labs, Inc. Supplement to Insider Trading Policy (incorporated by reference to Exhibit 19.2 to the Company’s Form 10-K,</w:t>
              </w:r>
            </w:hyperlink>
          </w:p>
        </w:tc>
      </w:tr>
      <w:tr>
        <w:trPr>
          <w:trHeight w:val="196"/>
        </w:trPr>
        <w:tc>
          <w:tcPr>
            <w:tcW w:w="170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filed February 21, 2025).</w:t>
              </w:r>
            </w:hyperlink>
          </w:p>
        </w:tc>
        <w:tc>
          <w:tcPr>
            <w:tcW w:w="7360" w:type="dxa"/>
            <w:vAlign w:val="bottom"/>
            <w:tcBorders>
              <w:top w:val="single" w:sz="8" w:color="0000FF"/>
            </w:tcBorders>
            <w:gridSpan w:val="14"/>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Subsidiaries of Proto Labs, Inc.</w:t>
            </w:r>
          </w:p>
        </w:tc>
        <w:tc>
          <w:tcPr>
            <w:tcW w:w="7160" w:type="dxa"/>
            <w:vAlign w:val="bottom"/>
            <w:gridSpan w:val="16"/>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Powers of Attorney</w:t>
            </w:r>
          </w:p>
        </w:tc>
        <w:tc>
          <w:tcPr>
            <w:tcW w:w="860" w:type="dxa"/>
            <w:vAlign w:val="bottom"/>
            <w:tcBorders>
              <w:top w:val="single" w:sz="8" w:color="0000FF"/>
            </w:tcBorders>
            <w:gridSpan w:val="3"/>
          </w:tcPr>
          <w:p>
            <w:pPr>
              <w:spacing w:after="0"/>
              <w:rPr>
                <w:sz w:val="21"/>
                <w:szCs w:val="21"/>
                <w:color w:val="auto"/>
              </w:rPr>
            </w:pPr>
          </w:p>
        </w:tc>
        <w:tc>
          <w:tcPr>
            <w:tcW w:w="7160" w:type="dxa"/>
            <w:vAlign w:val="bottom"/>
            <w:gridSpan w:val="16"/>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w:t>
            </w:r>
          </w:p>
        </w:tc>
        <w:tc>
          <w:tcPr>
            <w:tcW w:w="2580" w:type="dxa"/>
            <w:vAlign w:val="bottom"/>
            <w:gridSpan w:val="10"/>
          </w:tcPr>
          <w:p>
            <w:pPr>
              <w:spacing w:after="0"/>
              <w:rPr>
                <w:sz w:val="21"/>
                <w:szCs w:val="2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w:t>
            </w:r>
          </w:p>
        </w:tc>
      </w:tr>
      <w:tr>
        <w:trPr>
          <w:trHeight w:val="20"/>
        </w:trPr>
        <w:tc>
          <w:tcPr>
            <w:tcW w:w="170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 Financial Officer pursuant to Section 906 of the Sarbanes-Oxley Act</w:t>
            </w:r>
          </w:p>
        </w:tc>
      </w:tr>
      <w:tr>
        <w:trPr>
          <w:trHeight w:val="20"/>
        </w:trPr>
        <w:tc>
          <w:tcPr>
            <w:tcW w:w="170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7140" w:type="dxa"/>
            <w:vAlign w:val="bottom"/>
            <w:gridSpan w:val="1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3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Proto Labs, Inc. Required Compensation Recovery Policy (incorporated by reference to Exhibit 97 to the Company's Form 10-K,</w:t>
              </w:r>
            </w:hyperlink>
          </w:p>
        </w:tc>
        <w:tc>
          <w:tcPr>
            <w:tcW w:w="120" w:type="dxa"/>
            <w:vAlign w:val="bottom"/>
            <w:gridSpan w:val="2"/>
          </w:tcPr>
          <w:p>
            <w:pPr>
              <w:spacing w:after="0"/>
              <w:rPr>
                <w:sz w:val="21"/>
                <w:szCs w:val="21"/>
                <w:color w:val="auto"/>
              </w:rPr>
            </w:pPr>
          </w:p>
        </w:tc>
      </w:tr>
      <w:tr>
        <w:trPr>
          <w:trHeight w:val="196"/>
        </w:trPr>
        <w:tc>
          <w:tcPr>
            <w:tcW w:w="170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filed on February 16, 2024)</w:t>
              </w:r>
            </w:hyperlink>
          </w:p>
        </w:tc>
        <w:tc>
          <w:tcPr>
            <w:tcW w:w="7440" w:type="dxa"/>
            <w:vAlign w:val="bottom"/>
            <w:gridSpan w:val="17"/>
          </w:tcPr>
          <w:p>
            <w:pPr>
              <w:spacing w:after="0"/>
              <w:rPr>
                <w:sz w:val="17"/>
                <w:szCs w:val="17"/>
                <w:color w:val="auto"/>
              </w:rPr>
            </w:pPr>
          </w:p>
        </w:tc>
      </w:tr>
      <w:tr>
        <w:trPr>
          <w:trHeight w:val="27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r>
      <w:tr>
        <w:trPr>
          <w:trHeight w:val="234"/>
        </w:trPr>
        <w:tc>
          <w:tcPr>
            <w:tcW w:w="1700" w:type="dxa"/>
            <w:vAlign w:val="bottom"/>
          </w:tcPr>
          <w:p>
            <w:pPr>
              <w:spacing w:after="0"/>
              <w:rPr>
                <w:sz w:val="20"/>
                <w:szCs w:val="20"/>
                <w:color w:val="auto"/>
              </w:rPr>
            </w:pP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25" w:lineRule="exact"/>
        <w:rPr>
          <w:sz w:val="20"/>
          <w:szCs w:val="20"/>
          <w:color w:val="auto"/>
        </w:rPr>
      </w:pPr>
    </w:p>
    <w:p>
      <w:pPr>
        <w:ind w:left="260" w:hanging="252"/>
        <w:spacing w:after="0" w:line="26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80" w:lineRule="exact"/>
        <w:rPr>
          <w:sz w:val="20"/>
          <w:szCs w:val="20"/>
          <w:color w:val="auto"/>
        </w:rPr>
      </w:pPr>
    </w:p>
    <w:p>
      <w:pPr>
        <w:ind w:left="260" w:right="280" w:hanging="252"/>
        <w:spacing w:after="0" w:line="266" w:lineRule="auto"/>
        <w:tabs>
          <w:tab w:leader="none" w:pos="2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Proto Labs, Inc.</w:t>
      </w:r>
    </w:p>
    <w:p>
      <w:pPr>
        <w:spacing w:after="0" w:line="333"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Suresh Krishna</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 Principal Financial and Accounting Officer)</w:t>
      </w:r>
    </w:p>
    <w:p>
      <w:pPr>
        <w:spacing w:after="0" w:line="32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Suresh Krishna</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 Principal Financial and Accounting Officer)</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Rainer Gawlick*</w:t>
      </w:r>
    </w:p>
    <w:p>
      <w:pPr>
        <w:spacing w:after="0" w:line="3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Archie C. Black*</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Sujeet Chand*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Moonhie Chin*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Stacy Greiner*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Donald G. Krantz*</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Sven A. Wehrwein*</w:t>
      </w:r>
    </w:p>
    <w:p>
      <w:pPr>
        <w:spacing w:after="0" w:line="315" w:lineRule="exact"/>
        <w:rPr>
          <w:sz w:val="20"/>
          <w:szCs w:val="20"/>
          <w:color w:val="auto"/>
        </w:rPr>
      </w:pPr>
    </w:p>
    <w:p>
      <w:pPr>
        <w:ind w:right="300" w:firstLine="494"/>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Suresh Krishna, by signing his name hereto, does hereby sign this document on behalf of each of the above named directors of the registrant pursuant to powers of attorney duly executed by such persons and filed as an exhibit hereto.</w:t>
      </w:r>
    </w:p>
    <w:p>
      <w:pPr>
        <w:spacing w:after="0" w:line="216" w:lineRule="exact"/>
        <w:rPr>
          <w:sz w:val="20"/>
          <w:szCs w:val="20"/>
          <w:color w:val="auto"/>
        </w:rPr>
      </w:pPr>
    </w:p>
    <w:p>
      <w:pPr>
        <w:ind w:left="20"/>
        <w:spacing w:after="0"/>
        <w:tabs>
          <w:tab w:leader="none" w:pos="478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34290</wp:posOffset>
            </wp:positionV>
            <wp:extent cx="41059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Suresh Krishna</w:t>
      </w:r>
    </w:p>
    <w:p>
      <w:pPr>
        <w:spacing w:after="0" w:line="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040"/>
          </w:cols>
          <w:pgMar w:left="320" w:top="33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337" w:right="53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Protolabs Annual Incentive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This Annual Incentive Plan (“AIP”) of Proto Labs, Inc. (the “Company”) is designed to motivate and reward employees for driving the achievement of the Company’s annual priorities and strategies associated with running and growing the business. Any payouts under the AIP are paid as cash bonuses based on achievement of specified performance metrics.</w:t>
      </w:r>
    </w:p>
    <w:p>
      <w:pPr>
        <w:spacing w:after="0" w:line="9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Compensation and Talent Committee of the Board of Directors (the “Committee”), with respect to executive officers, and the Chief Human Resources Officer and the Chief Financial Officer, with respect to other eligible employees of the Company, shall be the “Plan Administrator” of the AIP.</w:t>
      </w:r>
    </w:p>
    <w:p>
      <w:pPr>
        <w:spacing w:after="0" w:line="8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The AIP shall be applicable to a performance period of a calendar year (also referred to herein as the “plan year” or the “year”), beginning with 2026 The Plan Administrator shall determine the performance metrics and weightings for each plan year, as further described below.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Participation and Payouts:</w:t>
      </w:r>
    </w:p>
    <w:p>
      <w:pPr>
        <w:spacing w:after="0" w:line="160" w:lineRule="exact"/>
        <w:rPr>
          <w:sz w:val="20"/>
          <w:szCs w:val="20"/>
          <w:color w:val="auto"/>
        </w:rPr>
      </w:pPr>
    </w:p>
    <w:p>
      <w:pPr>
        <w:ind w:left="660" w:right="100" w:hanging="328"/>
        <w:spacing w:after="0" w:line="27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full-time and part-time employees who are employed on or before October 31 of the applicable plan year are eligible to participate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AIP, other than as provided immediately below.</w:t>
      </w:r>
    </w:p>
    <w:p>
      <w:pPr>
        <w:ind w:left="980" w:right="50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Interns, co-ops, or temporary employees are not eligible for the AIP. o Direct labor manufacturing employees are not eligible for the AIP.</w:t>
      </w:r>
    </w:p>
    <w:p>
      <w:pPr>
        <w:ind w:left="1300" w:right="140" w:hanging="324"/>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Employees who are on a sales commission or employees on another incentive plan or program that are below the senior leadership level are not eligible for the AIP.</w:t>
      </w:r>
    </w:p>
    <w:p>
      <w:pPr>
        <w:spacing w:after="0" w:line="205" w:lineRule="exact"/>
        <w:rPr>
          <w:rFonts w:ascii="Times New Roman" w:cs="Times New Roman" w:eastAsia="Times New Roman" w:hAnsi="Times New Roman"/>
          <w:sz w:val="18"/>
          <w:szCs w:val="18"/>
          <w:color w:val="auto"/>
        </w:rPr>
      </w:pPr>
    </w:p>
    <w:p>
      <w:pPr>
        <w:ind w:left="660" w:right="200" w:hanging="328"/>
        <w:spacing w:after="0" w:line="30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Participants: </w:t>
      </w:r>
      <w:r>
        <w:rPr>
          <w:rFonts w:ascii="Times New Roman" w:cs="Times New Roman" w:eastAsia="Times New Roman" w:hAnsi="Times New Roman"/>
          <w:sz w:val="18"/>
          <w:szCs w:val="18"/>
          <w:color w:val="auto"/>
        </w:rPr>
        <w:t>Only those eligible employees as defined above and who are designated by the Plan Administrator as a participant in the AIP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participant in the AIP.</w:t>
      </w:r>
    </w:p>
    <w:p>
      <w:pPr>
        <w:spacing w:after="0" w:line="171"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Payouts: </w:t>
      </w:r>
      <w:r>
        <w:rPr>
          <w:rFonts w:ascii="Times New Roman" w:cs="Times New Roman" w:eastAsia="Times New Roman" w:hAnsi="Times New Roman"/>
          <w:sz w:val="18"/>
          <w:szCs w:val="18"/>
          <w:color w:val="auto"/>
        </w:rPr>
        <w:t>As a condition to receiving any payouts under the AIP, a participant must be employed on the day of the payout (in an active or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leave of absence status) and must be in good standing (as determined by the Plan Administrator) at the time of the payout, except in the case of a reduction in force, retirement, death or disability as provided below.</w:t>
      </w:r>
    </w:p>
    <w:p>
      <w:pPr>
        <w:spacing w:after="0" w:line="1" w:lineRule="exact"/>
        <w:rPr>
          <w:rFonts w:ascii="Times New Roman" w:cs="Times New Roman" w:eastAsia="Times New Roman" w:hAnsi="Times New Roman"/>
          <w:sz w:val="18"/>
          <w:szCs w:val="18"/>
          <w:color w:val="auto"/>
        </w:rPr>
      </w:pPr>
    </w:p>
    <w:p>
      <w:pPr>
        <w:ind w:left="1300" w:right="22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Employees with a break in service, including a break in employment or on an unpaid leave, during the applicable plan year will remain eligible to receive a bonus based on actual performance and prorated based on active employment during that plan year.</w:t>
      </w:r>
    </w:p>
    <w:p>
      <w:pPr>
        <w:ind w:left="1300" w:right="14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Any payout amount for employees who begin employment during the applicable plan year will be prorated based on active employment during that plan year.</w:t>
      </w:r>
    </w:p>
    <w:p>
      <w:pPr>
        <w:ind w:left="1300" w:right="32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Employees with a job change in AIP eligible status will be prorated based on the portion of the plan year in months that the employee was a participant in the AIP (partial months will be included as a full month for payout calculation purposes).</w:t>
      </w:r>
    </w:p>
    <w:p>
      <w:pPr>
        <w:ind w:left="1300" w:right="60" w:hanging="32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Notwithstanding anything in this AIP to the contrary, if a participant’s employment with the Company terminates prior to the payout date by reason of a reduction in force, retirement, death or disability, in each case, as determined by the Plan Administrator, such participant will be eligible to receive a payout on a prorated basis, based on the portion of the plan year the employee was a participant in the AIP. The bonus amount will be determined based on final year-end performance and paid on the same schedule as the annual payout to other participants in the AIP, but in no event later than March 15 of the calendar year following the end of the performance period to which the bonus relates for US employees.</w:t>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Target Payout Opportunity:</w:t>
      </w:r>
    </w:p>
    <w:p>
      <w:pPr>
        <w:spacing w:after="0" w:line="162" w:lineRule="exact"/>
        <w:rPr>
          <w:sz w:val="20"/>
          <w:szCs w:val="20"/>
          <w:color w:val="auto"/>
        </w:rPr>
      </w:pPr>
    </w:p>
    <w:p>
      <w:pPr>
        <w:ind w:left="660" w:right="140" w:hanging="328"/>
        <w:spacing w:after="0" w:line="26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determine the target payout opportunity, expressed as a percentage of eligible earnings, for each participant in the AIP. Eligible earnings include any pay for hours worked and approved paid time off received through Protolabs payroll, subject to statutory interpretation by country.</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payout opportunity is calculated based on eligible earnings received during active employment within the plan year.</w:t>
      </w:r>
    </w:p>
    <w:p>
      <w:pPr>
        <w:spacing w:after="0" w:line="9" w:lineRule="exact"/>
        <w:rPr>
          <w:rFonts w:ascii="Times New Roman" w:cs="Times New Roman" w:eastAsia="Times New Roman" w:hAnsi="Times New Roman"/>
          <w:sz w:val="18"/>
          <w:szCs w:val="18"/>
          <w:color w:val="auto"/>
        </w:rPr>
      </w:pPr>
    </w:p>
    <w:p>
      <w:pPr>
        <w:ind w:left="660" w:right="60" w:hanging="328"/>
        <w:spacing w:after="0" w:line="29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target payout opportunity percentage during the plan year, the target percentage in effect as of November 1 of the plan year is the percentage that shall be used in calculation of the bonus amount.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16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this AIP is January 1 to December 31 of the plan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Metrics, Bonus Plans and Payout Ranges:</w:t>
      </w:r>
    </w:p>
    <w:p>
      <w:pPr>
        <w:spacing w:after="0" w:line="162" w:lineRule="exact"/>
        <w:rPr>
          <w:sz w:val="20"/>
          <w:szCs w:val="20"/>
          <w:color w:val="auto"/>
        </w:rPr>
      </w:pPr>
    </w:p>
    <w:p>
      <w:pPr>
        <w:ind w:left="660" w:hanging="328"/>
        <w:spacing w:after="0" w:line="29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AIP has two performance components, one of which is based on Company performance (70%) and the other of which is based on individual performance (30%)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 performance component, each participant will be subject to the performance metrics under one of the bonus plans (each, a “Bonus Plan”), as set forth on Appendix A.</w:t>
      </w:r>
    </w:p>
    <w:p>
      <w:pPr>
        <w:spacing w:after="0" w:line="108" w:lineRule="exact"/>
        <w:rPr>
          <w:sz w:val="20"/>
          <w:szCs w:val="20"/>
          <w:color w:val="auto"/>
        </w:rPr>
      </w:pPr>
    </w:p>
    <w:p>
      <w:pPr>
        <w:ind w:left="1300" w:right="60" w:hanging="320"/>
        <w:spacing w:after="0" w:line="282" w:lineRule="auto"/>
        <w:tabs>
          <w:tab w:leader="none" w:pos="12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goals under each Bonus Plan, as well as the related payout opportunity (ranging from 20% to 200% of target), will be set forth on Appendix A for each plan year, as determined by the Plan Administrator.</w:t>
      </w:r>
    </w:p>
    <w:p>
      <w:pPr>
        <w:spacing w:after="0" w:line="107" w:lineRule="exact"/>
        <w:rPr>
          <w:rFonts w:ascii="Times New Roman" w:cs="Times New Roman" w:eastAsia="Times New Roman" w:hAnsi="Times New Roman"/>
          <w:sz w:val="18"/>
          <w:szCs w:val="18"/>
          <w:color w:val="auto"/>
        </w:rPr>
      </w:pPr>
    </w:p>
    <w:p>
      <w:pPr>
        <w:ind w:left="660" w:hanging="328"/>
        <w:spacing w:after="0" w:line="27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plan year, the Plan Administrator will review actual Company performance against the Company performance goals and determine the percentage achieved, if any, against target. If threshold financial performance is not achieved, the plan will not fund AIP payouts.</w:t>
      </w:r>
    </w:p>
    <w:p>
      <w:pPr>
        <w:spacing w:after="0" w:line="10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executive officers, such result will constitute the calculated payout amount, subject to adjustment by the Committee.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non-executive officers, such result will constitute the Calculated Funding Amount, and:</w:t>
      </w:r>
    </w:p>
    <w:p>
      <w:pPr>
        <w:spacing w:after="0" w:line="158" w:lineRule="exact"/>
        <w:rPr>
          <w:sz w:val="20"/>
          <w:szCs w:val="20"/>
          <w:color w:val="auto"/>
        </w:rPr>
      </w:pPr>
    </w:p>
    <w:p>
      <w:pPr>
        <w:ind w:left="1620" w:right="60" w:hanging="188"/>
        <w:spacing w:after="0" w:line="268" w:lineRule="auto"/>
        <w:rPr>
          <w:sz w:val="20"/>
          <w:szCs w:val="20"/>
          <w:color w:val="auto"/>
        </w:rPr>
      </w:pPr>
      <w:r>
        <w:rPr>
          <w:rFonts w:ascii="Times New Roman" w:cs="Times New Roman" w:eastAsia="Times New Roman" w:hAnsi="Times New Roman"/>
          <w:sz w:val="18"/>
          <w:szCs w:val="18"/>
          <w:color w:val="auto"/>
        </w:rPr>
        <w:t>70% of the Calculated Funding Amount will be payable as the Company performance component of the AIP (the “Payable Company Component”) and</w:t>
      </w:r>
    </w:p>
    <w:p>
      <w:pPr>
        <w:spacing w:after="0" w:line="2" w:lineRule="exact"/>
        <w:rPr>
          <w:sz w:val="20"/>
          <w:szCs w:val="20"/>
          <w:color w:val="auto"/>
        </w:rPr>
      </w:pPr>
    </w:p>
    <w:p>
      <w:pPr>
        <w:jc w:val="both"/>
        <w:ind w:left="1620" w:hanging="188"/>
        <w:spacing w:after="0" w:line="271" w:lineRule="auto"/>
        <w:rPr>
          <w:sz w:val="20"/>
          <w:szCs w:val="20"/>
          <w:color w:val="auto"/>
        </w:rPr>
      </w:pPr>
      <w:r>
        <w:rPr>
          <w:rFonts w:ascii="Times New Roman" w:cs="Times New Roman" w:eastAsia="Times New Roman" w:hAnsi="Times New Roman"/>
          <w:sz w:val="18"/>
          <w:szCs w:val="18"/>
          <w:color w:val="auto"/>
        </w:rPr>
        <w:t>30% of the Calculated Funding Amount (the “Eligible Target Individual Component”) will be eligible for payout at 0%-150% of such amount based on individual performance as determined by the Plan Administrator, as the individual performance component of the AIP.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payouts under the AIP exclude the individual performance metric and are based solely on Company performance</w:t>
      </w:r>
    </w:p>
    <w:p>
      <w:pPr>
        <w:sectPr>
          <w:pgSz w:w="11900" w:h="16838" w:orient="portrait"/>
          <w:cols w:equalWidth="0" w:num="1">
            <w:col w:w="11080"/>
          </w:cols>
          <w:pgMar w:left="320" w:top="1413"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Payout Calculation:</w:t>
      </w:r>
    </w:p>
    <w:p>
      <w:pPr>
        <w:spacing w:after="0" w:line="162" w:lineRule="exact"/>
        <w:rPr>
          <w:sz w:val="20"/>
          <w:szCs w:val="20"/>
          <w:color w:val="auto"/>
        </w:rPr>
      </w:pPr>
    </w:p>
    <w:p>
      <w:pPr>
        <w:ind w:left="660" w:right="520" w:hanging="328"/>
        <w:spacing w:after="0" w:line="29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will be calculated based on the following formula (with executive officers’ payouts to be determined by the Company performance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63500</wp:posOffset>
            </wp:positionV>
            <wp:extent cx="5349240" cy="19970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 Example in USD (for illustrative purposes only):</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with eligible earnings of $90,000</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 is 10% of participant’s eligible earnings = $9,000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Revenue performance achieves 80% bonus attainment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Margin performance achieves 100% bonus attainment</w:t>
      </w:r>
    </w:p>
    <w:p>
      <w:pPr>
        <w:spacing w:after="0" w:line="9" w:lineRule="exact"/>
        <w:rPr>
          <w:rFonts w:ascii="Times New Roman" w:cs="Times New Roman" w:eastAsia="Times New Roman" w:hAnsi="Times New Roman"/>
          <w:sz w:val="18"/>
          <w:szCs w:val="18"/>
          <w:color w:val="auto"/>
        </w:rPr>
      </w:pPr>
    </w:p>
    <w:p>
      <w:pPr>
        <w:ind w:left="660" w:hanging="328"/>
        <w:spacing w:after="0" w:line="27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component is 90% based on individual performance as determined by the participant’s manager during the end of year performance and salary review process.</w:t>
      </w:r>
    </w:p>
    <w:p>
      <w:pPr>
        <w:spacing w:after="0" w:line="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Company Performance</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Revenue Component (75% of Company performance)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Revenue = </w:t>
      </w:r>
      <w:r>
        <w:rPr>
          <w:rFonts w:ascii="Times New Roman" w:cs="Times New Roman" w:eastAsia="Times New Roman" w:hAnsi="Times New Roman"/>
          <w:sz w:val="18"/>
          <w:szCs w:val="18"/>
          <w:color w:val="auto"/>
        </w:rPr>
        <w:t>Target Award ($9,000) x Revenue % Achieved (80%) x Revenue Weighting (75%)</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Revenue = </w:t>
      </w:r>
      <w:r>
        <w:rPr>
          <w:rFonts w:ascii="Times New Roman" w:cs="Times New Roman" w:eastAsia="Times New Roman" w:hAnsi="Times New Roman"/>
          <w:sz w:val="18"/>
          <w:szCs w:val="18"/>
          <w:color w:val="auto"/>
        </w:rPr>
        <w:t>$5,400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Margin Component (25% of Company performance)</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Margin = </w:t>
      </w:r>
      <w:r>
        <w:rPr>
          <w:rFonts w:ascii="Times New Roman" w:cs="Times New Roman" w:eastAsia="Times New Roman" w:hAnsi="Times New Roman"/>
          <w:sz w:val="18"/>
          <w:szCs w:val="18"/>
          <w:color w:val="auto"/>
        </w:rPr>
        <w:t>Target Award ($9,000) x Revenue % Achieved (100%) x Margin Weighting (25%)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Margin = </w:t>
      </w:r>
      <w:r>
        <w:rPr>
          <w:rFonts w:ascii="Times New Roman" w:cs="Times New Roman" w:eastAsia="Times New Roman" w:hAnsi="Times New Roman"/>
          <w:sz w:val="18"/>
          <w:szCs w:val="18"/>
          <w:color w:val="auto"/>
        </w:rPr>
        <w:t>$2,250</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Total Company Performance = </w:t>
      </w:r>
      <w:r>
        <w:rPr>
          <w:rFonts w:ascii="Times New Roman" w:cs="Times New Roman" w:eastAsia="Times New Roman" w:hAnsi="Times New Roman"/>
          <w:sz w:val="18"/>
          <w:szCs w:val="18"/>
          <w:color w:val="auto"/>
        </w:rPr>
        <w:t>$5,400 (Revenue) + $2,250 (Margin) =</w:t>
      </w:r>
      <w:r>
        <w:rPr>
          <w:rFonts w:ascii="Times New Roman" w:cs="Times New Roman" w:eastAsia="Times New Roman" w:hAnsi="Times New Roman"/>
          <w:sz w:val="18"/>
          <w:szCs w:val="18"/>
          <w:b w:val="1"/>
          <w:bCs w:val="1"/>
          <w:color w:val="auto"/>
        </w:rPr>
        <w:t xml:space="preserve"> $7,650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Calculated Funding Amount = $7,650</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Payable Company Component (70%) = $5,355</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Eligible Target Individual Component (30%) = $2,295</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Individual Performance</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Individual Performance Achievement (“IPA”)</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IPA = </w:t>
      </w:r>
      <w:r>
        <w:rPr>
          <w:rFonts w:ascii="Times New Roman" w:cs="Times New Roman" w:eastAsia="Times New Roman" w:hAnsi="Times New Roman"/>
          <w:sz w:val="18"/>
          <w:szCs w:val="18"/>
          <w:color w:val="auto"/>
        </w:rPr>
        <w:t>Eligible Target Individual Component ($2,295) x Individual Performance % Achieved (90%)</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IPA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$2,065</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Total AIP Payout = </w:t>
      </w:r>
      <w:r>
        <w:rPr>
          <w:rFonts w:ascii="Times New Roman" w:cs="Times New Roman" w:eastAsia="Times New Roman" w:hAnsi="Times New Roman"/>
          <w:sz w:val="18"/>
          <w:szCs w:val="18"/>
          <w:color w:val="auto"/>
        </w:rPr>
        <w:t>$5,355 (Company) + $2,065 (Individual) = $</w:t>
      </w:r>
      <w:r>
        <w:rPr>
          <w:rFonts w:ascii="Times New Roman" w:cs="Times New Roman" w:eastAsia="Times New Roman" w:hAnsi="Times New Roman"/>
          <w:sz w:val="18"/>
          <w:szCs w:val="18"/>
          <w:b w:val="1"/>
          <w:bCs w:val="1"/>
          <w:color w:val="auto"/>
        </w:rPr>
        <w:t xml:space="preserve">7,420 </w:t>
      </w:r>
      <w:r>
        <w:rPr>
          <w:rFonts w:ascii="Times New Roman" w:cs="Times New Roman" w:eastAsia="Times New Roman" w:hAnsi="Times New Roman"/>
          <w:sz w:val="18"/>
          <w:szCs w:val="18"/>
          <w:color w:val="auto"/>
        </w:rPr>
        <w:t>(97% of Calculated Funding Amount)</w:t>
      </w:r>
    </w:p>
    <w:p>
      <w:pPr>
        <w:sectPr>
          <w:pgSz w:w="11900" w:h="16838" w:orient="portrait"/>
          <w:cols w:equalWidth="0" w:num="1">
            <w:col w:w="11220"/>
          </w:cols>
          <w:pgMar w:left="320" w:top="141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Annual Payout:</w:t>
      </w:r>
    </w:p>
    <w:p>
      <w:pPr>
        <w:spacing w:after="0" w:line="162" w:lineRule="exact"/>
        <w:rPr>
          <w:sz w:val="20"/>
          <w:szCs w:val="20"/>
          <w:color w:val="auto"/>
        </w:rPr>
      </w:pPr>
    </w:p>
    <w:p>
      <w:pPr>
        <w:ind w:left="660" w:hanging="328"/>
        <w:spacing w:after="0" w:line="27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will be distributed in a lump sum cash payment, less applicable taxes and withholding. The bonus amount will be determined based on final year-end performance and paid on the same schedule as the annual payout to other participants in the AIP, but in no event later than March 15 of the calendar year following the end of the performance period to which the bonus relates in the US. Non-U.S. country bonuses will be paid in conjunction with the March payroll in that country.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62" w:lineRule="exact"/>
        <w:rPr>
          <w:sz w:val="20"/>
          <w:szCs w:val="20"/>
          <w:color w:val="auto"/>
        </w:rPr>
      </w:pPr>
    </w:p>
    <w:p>
      <w:pPr>
        <w:ind w:left="660" w:right="160" w:hanging="328"/>
        <w:spacing w:after="0" w:line="29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is responsible for administering this AIP. The Company reserves the right, without limitation, to interpret and implement this AIP.</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or interpretations of this AIP will be resolved by senior management or the Committee.</w:t>
      </w:r>
    </w:p>
    <w:p>
      <w:pPr>
        <w:spacing w:after="0" w:line="157" w:lineRule="exact"/>
        <w:rPr>
          <w:rFonts w:ascii="Times New Roman" w:cs="Times New Roman" w:eastAsia="Times New Roman" w:hAnsi="Times New Roman"/>
          <w:sz w:val="18"/>
          <w:szCs w:val="18"/>
          <w:color w:val="auto"/>
        </w:rPr>
      </w:pPr>
    </w:p>
    <w:p>
      <w:pPr>
        <w:ind w:left="660" w:right="440" w:hanging="328"/>
        <w:spacing w:after="0" w:line="29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maintains discretionary authority under the AIP to make fina</w:t>
      </w:r>
      <w:r>
        <w:rPr>
          <w:rFonts w:ascii="Times New Roman" w:cs="Times New Roman" w:eastAsia="Times New Roman" w:hAnsi="Times New Roman"/>
          <w:sz w:val="18"/>
          <w:szCs w:val="18"/>
          <w:color w:val="070707"/>
        </w:rPr>
        <w:t>l</w:t>
      </w:r>
      <w:r>
        <w:rPr>
          <w:rFonts w:ascii="Times New Roman" w:cs="Times New Roman" w:eastAsia="Times New Roman" w:hAnsi="Times New Roman"/>
          <w:sz w:val="18"/>
          <w:szCs w:val="18"/>
          <w:color w:val="auto"/>
        </w:rPr>
        <w:t xml:space="preserve"> determ</w:t>
      </w:r>
      <w:r>
        <w:rPr>
          <w:rFonts w:ascii="Times New Roman" w:cs="Times New Roman" w:eastAsia="Times New Roman" w:hAnsi="Times New Roman"/>
          <w:sz w:val="18"/>
          <w:szCs w:val="18"/>
          <w:color w:val="070707"/>
        </w:rPr>
        <w:t>i</w:t>
      </w:r>
      <w:r>
        <w:rPr>
          <w:rFonts w:ascii="Times New Roman" w:cs="Times New Roman" w:eastAsia="Times New Roman" w:hAnsi="Times New Roman"/>
          <w:sz w:val="18"/>
          <w:szCs w:val="18"/>
          <w:color w:val="auto"/>
        </w:rPr>
        <w:t>nations as to whether and to what extent to pay amounts to participants for a plan year</w:t>
      </w:r>
      <w:r>
        <w:rPr>
          <w:rFonts w:ascii="Times New Roman" w:cs="Times New Roman" w:eastAsia="Times New Roman" w:hAnsi="Times New Roman"/>
          <w:sz w:val="18"/>
          <w:szCs w:val="18"/>
          <w:color w:val="565656"/>
        </w:rPr>
        <w:t>,</w:t>
      </w:r>
      <w:r>
        <w:rPr>
          <w:rFonts w:ascii="Times New Roman" w:cs="Times New Roman" w:eastAsia="Times New Roman" w:hAnsi="Times New Roman"/>
          <w:sz w:val="18"/>
          <w:szCs w:val="18"/>
          <w:color w:val="auto"/>
        </w:rPr>
        <w:t xml:space="preserve"> including if the minimum goals and/or financial performance are met.</w:t>
      </w:r>
    </w:p>
    <w:p>
      <w:pPr>
        <w:spacing w:after="0" w:line="81" w:lineRule="exact"/>
        <w:rPr>
          <w:rFonts w:ascii="Times New Roman" w:cs="Times New Roman" w:eastAsia="Times New Roman" w:hAnsi="Times New Roman"/>
          <w:sz w:val="18"/>
          <w:szCs w:val="18"/>
          <w:color w:val="auto"/>
        </w:rPr>
      </w:pPr>
    </w:p>
    <w:p>
      <w:pPr>
        <w:ind w:left="660" w:right="400" w:hanging="328"/>
        <w:spacing w:after="0" w:line="29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also has final approval over the award any participant may receive for the plan year and may adjust the award for any participant up or down (including to $0) in its total discretion.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w:t>
      </w:r>
    </w:p>
    <w:p>
      <w:pPr>
        <w:spacing w:after="0" w:line="162" w:lineRule="exact"/>
        <w:rPr>
          <w:sz w:val="20"/>
          <w:szCs w:val="20"/>
          <w:color w:val="auto"/>
        </w:rPr>
      </w:pPr>
    </w:p>
    <w:p>
      <w:pPr>
        <w:ind w:left="660" w:right="160" w:hanging="328"/>
        <w:spacing w:after="0" w:line="27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under the AIP are subject to potential forfeiture or recovery by the Company in accordance with any compensation forfeiture or recovery policy adopted by the Board or the Committee, including but not limited to, a policy adopted in response to the requirements of Section 10D of the Exchange Act, the Securities and Exchange Commission’s final rules thereunder, any listing rules of any national securities exchange on which the Company’s stock is then listed, other rules and regulations implementing the foregoing, or as otherwise required by law or stock exchange rules, as such policy or policies may be in effect from time to time.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 to Employment or Awards:</w:t>
      </w:r>
    </w:p>
    <w:p>
      <w:pPr>
        <w:spacing w:after="0" w:line="175" w:lineRule="exact"/>
        <w:rPr>
          <w:sz w:val="20"/>
          <w:szCs w:val="20"/>
          <w:color w:val="auto"/>
        </w:rPr>
      </w:pPr>
    </w:p>
    <w:p>
      <w:pPr>
        <w:ind w:left="660" w:right="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AIP will confer upon any person the right to continue in the employment of the Company or any affiliate, nor affect the right of the Company or any affiliate to terminate the employment of any participant. The inclusion or selection of any particular individual or position to be eligible to receive an award for any plan year will not require the selection of such particular individual or position for any subsequent plan year, and, if such individual or position is subsequently selected, will not require that an award of the same amount be provided to the participant(s) for a subsequent plan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62" w:lineRule="exact"/>
        <w:rPr>
          <w:sz w:val="20"/>
          <w:szCs w:val="20"/>
          <w:color w:val="auto"/>
        </w:rPr>
      </w:pPr>
    </w:p>
    <w:p>
      <w:pPr>
        <w:ind w:left="660" w:right="820" w:hanging="328"/>
        <w:spacing w:after="0" w:line="297"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reserves the right to amend this AIP from time to time in whole or in part and for any reason without the consent of any participant. The Committee may, in its discretion, terminate the AIP at any time for any reason.</w:t>
      </w:r>
    </w:p>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subsidiaries listed below are wholly owned.</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tbl>
      <w:tblPr>
        <w:tblLayout w:type="fixed"/>
        <w:tblInd w:w="0" w:type="dxa"/>
        <w:tblCellMar>
          <w:top w:w="0" w:type="dxa"/>
          <w:left w:w="0" w:type="dxa"/>
          <w:bottom w:w="0" w:type="dxa"/>
          <w:right w:w="0" w:type="dxa"/>
        </w:tblCellMar>
      </w:tblPr>
      <w:tr>
        <w:trPr>
          <w:trHeight w:val="214"/>
        </w:trPr>
        <w:tc>
          <w:tcPr>
            <w:tcW w:w="62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3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International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Hubs Manufacturing Inc.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Manufacturing LLC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International Holdings, UK, Ltd.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1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 Euro Services Limited</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Proto Labs Tooling GmbH</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4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3D Hubs B.V.</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40"/>
          </w:cols>
          <w:pgMar w:left="320" w:top="10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(Nos. 333-179651, 333-194272, 333-202486, 333-267156, 333-273705, 333-281217, 333-287596, and 333-287598) pertaining to the Amended and Restated 2022 Long-Term Incentive Plan, 2012 Long-Term Incentive Plan, Employee Stock Purchase Plan, 2000 Stock Option Plan, Stock Subscription Warrant, Performance Stock Unit Award Agreement — TSR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(Inducement Grant), and Performance Stock Unit Award Agreement — Revenue and TSR (Inducement Grant) of Proto Labs, Inc. of our reports dated February 20, 2026, with respect to the consolidated financial statements of Proto Labs, Inc., and the effectiveness of internal control over financial reporting of Proto Labs, Inc., included in this Annual Report (Form 10-K)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0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OF DIRECTOR AND/OR OFFICER</w:t>
      </w:r>
    </w:p>
    <w:p>
      <w:pPr>
        <w:spacing w:after="0" w:line="192"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Each of the undersigned directors and/or officers of Proto Labs, Inc., a Minnesota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make, constitute and appoint Suresh Krishna and Daniel Schumacher, and each of them, either of whom may act without the joinder of the other, the undersigned’s true and lawful</w:t>
      </w:r>
    </w:p>
    <w:p>
      <w:pPr>
        <w:spacing w:after="0" w:line="2"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attorney-in-fact and agent, with full power of substitution, for the undersigned and in the undersigned’s name, place and stead, to sign on his or her behalf, individually and in the capacities stated below, the Annual Report on Form 10-K for the year ended December 31, 2025 under the Securities Exchange Act of 1934, as amended, with any amendment or amendments thereto, with all exhibits thereto and other supporting documents, with the U.S. Securities and</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Exchange Commission, granting unto said attorneys-in-fact, and each of them, full power and authority to do and perform any and all acts necessary or incidental to the performance and execution of the powers herein expressly granted.</w:t>
      </w:r>
    </w:p>
    <w:p>
      <w:pPr>
        <w:spacing w:after="0" w:line="18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WITNESS WHEREOF, each of the undersigned directors and/or officers of Proto Labs, Inc. has hereunto set his or her hand this 17th day of February, 2026.</w:t>
      </w:r>
    </w:p>
    <w:p>
      <w:pPr>
        <w:spacing w:after="0" w:line="39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Rainer Gawlick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180"/>
        </w:trPr>
        <w:tc>
          <w:tcPr>
            <w:tcW w:w="5440" w:type="dxa"/>
            <w:vAlign w:val="bottom"/>
            <w:tcBorders>
              <w:bottom w:val="single" w:sz="8" w:color="auto"/>
            </w:tcBorders>
            <w:vMerge w:val="continue"/>
          </w:tcPr>
          <w:p>
            <w:pPr>
              <w:spacing w:after="0"/>
              <w:rPr>
                <w:sz w:val="15"/>
                <w:szCs w:val="15"/>
                <w:color w:val="auto"/>
              </w:rPr>
            </w:pP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Rainer Gawlick</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Suresh Krishna</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Suresh Krishna</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Archie C. Black</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Archie C. Black</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Sven Wehrwein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Stacy Greiner</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Stacy Greiner</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Donald G. Krantz</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G. Krantz</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Sujeet Chand</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75"/>
        </w:trPr>
        <w:tc>
          <w:tcPr>
            <w:tcW w:w="54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Sujeet Chand</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Moonhie Chin</w:t>
            </w:r>
          </w:p>
        </w:tc>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81"/>
        </w:trPr>
        <w:tc>
          <w:tcPr>
            <w:tcW w:w="5440" w:type="dxa"/>
            <w:vAlign w:val="bottom"/>
            <w:tcBorders>
              <w:bottom w:val="single" w:sz="8" w:color="auto"/>
            </w:tcBorders>
            <w:vMerge w:val="continue"/>
          </w:tcPr>
          <w:p>
            <w:pPr>
              <w:spacing w:after="0"/>
              <w:rPr>
                <w:sz w:val="15"/>
                <w:szCs w:val="15"/>
                <w:color w:val="auto"/>
              </w:rPr>
            </w:pP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Moonhie Chin</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Suresh Krishna, certify that:</w:t>
      </w:r>
    </w:p>
    <w:p>
      <w:pPr>
        <w:spacing w:after="0" w:line="225" w:lineRule="exact"/>
        <w:rPr>
          <w:sz w:val="20"/>
          <w:szCs w:val="20"/>
          <w:color w:val="auto"/>
        </w:rPr>
      </w:pPr>
    </w:p>
    <w:p>
      <w:pPr>
        <w:ind w:left="660" w:hanging="16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Suresh Krishna</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60" w:hanging="16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Proto Labs, Inc.;</w:t>
      </w:r>
    </w:p>
    <w:p>
      <w:pPr>
        <w:spacing w:after="0" w:line="225" w:lineRule="exact"/>
        <w:rPr>
          <w:rFonts w:ascii="Times New Roman" w:cs="Times New Roman" w:eastAsia="Times New Roman" w:hAnsi="Times New Roman"/>
          <w:sz w:val="18"/>
          <w:szCs w:val="18"/>
          <w:color w:val="auto"/>
        </w:rPr>
      </w:pPr>
    </w:p>
    <w:p>
      <w:pPr>
        <w:ind w:right="120" w:firstLine="494"/>
        <w:spacing w:after="0" w:line="312" w:lineRule="auto"/>
        <w:tabs>
          <w:tab w:leader="none" w:pos="6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80" w:firstLine="494"/>
        <w:spacing w:after="0" w:line="282"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February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Schumacher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Suresh Krishna, certify, pursuant to 18 U.S.C. Section 1350, as adopted pursuant to Section 906 of the Sarbanes-Oxley Act of 2002, that the Annual Report of Proto Labs, Inc.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Suresh Krishna</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Suresh Krishna</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Annual Report of Proto Labs, Inc.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79" w:lineRule="exact"/>
        <w:rPr>
          <w:sz w:val="20"/>
          <w:szCs w:val="20"/>
          <w:color w:val="auto"/>
        </w:rPr>
      </w:pPr>
    </w:p>
    <w:tbl>
      <w:tblPr>
        <w:tblLayout w:type="fixed"/>
        <w:tblInd w:w="658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Schumacher</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1"/>
      <w:numFmt w:val="bullet"/>
      <w:start w:val="1"/>
    </w:lvl>
  </w:abstractNum>
  <w:abstractNum w:abstractNumId="35">
    <w:nsid w:val="57E4CCAF"/>
    <w:multiLevelType w:val="hybridMultilevel"/>
    <w:lvl w:ilvl="0">
      <w:lvlJc w:val="left"/>
      <w:lvlText w:val="1"/>
      <w:numFmt w:val="bullet"/>
      <w:start w:val="1"/>
    </w:lvl>
  </w:abstractNum>
  <w:abstractNum w:abstractNumId="36">
    <w:nsid w:val="7A6D8D3C"/>
    <w:multiLevelType w:val="hybridMultilevel"/>
    <w:lvl w:ilvl="0">
      <w:lvlJc w:val="left"/>
      <w:lvlText w:val="(%1)"/>
      <w:numFmt w:val="lowerLetter"/>
      <w:start w:val="1"/>
    </w:lvl>
    <w:lvl w:ilvl="1">
      <w:lvlJc w:val="left"/>
      <w:lvlText w:val="%2."/>
      <w:numFmt w:val="decimal"/>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2"/>
    </w:lvl>
    <w:lvl w:ilvl="1">
      <w:lvlJc w:val="left"/>
      <w:lvlText w:val="o"/>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jpeg"/><Relationship Id="rId195" Type="http://schemas.openxmlformats.org/officeDocument/2006/relationships/image" Target="media/image144.png"/><Relationship Id="rId196" Type="http://schemas.openxmlformats.org/officeDocument/2006/relationships/image" Target="media/image145.png"/><Relationship Id="rId140" Type="http://schemas.openxmlformats.org/officeDocument/2006/relationships/hyperlink" Target="https://www.sec.gov/Archives/edgar/data/1443669/000119312512054357/d199869dex32.htm" TargetMode="External"/><Relationship Id="rId141" Type="http://schemas.openxmlformats.org/officeDocument/2006/relationships/hyperlink" Target="https://www.sec.gov/Archives/edgar/data/1443669/000143774915010824/ex3-1.htm" TargetMode="External"/><Relationship Id="rId142" Type="http://schemas.openxmlformats.org/officeDocument/2006/relationships/hyperlink" Target="https://www.sec.gov/Archives/edgar/data/1443669/000143774922027471/ex_445136.htm" TargetMode="External"/><Relationship Id="rId143" Type="http://schemas.openxmlformats.org/officeDocument/2006/relationships/hyperlink" Target="https://www.sec.gov/Archives/edgar/data/1443669/000119312512034159/d199869dex41.htm" TargetMode="External"/><Relationship Id="rId144" Type="http://schemas.openxmlformats.org/officeDocument/2006/relationships/hyperlink" Target="https://www.sec.gov/Archives/edgar/data/1443669/000143774923003930/ex_472326.htm" TargetMode="External"/><Relationship Id="rId145" Type="http://schemas.openxmlformats.org/officeDocument/2006/relationships/hyperlink" Target="https://www.sec.gov/Archives/edgar/data/1443669/000143774915019465/ex10-1.htm" TargetMode="External"/><Relationship Id="rId146" Type="http://schemas.openxmlformats.org/officeDocument/2006/relationships/hyperlink" Target="https://www.sec.gov/Archives/edgar/data/1443669/000119312512054357/d199869dex1014.htm" TargetMode="External"/><Relationship Id="rId147" Type="http://schemas.openxmlformats.org/officeDocument/2006/relationships/hyperlink" Target="https://www.sec.gov/Archives/edgar/data/1443669/000119312512054357/d199869dex1015.htm" TargetMode="External"/><Relationship Id="rId148" Type="http://schemas.openxmlformats.org/officeDocument/2006/relationships/hyperlink" Target="https://www.sec.gov/Archives/edgar/data/1443669/000119312512054357/d199869dex1016.htm" TargetMode="External"/><Relationship Id="rId149" Type="http://schemas.openxmlformats.org/officeDocument/2006/relationships/hyperlink" Target="https://www.sec.gov/Archives/edgar/data/1443669/000119312512054357/d199869dex1017.htm" TargetMode="External"/><Relationship Id="rId150" Type="http://schemas.openxmlformats.org/officeDocument/2006/relationships/hyperlink" Target="https://www.sec.gov/Archives/edgar/data/1443669/000119312512054357/d199869dex1018.htm" TargetMode="External"/><Relationship Id="rId151" Type="http://schemas.openxmlformats.org/officeDocument/2006/relationships/hyperlink" Target="https://www.sec.gov/Archives/edgar/data/1443669/000119312511282025/d199869dex1019.htm" TargetMode="External"/><Relationship Id="rId152" Type="http://schemas.openxmlformats.org/officeDocument/2006/relationships/hyperlink" Target="https://www.sec.gov/Archives/edgar/data/1443669/000143774917020059/ex_101319.htm" TargetMode="External"/><Relationship Id="rId153" Type="http://schemas.openxmlformats.org/officeDocument/2006/relationships/hyperlink" Target="https://www.sec.gov/Archives/edgar/data/1443669/000119312513086525/d494950dex991.htm" TargetMode="External"/><Relationship Id="rId156" Type="http://schemas.openxmlformats.org/officeDocument/2006/relationships/hyperlink" Target="https://www.sec.gov/Archives/edgar/data/1443669/000119312513206525/d511353dex102.htm" TargetMode="External"/><Relationship Id="rId157" Type="http://schemas.openxmlformats.org/officeDocument/2006/relationships/hyperlink" Target="https://www.sec.gov/Archives/edgar/data/1443669/000143774919015244/ex_152135.htm" TargetMode="External"/><Relationship Id="rId158" Type="http://schemas.openxmlformats.org/officeDocument/2006/relationships/hyperlink" Target="https://www.sec.gov/Archives/edgar/data/1443669/000143774914001627/ex10-2.htm" TargetMode="External"/><Relationship Id="rId159" Type="http://schemas.openxmlformats.org/officeDocument/2006/relationships/hyperlink" Target="https://www.sec.gov/Archives/edgar/data/1443669/000143774914001955/ex10-1.htm" TargetMode="External"/><Relationship Id="rId160" Type="http://schemas.openxmlformats.org/officeDocument/2006/relationships/hyperlink" Target="https://www.sec.gov/Archives/edgar/data/1443669/000143774914001955/ex10-2.htm" TargetMode="External"/><Relationship Id="rId161" Type="http://schemas.openxmlformats.org/officeDocument/2006/relationships/hyperlink" Target="https://www.sec.gov/Archives/edgar/data/1443669/000143774914003200/ex99-6.htm" TargetMode="External"/><Relationship Id="rId162" Type="http://schemas.openxmlformats.org/officeDocument/2006/relationships/hyperlink" Target="https://www.sec.gov/Archives/edgar/data/1443669/000143774921002024/ex_224240.htm" TargetMode="External"/><Relationship Id="rId163" Type="http://schemas.openxmlformats.org/officeDocument/2006/relationships/hyperlink" Target="https://www.sec.gov/Archives/edgar/data/1443669/000143774917002759/ex10-1.htm" TargetMode="External"/><Relationship Id="rId164" Type="http://schemas.openxmlformats.org/officeDocument/2006/relationships/hyperlink" Target="https://www.sec.gov/Archives/edgar/data/1443669/000143774918014168/ex_117988.htm" TargetMode="External"/><Relationship Id="rId165" Type="http://schemas.openxmlformats.org/officeDocument/2006/relationships/hyperlink" Target="https://www.sec.gov/Archives/edgar/data/1443669/000144366925000013/prlb-20250930xexx101.htm" TargetMode="External"/><Relationship Id="rId166" Type="http://schemas.openxmlformats.org/officeDocument/2006/relationships/hyperlink" Target="https://www.sec.gov/Archives/edgar/data/1443669/000143774921002024/ex_224239.htm" TargetMode="External"/><Relationship Id="rId167" Type="http://schemas.openxmlformats.org/officeDocument/2006/relationships/hyperlink" Target="https://www.sec.gov/Archives/edgar/data/1443669/000110465925051610/tm2515767d1_ex10-4.htm" TargetMode="External"/><Relationship Id="rId168" Type="http://schemas.openxmlformats.org/officeDocument/2006/relationships/hyperlink" Target="https://www.sec.gov/Archives/edgar/data/1443669/000143774922021480/ex_417398.htm" TargetMode="External"/><Relationship Id="rId169" Type="http://schemas.openxmlformats.org/officeDocument/2006/relationships/hyperlink" Target="https://www.sec.gov/Archives/edgar/data/1443669/000143774922021480/ex_417399.htm" TargetMode="External"/><Relationship Id="rId170" Type="http://schemas.openxmlformats.org/officeDocument/2006/relationships/hyperlink" Target="https://www.sec.gov/Archives/edgar/data/1443669/000143774922021480/ex_417400.htm" TargetMode="External"/><Relationship Id="rId171" Type="http://schemas.openxmlformats.org/officeDocument/2006/relationships/hyperlink" Target="https://www.sec.gov/Archives/edgar/data/1443669/000143774922021480/ex_417401.htm" TargetMode="External"/><Relationship Id="rId172" Type="http://schemas.openxmlformats.org/officeDocument/2006/relationships/hyperlink" Target="https://www.sec.gov/Archives/edgar/data/1443669/000143774922021480/ex_417402.htm" TargetMode="External"/><Relationship Id="rId173" Type="http://schemas.openxmlformats.org/officeDocument/2006/relationships/hyperlink" Target="https://www.sec.gov/Archives/edgar/data/1443669/000143774922021480/ex_417403.htm" TargetMode="External"/><Relationship Id="rId174" Type="http://schemas.openxmlformats.org/officeDocument/2006/relationships/hyperlink" Target="https://www.sec.gov/Archives/edgar/data/1443669/000143774922021480/ex_417404.htm" TargetMode="External"/><Relationship Id="rId175" Type="http://schemas.openxmlformats.org/officeDocument/2006/relationships/hyperlink" Target="https://www.sec.gov/Archives/edgar/data/1443669/000143774922021480/ex_417405.htm" TargetMode="External"/><Relationship Id="rId176" Type="http://schemas.openxmlformats.org/officeDocument/2006/relationships/hyperlink" Target="https://www.sec.gov/Archives/edgar/data/1443669/000143774922021480/ex_417406.htm" TargetMode="External"/><Relationship Id="rId179" Type="http://schemas.openxmlformats.org/officeDocument/2006/relationships/hyperlink" Target="https://www.sec.gov/Archives/edgar/data/1443669/000162828024034354/prlb-20240630xexx102.htm" TargetMode="External"/><Relationship Id="rId180" Type="http://schemas.openxmlformats.org/officeDocument/2006/relationships/hyperlink" Target="https://www.sec.gov/Archives/edgar/data/1443669/000162828024034354/prlb-20240630xexx103.htm" TargetMode="External"/><Relationship Id="rId181" Type="http://schemas.openxmlformats.org/officeDocument/2006/relationships/hyperlink" Target="https://www.sec.gov/Archives/edgar/data/1443669/000162828024042356/prlb-202410x07xexx101.htm" TargetMode="External"/><Relationship Id="rId182" Type="http://schemas.openxmlformats.org/officeDocument/2006/relationships/hyperlink" Target="https://www.sec.gov/Archives/edgar/data/1443669/000110465925051610/tm2515767d1_ex10-1.htm" TargetMode="External"/><Relationship Id="rId183" Type="http://schemas.openxmlformats.org/officeDocument/2006/relationships/hyperlink" Target="https://www.sec.gov/Archives/edgar/data/1443669/000110465925051610/tm2515767d1_ex10-3.htm" TargetMode="External"/><Relationship Id="rId184" Type="http://schemas.openxmlformats.org/officeDocument/2006/relationships/hyperlink" Target="https://www.sec.gov/Archives/edgar/data/1443669/000110465925054901/tm2516513d1_ex10-2.htm" TargetMode="External"/><Relationship Id="rId185" Type="http://schemas.openxmlformats.org/officeDocument/2006/relationships/hyperlink" Target="https://www.sec.gov/Archives/edgar/data/1443669/000162828025007052/prlb-20241231xex191.htm" TargetMode="External"/><Relationship Id="rId186" Type="http://schemas.openxmlformats.org/officeDocument/2006/relationships/hyperlink" Target="https://www.sec.gov/Archives/edgar/data/1443669/000162828025007052/prlb-20241231xex192.htm" TargetMode="External"/><Relationship Id="rId187" Type="http://schemas.openxmlformats.org/officeDocument/2006/relationships/hyperlink" Target="https://www.sec.gov/Archives/edgar/data/1443669/000162828024005285/prlb-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2026-02-20T14:47:21Z</dcterms:created>
  <dcterms:modified xsi:type="dcterms:W3CDTF">2026-02-20T14:47:21Z</dcterms:modified>
</cp:coreProperties>
</file>