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Proto Labs, Inc.</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294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001-35435</w:t>
            </w:r>
          </w:p>
        </w:tc>
        <w:tc>
          <w:tcPr>
            <w:tcW w:w="388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41-1939628</w:t>
            </w:r>
          </w:p>
        </w:tc>
        <w:tc>
          <w:tcPr>
            <w:tcW w:w="20" w:type="dxa"/>
            <w:vAlign w:val="bottom"/>
          </w:tcPr>
          <w:p>
            <w:pPr>
              <w:spacing w:after="0"/>
              <w:rPr>
                <w:sz w:val="20"/>
                <w:szCs w:val="20"/>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9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(Commission File Number)</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20" w:type="dxa"/>
            <w:vAlign w:val="bottom"/>
          </w:tcPr>
          <w:p>
            <w:pPr>
              <w:spacing w:after="0"/>
              <w:rPr>
                <w:sz w:val="18"/>
                <w:szCs w:val="18"/>
                <w:color w:val="auto"/>
              </w:rPr>
            </w:pPr>
          </w:p>
        </w:tc>
      </w:tr>
      <w:tr>
        <w:trPr>
          <w:trHeight w:val="234"/>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9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5"/>
        </w:trPr>
        <w:tc>
          <w:tcPr>
            <w:tcW w:w="44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5540 Pioneer Creek Drive</w:t>
            </w:r>
          </w:p>
        </w:tc>
        <w:tc>
          <w:tcPr>
            <w:tcW w:w="29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4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Maple Plain, Minnesota</w:t>
            </w:r>
          </w:p>
        </w:tc>
        <w:tc>
          <w:tcPr>
            <w:tcW w:w="2940" w:type="dxa"/>
            <w:vAlign w:val="bottom"/>
          </w:tcPr>
          <w:p>
            <w:pPr>
              <w:spacing w:after="0"/>
              <w:rPr>
                <w:sz w:val="20"/>
                <w:szCs w:val="20"/>
                <w:color w:val="auto"/>
              </w:rPr>
            </w:pPr>
          </w:p>
        </w:tc>
        <w:tc>
          <w:tcPr>
            <w:tcW w:w="388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55359</w:t>
            </w:r>
          </w:p>
        </w:tc>
        <w:tc>
          <w:tcPr>
            <w:tcW w:w="20" w:type="dxa"/>
            <w:vAlign w:val="bottom"/>
          </w:tcPr>
          <w:p>
            <w:pPr>
              <w:spacing w:after="0"/>
              <w:rPr>
                <w:sz w:val="20"/>
                <w:szCs w:val="20"/>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40" w:type="dxa"/>
            <w:vAlign w:val="bottom"/>
          </w:tcPr>
          <w:p>
            <w:pPr>
              <w:spacing w:after="0"/>
              <w:rPr>
                <w:sz w:val="20"/>
                <w:szCs w:val="20"/>
                <w:color w:val="auto"/>
              </w:rPr>
            </w:pPr>
          </w:p>
        </w:tc>
        <w:tc>
          <w:tcPr>
            <w:tcW w:w="388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w w:val="97"/>
              </w:rPr>
              <w:t>(Zip code)</w:t>
            </w:r>
          </w:p>
        </w:tc>
        <w:tc>
          <w:tcPr>
            <w:tcW w:w="20" w:type="dxa"/>
            <w:vAlign w:val="bottom"/>
          </w:tcPr>
          <w:p>
            <w:pPr>
              <w:spacing w:after="0"/>
              <w:rPr>
                <w:sz w:val="20"/>
                <w:szCs w:val="20"/>
                <w:color w:val="auto"/>
              </w:rPr>
            </w:pP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Schumacher (763) 479-3680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(Name and telephone number, including area code,</w:t>
      </w:r>
    </w:p>
    <w:p>
      <w:pPr>
        <w:spacing w:after="0" w:line="2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600" w:hanging="345"/>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71" w:lineRule="exact"/>
        <w:rPr>
          <w:sz w:val="24"/>
          <w:szCs w:val="24"/>
          <w:color w:val="auto"/>
        </w:rPr>
      </w:pPr>
    </w:p>
    <w:p>
      <w:pPr>
        <w:ind w:left="600" w:hanging="345"/>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Proto Labs, Inc. (the “Company” or “our”) has filed a Conflict Minerals Report for the reporting period from January 1, 2025 to December 31, 2025 (the “2025 Conflict Minerals Report”), which is referenced in Item 1.02 below, filed as an exhibit to this Form SD and also publicly available on our website at www.protolabs.com in the "Investors" section (under the "About Us" caption) at the "Governance Documents" section (under the "Governance" caption). The content of any referenced website is not incorporated by reference into and should not be considered part of this Form SD.</w:t>
      </w:r>
    </w:p>
    <w:p>
      <w:pPr>
        <w:spacing w:after="0" w:line="176"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2025 Conflict Minerals Report is filed as Exhibit 1.01 attached to this Form SD.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3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Resource Extraction Issuer Disclosure Report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87" w:lineRule="exact"/>
        <w:rPr>
          <w:sz w:val="20"/>
          <w:szCs w:val="20"/>
          <w:color w:val="auto"/>
        </w:rPr>
      </w:pPr>
    </w:p>
    <w:p>
      <w:pPr>
        <w:ind w:left="2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Conflict Minerals Report as required by Items 1.01 and 1.02 of this Form SD.</w:t>
      </w:r>
    </w:p>
    <w:p>
      <w:pPr>
        <w:sectPr>
          <w:pgSz w:w="11900" w:h="16838" w:orient="portrait"/>
          <w:cols w:equalWidth="0" w:num="1">
            <w:col w:w="11160"/>
          </w:cols>
          <w:pgMar w:left="320" w:top="1103"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Proto Labs, Inc.</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800" w:val="left"/>
          <w:tab w:leader="none" w:pos="6020" w:val="left"/>
          <w:tab w:leader="none" w:pos="64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28, 2026</w:t>
      </w:r>
      <w:r>
        <w:rPr>
          <w:sz w:val="20"/>
          <w:szCs w:val="20"/>
          <w:color w:val="auto"/>
        </w:rPr>
        <w:tab/>
      </w:r>
      <w:r>
        <w:rPr>
          <w:rFonts w:ascii="Times New Roman" w:cs="Times New Roman" w:eastAsia="Times New Roman" w:hAnsi="Times New Roman"/>
          <w:sz w:val="18"/>
          <w:szCs w:val="18"/>
          <w:color w:val="auto"/>
        </w:rPr>
        <w:t>By:</w:t>
        <w:tab/>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2160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Daniel Schumacher</w:t>
      </w:r>
    </w:p>
    <w:p>
      <w:pPr>
        <w:spacing w:after="0" w:line="6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292"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173990</wp:posOffset>
            </wp:positionV>
            <wp:extent cx="2339975"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99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2025 to December 31, 2025</w:t>
      </w:r>
    </w:p>
    <w:p>
      <w:pPr>
        <w:spacing w:after="0" w:line="200" w:lineRule="exact"/>
        <w:rPr>
          <w:sz w:val="20"/>
          <w:szCs w:val="20"/>
          <w:color w:val="auto"/>
        </w:rPr>
      </w:pPr>
    </w:p>
    <w:p>
      <w:pPr>
        <w:spacing w:after="0" w:line="20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This Conflict Minerals Report (this “Report”) of Proto Labs, Inc. (the “Company,” “we,” “us” or “our”) has been prepared pursuant to Rule 13p-1 and Form SD (the “Rule”) promulgated under the Securities Exchange Act of 1934, as amended, for the reporting period from January 1, 2025 to December 31, 2025.</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Rule requires disclosure of certain information when a company manufactures or contracts to manufacture products for which the minerals specified in the Rule are necessary to the functionality or production of those products. The specified minerals, which we collectively refer to in this Report as the “Conflict Minerals,” are gold, columbite-tantalite (coltan), cassiterite and wolframite, or their derivatives, which are limited to tantalum, tin and tungsten. The “Covered Countries” for the purposes of the Rule are the Democratic Republic of the Congo, the Republic of the Congo, the Central African Republic, South Sudan, Uganda, Rwanda, Burundi, Tanzania, Zambia and Angola. As described in this Report, the Company manufactures certain products for which the Conflict Minerals are necessary to the functionality or production of those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Proto Labs, Inc. Overview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Proto Labs, Inc. is the world's fastest manufacturing service enabling companies across every industry to streamline production of quality parts throughout the entire product life cycle. From custom prototyping to end-use production, we support product developers, engineers, and supply chain teams along every phase of their manufacturing journey. We utilize injection molding, computer numerical control machining, 3D printing and sheet metal fabrication to manufacture custom parts for our customers. Our technology-enabled digital engineering and manufacturing applications enable us to produce commercial-grade prototype and production plastic, metal, and liquid silicone rubber parts in as fast as one day. A very limited number of the metal materials we offer for production of parts have been identified as containing Conflict Minerals (the “Covered Products”).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established management systems to support the execution of our Conflict Minerals program and ensure it operates effectively and is sustainable into the future. We have adopted a policy affirming our commitment to conducting business fairly and ethically with respect for human rights and in compliance with applicable laws and regulations, including the Rule, which is available on our website (the “Conflict Minerals Policy”). Our policy also affirms our support for the responsible sourcing of Conflict Minerals through our global supply chain, and states that we are actively and diligently working with our global supply chain partners to determine the origin of any Conflict Minerals they may supply to us, and that we will continue to work with them toward the goal of providing greater supply chain transparency and responsible sourcing. In addition to establishing the Conflict Minerals Policy, we have assembled a cross-functional team to implement and oversee our Conflict Minerals compliance program. We have a process in place to engage our suppliers to educate them about the Rule and request information from them regarding Conflict Minerals, and to collect, analyze and retain any such information received from them.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do not directly source Conflict Minerals. Instead, we purchase raw materials from third-party suppliers that are multiple layers removed from the smelters and refiners of the Conflict Minerals that are in the raw materials ultimately supplied to us. We must therefore rely on our suppliers to provide information regarding the origin of Conflict Minerals that are included in such materials.</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the calendar year 2025 reporting period, we worked with a third-party provider of conflict minerals validation services to assist us in our good faith reasonable country of origin inquiry regarding the Conflict Minerals contained in the products we manufacture. We evaluated the products we manufactured for our customers and determined that certain products manufactured during calendar year 2025 were manufactured with raw materials that may contain Conflict Minerals that are necessary to the functionality or production of those products. We identified 150 suppliers of those raw materials, and surveyed each of them using the Conflict Minerals Reporting Template (the "CMRT”) developed by the Responsible Minerals Initiative (the “RMI”). We requested that these suppliers make</w:t>
      </w:r>
    </w:p>
    <w:p>
      <w:pPr>
        <w:sectPr>
          <w:pgSz w:w="11900" w:h="16838" w:orient="portrait"/>
          <w:cols w:equalWidth="0" w:num="1">
            <w:col w:w="11240"/>
          </w:cols>
          <w:pgMar w:left="320" w:top="630" w:right="339" w:bottom="1440" w:gutter="0" w:footer="0" w:header="0"/>
        </w:sectPr>
      </w:pPr>
    </w:p>
    <w:bookmarkStart w:id="4" w:name="page5"/>
    <w:bookmarkEnd w:id="4"/>
    <w:p>
      <w:pPr>
        <w:ind w:right="280"/>
        <w:spacing w:after="0" w:line="282" w:lineRule="auto"/>
        <w:rPr>
          <w:sz w:val="20"/>
          <w:szCs w:val="20"/>
          <w:color w:val="auto"/>
        </w:rPr>
      </w:pPr>
      <w:r>
        <w:rPr>
          <w:rFonts w:ascii="Times New Roman" w:cs="Times New Roman" w:eastAsia="Times New Roman" w:hAnsi="Times New Roman"/>
          <w:sz w:val="18"/>
          <w:szCs w:val="18"/>
          <w:color w:val="auto"/>
        </w:rPr>
        <w:t>similar inquiries of their suppliers and sub-suppliers until the smelters and refiners of any Conflict Minerals in the raw materials supplied to us could be identified and compared to the smelters and refiners lists developed and maintained by the RMI.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 Design and Framework</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Because we could not determine that all the Conflict Minerals in the Covered Products did not originate in a Covered Country or originated from recycled or scrap sources based on the responses to the CMRTs, we exercised due diligence on the source and chain of custody of the Conflict Minerals. The Company’s due diligence measures have been designed to conform to the five-step framework in the Organisation for Economic Co-operation and Development Due Diligence Guidance for Responsible Supply Chains of Minerals from Conflict-Affected and High Risk Areas: Third Edition, including the related supplements on gold, tin, tantalum and tungsten.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 Measures Performed</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objective of the due diligence performed was to determine the source and chain of custody of the Conflict Minerals contained in the Covered Products and to determine whether any of those Conflict Minerals are associated with armed groups in the Covered Countries. For the Covered Products manufactured during the calendar year ended December 31, 2025, the Company’s Operations, Compliance and Finance Departments were involved in the due diligence process.</w:t>
      </w:r>
    </w:p>
    <w:p>
      <w:pPr>
        <w:spacing w:after="0" w:line="16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As part of our due diligence, we reviewed supplier responses to each CMRT and followed up with suppliers who did not provide us with a timely response by escalating communication with unresponsive suppliers to the stakeholders in charge of the business relationship via both automated email and personalized email, including offering assistance and further information on how to complete the survey. In reviewing supplier responses, we challenged responses that did not respond on a product level and compared the information reported on the CMRTs to our knowledge of the composition of the materials contained in the Covered Products. We also followed-up on responses to try to get smelters and refiners information so that we could independently verify the information reported on each CMRT. If a supplier identified smelters or refiners in a CMRT, we also screened those smelters and refiners with a screening software to alert us if any materials or components provided to us may have originated in any country that may be subject to sanctions or other various government watchlists related to human rights violations or if any of the smelters or refiners identified are subject to sanctions or may be on other various government watchlists related to human rights violations. If we identity any potential economic sanctions risk as part of this screening process, then we work with the relevant suppliers to evaluate and remediate such risks in a manner consistent with applicable sanctions-program requirements.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 Results</w:t>
      </w:r>
    </w:p>
    <w:p>
      <w:pPr>
        <w:spacing w:after="0" w:line="2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Of the suppliers surveyed that returned to us a completed CMRT, we were able to identify 153 smelters and refiners that may have processed Conflict Minerals in materials supplied to us for our Covered Products for 2025. Those smelters and refiners identified by the Company’s suppliers are listed on Annex I below; however, as noted in the introduction to Annex I, this list may be overinclusive given that a few of our suppliers did not report on a product level. 112 of the 153 smelters and refiners reported that the Conflict Minerals in the materials supplied to us for our Covered Products either 1) do not come from the Covered Countries or 2) are conformant to the RMI assurance process for conflict free sourcing. Seventeen of the smelters and refiners are listed as nonconformant, four of the smelters and refiners are listed as active, and twenty of the smelters and refiners are listed as not enrolled. For the 153 smelters and refiners identified by our suppliers that returned a survey, we were not able to identify country of origin data for 23 of those smelters and refiners. Based on the due diligence procedures described above, we are filing this Report as we do not believe the information received from our suppliers and our additional due diligence efforts for calendar year 2025 are sufficient to determine the exact country of origin of the Conflict Minerals in our Covered Products. We are continuing to work with our suppliers to monitor risks in our supply chain to ensure compliance with our Conflict Minerals Policy.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Steps to Mitigate Risk</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expects to take the following steps, among others, to continue to improve its due diligence measures and to further mitigate the risk that any Conflict Minerals necessary to the functionality of any of the Company’s products finance or benefit armed groups in the Covered Countries: continuing to engage with suppliers to obtain current, accurate and complete information about the supply chain; encouraging suppliers to implement responsible sourcing and to have them encourage smelters and refiners to obtain a “conflict-free” designation from an independent, third-party auditor; and engaging in industry initiatives encouraging “conflict-free” supply chains.</w:t>
      </w:r>
    </w:p>
    <w:p>
      <w:pPr>
        <w:sectPr>
          <w:pgSz w:w="11900" w:h="16838" w:orient="portrait"/>
          <w:cols w:equalWidth="0" w:num="1">
            <w:col w:w="11220"/>
          </w:cols>
          <w:pgMar w:left="320" w:top="634" w:right="35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below list of Smelters or Refiners (“SORs”) were identified to the Company by our suppliers as following the RMI protocols for the reporting period from January 1, 2025 to December 31, 2025, with the RMAP Audit Status confirmed as of April 24, 2026. The Company is typically many tiers in the supply chain removed from SORs, and our direct suppliers have not traced materials supplied to us back to individual SORs. Many of our suppliers provided information to the Company on all SORs identified to them by their suppliers, and have not been able to confirm that Conflict Minerals processed by these SORs have been used in the products they have supplied us because they did not provide their CMRT at the product level. Therefore, it is possible that the list contains SORs not used to process Conflict Minerals contained in our products.</w:t>
      </w:r>
    </w:p>
    <w:p>
      <w:pPr>
        <w:sectPr>
          <w:pgSz w:w="11900" w:h="16838" w:orient="portrait"/>
          <w:cols w:equalWidth="0" w:num="1">
            <w:col w:w="11200"/>
          </w:cols>
          <w:pgMar w:left="320" w:top="671" w:right="37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7720" w:type="dxa"/>
            <w:vAlign w:val="bottom"/>
            <w:gridSpan w:val="2"/>
          </w:tcPr>
          <w:p>
            <w:pPr>
              <w:ind w:left="3940"/>
              <w:spacing w:after="0"/>
              <w:rPr>
                <w:sz w:val="20"/>
                <w:szCs w:val="20"/>
                <w:color w:val="auto"/>
              </w:rPr>
            </w:pPr>
            <w:r>
              <w:rPr>
                <w:rFonts w:ascii="Times New Roman" w:cs="Times New Roman" w:eastAsia="Times New Roman" w:hAnsi="Times New Roman"/>
                <w:sz w:val="18"/>
                <w:szCs w:val="18"/>
                <w:b w:val="1"/>
                <w:bCs w:val="1"/>
                <w:color w:val="auto"/>
              </w:rPr>
              <w:t>Smelters and Refiners</w:t>
            </w:r>
          </w:p>
        </w:tc>
        <w:tc>
          <w:tcPr>
            <w:tcW w:w="2680" w:type="dxa"/>
            <w:vAlign w:val="bottom"/>
          </w:tcPr>
          <w:p>
            <w:pPr>
              <w:spacing w:after="0"/>
              <w:rPr>
                <w:sz w:val="20"/>
                <w:szCs w:val="20"/>
                <w:color w:val="auto"/>
              </w:rPr>
            </w:pPr>
          </w:p>
        </w:tc>
      </w:tr>
      <w:tr>
        <w:trPr>
          <w:trHeight w:val="459"/>
        </w:trPr>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6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312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Location (Country)</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RMAP Audit Status</w:t>
            </w:r>
          </w:p>
        </w:tc>
      </w:tr>
      <w:tr>
        <w:trPr>
          <w:trHeight w:val="22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Jiujiang Tanbre Co., Ltd.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AMG Brasil</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7"/>
              </w:rPr>
              <w:t>India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Mineracao Taboca S.A.</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7"/>
              </w:rPr>
              <w:t>Japan</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NPM Silmet AS</w:t>
            </w:r>
          </w:p>
        </w:tc>
        <w:tc>
          <w:tcPr>
            <w:tcW w:w="3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Estonia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Taki Chemical Co., Ltd.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7"/>
              </w:rPr>
              <w:t>Japan</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Telex Metals</w:t>
            </w:r>
          </w:p>
        </w:tc>
        <w:tc>
          <w:tcPr>
            <w:tcW w:w="3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Kazakhstan</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 Block Metals, LLC</w:t>
            </w:r>
          </w:p>
        </w:tc>
        <w:tc>
          <w:tcPr>
            <w:tcW w:w="31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KEMET de Mexico</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Mexico</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TANIOBIS Co., Ltd.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Thailand</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TANIOBIS GmbH</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Germany</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Materion Newton Inc.</w:t>
            </w:r>
          </w:p>
        </w:tc>
        <w:tc>
          <w:tcPr>
            <w:tcW w:w="31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TANIOBIS Japan Co., Ltd.</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Japan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Germany</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7"/>
              </w:rPr>
              <w:t>Japan</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5D Production OU</w:t>
            </w:r>
          </w:p>
        </w:tc>
        <w:tc>
          <w:tcPr>
            <w:tcW w:w="3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Estonia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PowerX Ltd.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Rwanda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Jiangxi Sanshi Nonferrous Metals Co., Ltd</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China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184"/>
        </w:trPr>
        <w:tc>
          <w:tcPr>
            <w:tcW w:w="840" w:type="dxa"/>
            <w:vAlign w:val="bottom"/>
            <w:shd w:val="clear" w:color="auto" w:fill="CCEEFF"/>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26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RMI Due Diligence Review -</w:t>
            </w:r>
          </w:p>
        </w:tc>
      </w:tr>
      <w:tr>
        <w:trPr>
          <w:trHeight w:val="23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31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Unable to Proceed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Mineracao Taboca S.A.</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Minsur</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Peru</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Bolivia (Plurinational State Of)</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PT Timah Tbk Kundur</w:t>
            </w:r>
          </w:p>
        </w:tc>
        <w:tc>
          <w:tcPr>
            <w:tcW w:w="31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Indonesia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Timah Tbk Mentok</w:t>
            </w:r>
          </w:p>
        </w:tc>
        <w:tc>
          <w:tcPr>
            <w:tcW w:w="3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Indonesia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Thaisarco</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Thailand</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1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Indonesia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Aurubis Beerse</w:t>
            </w:r>
          </w:p>
        </w:tc>
        <w:tc>
          <w:tcPr>
            <w:tcW w:w="3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Belgium</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Luna Smelter, Ltd.</w:t>
            </w:r>
          </w:p>
        </w:tc>
        <w:tc>
          <w:tcPr>
            <w:tcW w:w="3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Rwanda</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Indonesia</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725"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Dowa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 Vinto</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Bolivia (Plurinational State Of)</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Fenix Metals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 Tin Group Co., Ltd.</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Metallic Resources, Inc.</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PT Mitra Stania Prima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Rui Da Hung</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PT Rajehan Ariq</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PT Cipta Persada Mulia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Aurubis Berango</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PT Bangka Prima Tin</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184"/>
        </w:trPr>
        <w:tc>
          <w:tcPr>
            <w:tcW w:w="620" w:type="dxa"/>
            <w:vAlign w:val="bottom"/>
          </w:tcPr>
          <w:p>
            <w:pPr>
              <w:spacing w:after="0"/>
              <w:rPr>
                <w:sz w:val="16"/>
                <w:szCs w:val="16"/>
                <w:color w:val="auto"/>
              </w:rPr>
            </w:pPr>
          </w:p>
        </w:tc>
        <w:tc>
          <w:tcPr>
            <w:tcW w:w="49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3180" w:type="dxa"/>
            <w:vAlign w:val="bottom"/>
          </w:tcPr>
          <w:p>
            <w:pPr>
              <w:spacing w:after="0"/>
              <w:rPr>
                <w:sz w:val="16"/>
                <w:szCs w:val="16"/>
                <w:color w:val="auto"/>
              </w:rPr>
            </w:pPr>
          </w:p>
        </w:tc>
        <w:tc>
          <w:tcPr>
            <w:tcW w:w="248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9"/>
              </w:rPr>
              <w:t>Active</w:t>
            </w:r>
          </w:p>
        </w:tc>
      </w:t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480" w:type="dxa"/>
            <w:vAlign w:val="bottom"/>
          </w:tcPr>
          <w:p>
            <w:pPr>
              <w:spacing w:after="0"/>
              <w:rPr>
                <w:sz w:val="20"/>
                <w:szCs w:val="20"/>
                <w:color w:val="auto"/>
              </w:rPr>
            </w:pP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CRM Synergies</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 Communication</w:t>
            </w: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Estanho de Rondonia S.A.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PT Artha Cipta Langgeng</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PT Prima Timah Utama</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Melt Metais e Ligas S.A.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CV Ayi Jaya</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184"/>
        </w:trPr>
        <w:tc>
          <w:tcPr>
            <w:tcW w:w="620" w:type="dxa"/>
            <w:vAlign w:val="bottom"/>
          </w:tcPr>
          <w:p>
            <w:pPr>
              <w:spacing w:after="0"/>
              <w:rPr>
                <w:sz w:val="16"/>
                <w:szCs w:val="16"/>
                <w:color w:val="auto"/>
              </w:rPr>
            </w:pPr>
          </w:p>
        </w:tc>
        <w:tc>
          <w:tcPr>
            <w:tcW w:w="49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Electro-Mechanical Facility of the Cao Bang Minerals &amp;</w:t>
            </w:r>
          </w:p>
        </w:tc>
        <w:tc>
          <w:tcPr>
            <w:tcW w:w="3180" w:type="dxa"/>
            <w:vAlign w:val="bottom"/>
          </w:tcPr>
          <w:p>
            <w:pPr>
              <w:spacing w:after="0"/>
              <w:rPr>
                <w:sz w:val="16"/>
                <w:szCs w:val="16"/>
                <w:color w:val="auto"/>
              </w:rPr>
            </w:pPr>
          </w:p>
        </w:tc>
        <w:tc>
          <w:tcPr>
            <w:tcW w:w="248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Metallurgy Joint Stock Company</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Viet Nam</w:t>
            </w:r>
          </w:p>
        </w:tc>
        <w:tc>
          <w:tcPr>
            <w:tcW w:w="2480" w:type="dxa"/>
            <w:vAlign w:val="bottom"/>
          </w:tcPr>
          <w:p>
            <w:pPr>
              <w:spacing w:after="0"/>
              <w:rPr>
                <w:sz w:val="20"/>
                <w:szCs w:val="20"/>
                <w:color w:val="auto"/>
              </w:rPr>
            </w:pP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Viet Nam</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Outreach Required</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Super Ligas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Modeltech Sdn Bhd</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24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2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2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Outreach Required</w:t>
            </w:r>
          </w:p>
        </w:tc>
      </w:t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679"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Congo, Democratic Republic Of The</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184"/>
        </w:trPr>
        <w:tc>
          <w:tcPr>
            <w:tcW w:w="840" w:type="dxa"/>
            <w:vAlign w:val="bottom"/>
          </w:tcPr>
          <w:p>
            <w:pPr>
              <w:spacing w:after="0"/>
              <w:rPr>
                <w:sz w:val="16"/>
                <w:szCs w:val="16"/>
                <w:color w:val="auto"/>
              </w:rPr>
            </w:pPr>
          </w:p>
        </w:tc>
        <w:tc>
          <w:tcPr>
            <w:tcW w:w="47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Takehara PVD Materials Plant / PVD Materials Division of</w:t>
            </w:r>
          </w:p>
        </w:tc>
        <w:tc>
          <w:tcPr>
            <w:tcW w:w="3040" w:type="dxa"/>
            <w:vAlign w:val="bottom"/>
          </w:tcPr>
          <w:p>
            <w:pPr>
              <w:spacing w:after="0"/>
              <w:rPr>
                <w:sz w:val="16"/>
                <w:szCs w:val="16"/>
                <w:color w:val="auto"/>
              </w:rPr>
            </w:pPr>
          </w:p>
        </w:tc>
        <w:tc>
          <w:tcPr>
            <w:tcW w:w="26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MITSUI MINING &amp; SMELTING CO., LTD.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Japan</w:t>
            </w:r>
          </w:p>
        </w:tc>
        <w:tc>
          <w:tcPr>
            <w:tcW w:w="2640" w:type="dxa"/>
            <w:vAlign w:val="bottom"/>
          </w:tcPr>
          <w:p>
            <w:pPr>
              <w:spacing w:after="0"/>
              <w:rPr>
                <w:sz w:val="20"/>
                <w:szCs w:val="20"/>
                <w:color w:val="auto"/>
              </w:rPr>
            </w:pP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PT Mitra Graha Raya</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Indonesia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 Communication</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India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Outreach Required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Uganda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Australia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184"/>
        </w:trPr>
        <w:tc>
          <w:tcPr>
            <w:tcW w:w="840" w:type="dxa"/>
            <w:vAlign w:val="bottom"/>
            <w:shd w:val="clear" w:color="auto" w:fill="CCEEFF"/>
          </w:tcPr>
          <w:p>
            <w:pPr>
              <w:spacing w:after="0"/>
              <w:rPr>
                <w:sz w:val="16"/>
                <w:szCs w:val="16"/>
                <w:color w:val="auto"/>
              </w:rPr>
            </w:pPr>
          </w:p>
        </w:tc>
        <w:tc>
          <w:tcPr>
            <w:tcW w:w="47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3040" w:type="dxa"/>
            <w:vAlign w:val="bottom"/>
            <w:shd w:val="clear" w:color="auto" w:fill="CCEEFF"/>
          </w:tcPr>
          <w:p>
            <w:pPr>
              <w:spacing w:after="0"/>
              <w:rPr>
                <w:sz w:val="16"/>
                <w:szCs w:val="16"/>
                <w:color w:val="auto"/>
              </w:rPr>
            </w:pPr>
          </w:p>
        </w:tc>
        <w:tc>
          <w:tcPr>
            <w:tcW w:w="26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Outreach Required</w:t>
            </w:r>
          </w:p>
        </w:tc>
      </w:tr>
      <w:tr>
        <w:trPr>
          <w:trHeight w:val="23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Development Co.,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shd w:val="clear" w:color="auto" w:fill="CCEEFF"/>
          </w:tcPr>
          <w:p>
            <w:pPr>
              <w:spacing w:after="0"/>
              <w:rPr>
                <w:sz w:val="20"/>
                <w:szCs w:val="20"/>
                <w:color w:val="auto"/>
              </w:rPr>
            </w:pP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 Kay Metal, Inc</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184"/>
        </w:trPr>
        <w:tc>
          <w:tcPr>
            <w:tcW w:w="84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6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RMI Due Diligence Review -</w:t>
            </w:r>
          </w:p>
        </w:tc>
      </w:tr>
      <w:tr>
        <w:trPr>
          <w:trHeight w:val="23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Novosibirsk Tin Combine</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Unable to Proceed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Viet Nam</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Viet Nam</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Outreach Required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A.L.M.T. Corp.</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Japan</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Kennametal Huntsville</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 New Metals Co.,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Japan</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Kennametal Fallon</w:t>
            </w:r>
          </w:p>
        </w:tc>
        <w:tc>
          <w:tcPr>
            <w:tcW w:w="30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Austria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Xiamen Tungsten Co., Ltd.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184"/>
        </w:trPr>
        <w:tc>
          <w:tcPr>
            <w:tcW w:w="84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6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Communication Suspended - Not</w:t>
            </w:r>
          </w:p>
        </w:tc>
      </w:tr>
      <w:tr>
        <w:trPr>
          <w:trHeight w:val="23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Interested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Viet Nam</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184"/>
        </w:trPr>
        <w:tc>
          <w:tcPr>
            <w:tcW w:w="840" w:type="dxa"/>
            <w:vAlign w:val="bottom"/>
          </w:tcPr>
          <w:p>
            <w:pPr>
              <w:spacing w:after="0"/>
              <w:rPr>
                <w:sz w:val="16"/>
                <w:szCs w:val="16"/>
                <w:color w:val="auto"/>
              </w:rPr>
            </w:pPr>
          </w:p>
        </w:tc>
        <w:tc>
          <w:tcPr>
            <w:tcW w:w="47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Hunan Shizhuyuan Nonferrous Metals Co., Ltd. Chenzhou</w:t>
            </w:r>
          </w:p>
        </w:tc>
        <w:tc>
          <w:tcPr>
            <w:tcW w:w="3040" w:type="dxa"/>
            <w:vAlign w:val="bottom"/>
          </w:tcPr>
          <w:p>
            <w:pPr>
              <w:spacing w:after="0"/>
              <w:rPr>
                <w:sz w:val="16"/>
                <w:szCs w:val="16"/>
                <w:color w:val="auto"/>
              </w:rPr>
            </w:pPr>
          </w:p>
        </w:tc>
        <w:tc>
          <w:tcPr>
            <w:tcW w:w="26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Non Conformant</w:t>
            </w:r>
          </w:p>
        </w:tc>
      </w:t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Tungsten Products Branch</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spacing w:after="0"/>
              <w:rPr>
                <w:sz w:val="20"/>
                <w:szCs w:val="20"/>
                <w:color w:val="auto"/>
              </w:rPr>
            </w:pP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H.C. Starck Tungsten GmbH</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Germany</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Germany</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Viet Nam</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Niagara Refining LLC</w:t>
            </w:r>
          </w:p>
        </w:tc>
        <w:tc>
          <w:tcPr>
            <w:tcW w:w="30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Lianyou Metals Co.,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Brazil</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Cronimet Brasil Ltda</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Brazil</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Viet Nam</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679"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2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Viet Nam</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Outreach Required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27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China</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2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Philippines</w:t>
            </w:r>
          </w:p>
        </w:tc>
        <w:tc>
          <w:tcPr>
            <w:tcW w:w="27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2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Viet Nam</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2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Philippines</w:t>
            </w:r>
          </w:p>
        </w:tc>
        <w:tc>
          <w:tcPr>
            <w:tcW w:w="27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2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China</w:t>
            </w:r>
          </w:p>
        </w:tc>
        <w:tc>
          <w:tcPr>
            <w:tcW w:w="2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184"/>
        </w:trPr>
        <w:tc>
          <w:tcPr>
            <w:tcW w:w="840" w:type="dxa"/>
            <w:vAlign w:val="bottom"/>
            <w:shd w:val="clear" w:color="auto" w:fill="CCEEFF"/>
          </w:tcPr>
          <w:p>
            <w:pPr>
              <w:spacing w:after="0"/>
              <w:rPr>
                <w:sz w:val="16"/>
                <w:szCs w:val="16"/>
                <w:color w:val="auto"/>
              </w:rPr>
            </w:pPr>
          </w:p>
        </w:tc>
        <w:tc>
          <w:tcPr>
            <w:tcW w:w="480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760" w:type="dxa"/>
            <w:vAlign w:val="bottom"/>
            <w:shd w:val="clear" w:color="auto" w:fill="CCEEFF"/>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9"/>
              </w:rPr>
              <w:t>RMI Due Diligence Review -</w:t>
            </w:r>
          </w:p>
        </w:tc>
      </w:tr>
      <w:tr>
        <w:trPr>
          <w:trHeight w:val="23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Hydrometallurg, JSC</w:t>
            </w:r>
          </w:p>
        </w:tc>
        <w:tc>
          <w:tcPr>
            <w:tcW w:w="28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27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Unable to Proceed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2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2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Non Conformant</w:t>
            </w:r>
          </w:p>
        </w:tc>
      </w:tr>
      <w:tr>
        <w:trPr>
          <w:trHeight w:val="184"/>
        </w:trPr>
        <w:tc>
          <w:tcPr>
            <w:tcW w:w="840" w:type="dxa"/>
            <w:vAlign w:val="bottom"/>
            <w:shd w:val="clear" w:color="auto" w:fill="CCEEFF"/>
          </w:tcPr>
          <w:p>
            <w:pPr>
              <w:spacing w:after="0"/>
              <w:rPr>
                <w:sz w:val="16"/>
                <w:szCs w:val="16"/>
                <w:color w:val="auto"/>
              </w:rPr>
            </w:pPr>
          </w:p>
        </w:tc>
        <w:tc>
          <w:tcPr>
            <w:tcW w:w="480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760" w:type="dxa"/>
            <w:vAlign w:val="bottom"/>
            <w:shd w:val="clear" w:color="auto" w:fill="CCEEFF"/>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9"/>
              </w:rPr>
              <w:t>RMI Due Diligence Review -</w:t>
            </w:r>
          </w:p>
        </w:tc>
      </w:tr>
      <w:tr>
        <w:trPr>
          <w:trHeight w:val="23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Moliren Ltd.</w:t>
            </w:r>
          </w:p>
        </w:tc>
        <w:tc>
          <w:tcPr>
            <w:tcW w:w="28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27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Unable to Proceed</w:t>
            </w:r>
          </w:p>
        </w:tc>
      </w:tr>
      <w:tr>
        <w:trPr>
          <w:trHeight w:val="184"/>
        </w:trPr>
        <w:tc>
          <w:tcPr>
            <w:tcW w:w="8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6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9"/>
              </w:rPr>
              <w:t>RMI Due Diligence Review -</w:t>
            </w:r>
          </w:p>
        </w:tc>
      </w:t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Unable to Proceed</w:t>
            </w:r>
          </w:p>
        </w:tc>
      </w:tr>
      <w:tr>
        <w:trPr>
          <w:trHeight w:val="184"/>
        </w:trPr>
        <w:tc>
          <w:tcPr>
            <w:tcW w:w="840" w:type="dxa"/>
            <w:vAlign w:val="bottom"/>
            <w:shd w:val="clear" w:color="auto" w:fill="CCEEFF"/>
          </w:tcPr>
          <w:p>
            <w:pPr>
              <w:spacing w:after="0"/>
              <w:rPr>
                <w:sz w:val="16"/>
                <w:szCs w:val="16"/>
                <w:color w:val="auto"/>
              </w:rPr>
            </w:pPr>
          </w:p>
        </w:tc>
        <w:tc>
          <w:tcPr>
            <w:tcW w:w="480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760" w:type="dxa"/>
            <w:vAlign w:val="bottom"/>
            <w:shd w:val="clear" w:color="auto" w:fill="CCEEFF"/>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9"/>
              </w:rPr>
              <w:t>RMI Due Diligence Review -</w:t>
            </w:r>
          </w:p>
        </w:tc>
      </w:tr>
      <w:tr>
        <w:trPr>
          <w:trHeight w:val="23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NPP Tyazhmetprom LLC</w:t>
            </w:r>
          </w:p>
        </w:tc>
        <w:tc>
          <w:tcPr>
            <w:tcW w:w="28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27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Unable to Proceed</w:t>
            </w:r>
          </w:p>
        </w:tc>
      </w:tr>
      <w:tr>
        <w:trPr>
          <w:trHeight w:val="184"/>
        </w:trPr>
        <w:tc>
          <w:tcPr>
            <w:tcW w:w="8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6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9"/>
              </w:rPr>
              <w:t>RMI Due Diligence Review -</w:t>
            </w:r>
          </w:p>
        </w:tc>
      </w:t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OOO “Technolom” 2</w:t>
            </w:r>
          </w:p>
        </w:tc>
        <w:tc>
          <w:tcPr>
            <w:tcW w:w="2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Unable to Proceed</w:t>
            </w:r>
          </w:p>
        </w:tc>
      </w:tr>
      <w:tr>
        <w:trPr>
          <w:trHeight w:val="184"/>
        </w:trPr>
        <w:tc>
          <w:tcPr>
            <w:tcW w:w="840" w:type="dxa"/>
            <w:vAlign w:val="bottom"/>
            <w:shd w:val="clear" w:color="auto" w:fill="CCEEFF"/>
          </w:tcPr>
          <w:p>
            <w:pPr>
              <w:spacing w:after="0"/>
              <w:rPr>
                <w:sz w:val="16"/>
                <w:szCs w:val="16"/>
                <w:color w:val="auto"/>
              </w:rPr>
            </w:pPr>
          </w:p>
        </w:tc>
        <w:tc>
          <w:tcPr>
            <w:tcW w:w="480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760" w:type="dxa"/>
            <w:vAlign w:val="bottom"/>
            <w:shd w:val="clear" w:color="auto" w:fill="CCEEFF"/>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9"/>
              </w:rPr>
              <w:t>RMI Due Diligence Review -</w:t>
            </w:r>
          </w:p>
        </w:tc>
      </w:tr>
      <w:tr>
        <w:trPr>
          <w:trHeight w:val="23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OOO “Technolom” 1</w:t>
            </w:r>
          </w:p>
        </w:tc>
        <w:tc>
          <w:tcPr>
            <w:tcW w:w="28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27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Unable to Proceed</w:t>
            </w:r>
          </w:p>
        </w:tc>
      </w:tr>
    </w:tbl>
    <w:p>
      <w:pPr>
        <w:sectPr>
          <w:pgSz w:w="11900" w:h="16838" w:orient="portrait"/>
          <w:cols w:equalWidth="0" w:num="1">
            <w:col w:w="11240"/>
          </w:cols>
          <w:pgMar w:left="320" w:top="675" w:right="339" w:bottom="1440" w:gutter="0" w:footer="0" w:header="0"/>
        </w:sectPr>
      </w:pPr>
    </w:p>
    <w:bookmarkStart w:id="10" w:name="page11"/>
    <w:bookmarkEnd w:id="1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List of countries of origin of Conflict Minerals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Belarus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Bolivia (Plurinational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Burundi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Cambodia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African Republic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Democratic Republic of Congo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Djibouti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Ecuador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Salvador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Eritrea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Ethiopia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Guinea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Liechtenstein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Madagascar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Mongolia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Morocco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Mozambique</w:t>
      </w:r>
    </w:p>
    <w:p>
      <w:pPr>
        <w:sectPr>
          <w:pgSz w:w="11900" w:h="16838" w:orient="portrait"/>
          <w:cols w:equalWidth="0" w:num="1">
            <w:col w:w="10119"/>
          </w:cols>
          <w:pgMar w:left="340" w:top="67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Myanmar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Papua New Guinea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Sierra Leone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Slovakia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Sudan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Sudan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Arab Emirates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Zambia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Zimbabwe</w:t>
      </w:r>
    </w:p>
    <w:sectPr>
      <w:pgSz w:w="11900" w:h="16838" w:orient="portrait"/>
      <w:cols w:equalWidth="0" w:num="1">
        <w:col w:w="10119"/>
      </w:cols>
      <w:pgMar w:left="340" w:top="6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2026-05-28T16:58:54Z</dcterms:created>
  <dcterms:modified xsi:type="dcterms:W3CDTF">2026-05-28T16:58:54Z</dcterms:modified>
</cp:coreProperties>
</file>